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19" w:rsidRDefault="00067EDC" w:rsidP="009674A8">
      <w:pPr>
        <w:pStyle w:val="Title"/>
      </w:pPr>
      <w:bookmarkStart w:id="0" w:name="_Toc34848634"/>
      <w:bookmarkStart w:id="1" w:name="_GoBack"/>
      <w:bookmarkEnd w:id="1"/>
      <w:r w:rsidRPr="00067EDC">
        <w:rPr>
          <w:noProof/>
        </w:rPr>
        <w:drawing>
          <wp:anchor distT="0" distB="0" distL="114300" distR="114300" simplePos="0" relativeHeight="251660288" behindDoc="1" locked="1" layoutInCell="1" allowOverlap="0">
            <wp:simplePos x="0" y="0"/>
            <wp:positionH relativeFrom="page">
              <wp:posOffset>635</wp:posOffset>
            </wp:positionH>
            <wp:positionV relativeFrom="page">
              <wp:posOffset>13970</wp:posOffset>
            </wp:positionV>
            <wp:extent cx="7761600" cy="10059216"/>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Templates, Logos\Cameron's Templates\Images\TitlePag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1600" cy="10059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719">
        <w:t>Submission to the Fair Work Commission</w:t>
      </w:r>
      <w:bookmarkEnd w:id="0"/>
    </w:p>
    <w:p w:rsidR="00903AD8" w:rsidRDefault="00195719" w:rsidP="009674A8">
      <w:pPr>
        <w:pStyle w:val="Title"/>
      </w:pPr>
      <w:bookmarkStart w:id="2" w:name="_Toc34848635"/>
      <w:r>
        <w:t>on the minimum wage</w:t>
      </w:r>
      <w:bookmarkEnd w:id="2"/>
    </w:p>
    <w:p w:rsidR="00B40076" w:rsidRPr="00B40076" w:rsidRDefault="00B40076" w:rsidP="00B40076">
      <w:pPr>
        <w:pStyle w:val="Subtitle"/>
        <w:rPr>
          <w:szCs w:val="44"/>
        </w:rPr>
        <w:sectPr w:rsidR="00B40076" w:rsidRPr="00B40076" w:rsidSect="00903AD8">
          <w:headerReference w:type="default" r:id="rId9"/>
          <w:footerReference w:type="default" r:id="rId10"/>
          <w:pgSz w:w="12240" w:h="15840" w:code="1"/>
          <w:pgMar w:top="1440" w:right="2886" w:bottom="1440" w:left="1440" w:header="709" w:footer="709" w:gutter="0"/>
          <w:cols w:space="708"/>
          <w:docGrid w:linePitch="360"/>
        </w:sectPr>
      </w:pPr>
      <w:r>
        <w:rPr>
          <w:szCs w:val="44"/>
        </w:rPr>
        <w:br/>
      </w:r>
      <w:bookmarkStart w:id="3" w:name="_Toc34848636"/>
      <w:r w:rsidR="00195719">
        <w:rPr>
          <w:rStyle w:val="SubtleEmphasis"/>
        </w:rPr>
        <w:t>March 2020</w:t>
      </w:r>
      <w:bookmarkEnd w:id="3"/>
    </w:p>
    <w:p w:rsidR="00D25C43" w:rsidRDefault="00D25C43" w:rsidP="00342678">
      <w:pPr>
        <w:pStyle w:val="Heading1"/>
      </w:pPr>
      <w:bookmarkStart w:id="4" w:name="_Toc34848637"/>
    </w:p>
    <w:p w:rsidR="002C1DC0" w:rsidRPr="00342678" w:rsidRDefault="002C1DC0" w:rsidP="00342678">
      <w:pPr>
        <w:pStyle w:val="Heading1"/>
        <w:rPr>
          <w:rFonts w:eastAsiaTheme="minorEastAsia"/>
          <w:spacing w:val="15"/>
        </w:rPr>
      </w:pPr>
      <w:r w:rsidRPr="00067EDC">
        <w:t>Contents Page</w:t>
      </w:r>
      <w:bookmarkEnd w:id="4"/>
      <w:r w:rsidR="00924A6A" w:rsidRPr="00067EDC">
        <w:tab/>
      </w:r>
    </w:p>
    <w:p w:rsidR="00D56EE8" w:rsidRPr="003F614F" w:rsidRDefault="00D56EE8" w:rsidP="00D56EE8"/>
    <w:bookmarkStart w:id="5" w:name="_Toc447008150"/>
    <w:bookmarkStart w:id="6" w:name="_Toc447007814"/>
    <w:p w:rsidR="00D25C43" w:rsidRDefault="00D25C43" w:rsidP="00D25C43">
      <w:pPr>
        <w:pStyle w:val="TOC1"/>
        <w:tabs>
          <w:tab w:val="right" w:leader="dot" w:pos="9323"/>
        </w:tabs>
        <w:rPr>
          <w:rFonts w:asciiTheme="minorHAnsi" w:eastAsiaTheme="minorEastAsia" w:hAnsiTheme="minorHAnsi"/>
          <w:noProof/>
          <w:color w:val="auto"/>
          <w:lang w:val="en-AU" w:eastAsia="en-AU"/>
        </w:rPr>
      </w:pPr>
      <w:r>
        <w:rPr>
          <w:rFonts w:cstheme="minorHAnsi"/>
        </w:rPr>
        <w:fldChar w:fldCharType="begin"/>
      </w:r>
      <w:r>
        <w:rPr>
          <w:rFonts w:cstheme="minorHAnsi"/>
        </w:rPr>
        <w:instrText xml:space="preserve"> TOC \o "1-3" \h \z \u </w:instrText>
      </w:r>
      <w:r>
        <w:rPr>
          <w:rFonts w:cstheme="minorHAnsi"/>
        </w:rPr>
        <w:fldChar w:fldCharType="separate"/>
      </w:r>
    </w:p>
    <w:p w:rsidR="00D25C43" w:rsidRDefault="009555DA">
      <w:pPr>
        <w:pStyle w:val="TOC1"/>
        <w:tabs>
          <w:tab w:val="right" w:leader="dot" w:pos="9323"/>
        </w:tabs>
        <w:rPr>
          <w:rFonts w:asciiTheme="minorHAnsi" w:eastAsiaTheme="minorEastAsia" w:hAnsiTheme="minorHAnsi"/>
          <w:noProof/>
          <w:color w:val="auto"/>
          <w:lang w:val="en-AU" w:eastAsia="en-AU"/>
        </w:rPr>
      </w:pPr>
      <w:hyperlink w:anchor="_Toc34848639" w:history="1">
        <w:r w:rsidR="00D25C43" w:rsidRPr="002951ED">
          <w:rPr>
            <w:rStyle w:val="Hyperlink"/>
            <w:noProof/>
          </w:rPr>
          <w:t>Summary</w:t>
        </w:r>
        <w:r w:rsidR="00D25C43">
          <w:rPr>
            <w:noProof/>
            <w:webHidden/>
          </w:rPr>
          <w:tab/>
        </w:r>
        <w:r w:rsidR="00D25C43">
          <w:rPr>
            <w:noProof/>
            <w:webHidden/>
          </w:rPr>
          <w:fldChar w:fldCharType="begin"/>
        </w:r>
        <w:r w:rsidR="00D25C43">
          <w:rPr>
            <w:noProof/>
            <w:webHidden/>
          </w:rPr>
          <w:instrText xml:space="preserve"> PAGEREF _Toc34848639 \h </w:instrText>
        </w:r>
        <w:r w:rsidR="00D25C43">
          <w:rPr>
            <w:noProof/>
            <w:webHidden/>
          </w:rPr>
        </w:r>
        <w:r w:rsidR="00D25C43">
          <w:rPr>
            <w:noProof/>
            <w:webHidden/>
          </w:rPr>
          <w:fldChar w:fldCharType="separate"/>
        </w:r>
        <w:r w:rsidR="00D25C43">
          <w:rPr>
            <w:noProof/>
            <w:webHidden/>
          </w:rPr>
          <w:t>3</w:t>
        </w:r>
        <w:r w:rsidR="00D25C43">
          <w:rPr>
            <w:noProof/>
            <w:webHidden/>
          </w:rPr>
          <w:fldChar w:fldCharType="end"/>
        </w:r>
      </w:hyperlink>
    </w:p>
    <w:p w:rsidR="00D25C43" w:rsidRDefault="009555DA">
      <w:pPr>
        <w:pStyle w:val="TOC2"/>
        <w:tabs>
          <w:tab w:val="right" w:leader="dot" w:pos="9323"/>
        </w:tabs>
        <w:rPr>
          <w:rFonts w:asciiTheme="minorHAnsi" w:eastAsiaTheme="minorEastAsia" w:hAnsiTheme="minorHAnsi"/>
          <w:noProof/>
          <w:color w:val="auto"/>
          <w:lang w:val="en-AU" w:eastAsia="en-AU"/>
        </w:rPr>
      </w:pPr>
      <w:hyperlink w:anchor="_Toc34848640" w:history="1">
        <w:r w:rsidR="00D25C43" w:rsidRPr="002951ED">
          <w:rPr>
            <w:rStyle w:val="Hyperlink"/>
            <w:noProof/>
          </w:rPr>
          <w:t>Recent economic and labour market trends</w:t>
        </w:r>
        <w:r w:rsidR="00D25C43">
          <w:rPr>
            <w:noProof/>
            <w:webHidden/>
          </w:rPr>
          <w:tab/>
        </w:r>
        <w:r w:rsidR="00D25C43">
          <w:rPr>
            <w:noProof/>
            <w:webHidden/>
          </w:rPr>
          <w:fldChar w:fldCharType="begin"/>
        </w:r>
        <w:r w:rsidR="00D25C43">
          <w:rPr>
            <w:noProof/>
            <w:webHidden/>
          </w:rPr>
          <w:instrText xml:space="preserve"> PAGEREF _Toc34848640 \h </w:instrText>
        </w:r>
        <w:r w:rsidR="00D25C43">
          <w:rPr>
            <w:noProof/>
            <w:webHidden/>
          </w:rPr>
        </w:r>
        <w:r w:rsidR="00D25C43">
          <w:rPr>
            <w:noProof/>
            <w:webHidden/>
          </w:rPr>
          <w:fldChar w:fldCharType="separate"/>
        </w:r>
        <w:r w:rsidR="00D25C43">
          <w:rPr>
            <w:noProof/>
            <w:webHidden/>
          </w:rPr>
          <w:t>7</w:t>
        </w:r>
        <w:r w:rsidR="00D25C43">
          <w:rPr>
            <w:noProof/>
            <w:webHidden/>
          </w:rPr>
          <w:fldChar w:fldCharType="end"/>
        </w:r>
      </w:hyperlink>
    </w:p>
    <w:p w:rsidR="00D25C43" w:rsidRDefault="009555DA">
      <w:pPr>
        <w:pStyle w:val="TOC2"/>
        <w:tabs>
          <w:tab w:val="right" w:leader="dot" w:pos="9323"/>
        </w:tabs>
        <w:rPr>
          <w:rFonts w:asciiTheme="minorHAnsi" w:eastAsiaTheme="minorEastAsia" w:hAnsiTheme="minorHAnsi"/>
          <w:noProof/>
          <w:color w:val="auto"/>
          <w:lang w:val="en-AU" w:eastAsia="en-AU"/>
        </w:rPr>
      </w:pPr>
      <w:hyperlink w:anchor="_Toc34848642" w:history="1">
        <w:r w:rsidR="00D25C43" w:rsidRPr="002951ED">
          <w:rPr>
            <w:rStyle w:val="Hyperlink"/>
            <w:noProof/>
          </w:rPr>
          <w:t>Living standards</w:t>
        </w:r>
        <w:r w:rsidR="00D25C43">
          <w:rPr>
            <w:noProof/>
            <w:webHidden/>
          </w:rPr>
          <w:tab/>
        </w:r>
        <w:r w:rsidR="00D25C43">
          <w:rPr>
            <w:noProof/>
            <w:webHidden/>
          </w:rPr>
          <w:fldChar w:fldCharType="begin"/>
        </w:r>
        <w:r w:rsidR="00D25C43">
          <w:rPr>
            <w:noProof/>
            <w:webHidden/>
          </w:rPr>
          <w:instrText xml:space="preserve"> PAGEREF _Toc34848642 \h </w:instrText>
        </w:r>
        <w:r w:rsidR="00D25C43">
          <w:rPr>
            <w:noProof/>
            <w:webHidden/>
          </w:rPr>
        </w:r>
        <w:r w:rsidR="00D25C43">
          <w:rPr>
            <w:noProof/>
            <w:webHidden/>
          </w:rPr>
          <w:fldChar w:fldCharType="separate"/>
        </w:r>
        <w:r w:rsidR="00D25C43">
          <w:rPr>
            <w:noProof/>
            <w:webHidden/>
          </w:rPr>
          <w:t>9</w:t>
        </w:r>
        <w:r w:rsidR="00D25C43">
          <w:rPr>
            <w:noProof/>
            <w:webHidden/>
          </w:rPr>
          <w:fldChar w:fldCharType="end"/>
        </w:r>
      </w:hyperlink>
    </w:p>
    <w:p w:rsidR="00D25C43" w:rsidRDefault="009555DA">
      <w:pPr>
        <w:pStyle w:val="TOC2"/>
        <w:tabs>
          <w:tab w:val="right" w:leader="dot" w:pos="9323"/>
        </w:tabs>
        <w:rPr>
          <w:rFonts w:asciiTheme="minorHAnsi" w:eastAsiaTheme="minorEastAsia" w:hAnsiTheme="minorHAnsi"/>
          <w:noProof/>
          <w:color w:val="auto"/>
          <w:lang w:val="en-AU" w:eastAsia="en-AU"/>
        </w:rPr>
      </w:pPr>
      <w:hyperlink w:anchor="_Toc34848643" w:history="1">
        <w:r w:rsidR="00D25C43" w:rsidRPr="002951ED">
          <w:rPr>
            <w:rStyle w:val="Hyperlink"/>
            <w:noProof/>
          </w:rPr>
          <w:t>Relationship between minimum wages and social security</w:t>
        </w:r>
        <w:r w:rsidR="00D25C43">
          <w:rPr>
            <w:noProof/>
            <w:webHidden/>
          </w:rPr>
          <w:tab/>
        </w:r>
        <w:r w:rsidR="00D25C43">
          <w:rPr>
            <w:noProof/>
            <w:webHidden/>
          </w:rPr>
          <w:fldChar w:fldCharType="begin"/>
        </w:r>
        <w:r w:rsidR="00D25C43">
          <w:rPr>
            <w:noProof/>
            <w:webHidden/>
          </w:rPr>
          <w:instrText xml:space="preserve"> PAGEREF _Toc34848643 \h </w:instrText>
        </w:r>
        <w:r w:rsidR="00D25C43">
          <w:rPr>
            <w:noProof/>
            <w:webHidden/>
          </w:rPr>
        </w:r>
        <w:r w:rsidR="00D25C43">
          <w:rPr>
            <w:noProof/>
            <w:webHidden/>
          </w:rPr>
          <w:fldChar w:fldCharType="separate"/>
        </w:r>
        <w:r w:rsidR="00D25C43">
          <w:rPr>
            <w:noProof/>
            <w:webHidden/>
          </w:rPr>
          <w:t>11</w:t>
        </w:r>
        <w:r w:rsidR="00D25C43">
          <w:rPr>
            <w:noProof/>
            <w:webHidden/>
          </w:rPr>
          <w:fldChar w:fldCharType="end"/>
        </w:r>
      </w:hyperlink>
    </w:p>
    <w:p w:rsidR="00D25C43" w:rsidRDefault="009555DA">
      <w:pPr>
        <w:pStyle w:val="TOC2"/>
        <w:tabs>
          <w:tab w:val="right" w:leader="dot" w:pos="9323"/>
        </w:tabs>
        <w:rPr>
          <w:rFonts w:asciiTheme="minorHAnsi" w:eastAsiaTheme="minorEastAsia" w:hAnsiTheme="minorHAnsi"/>
          <w:noProof/>
          <w:color w:val="auto"/>
          <w:lang w:val="en-AU" w:eastAsia="en-AU"/>
        </w:rPr>
      </w:pPr>
      <w:hyperlink w:anchor="_Toc34848644" w:history="1">
        <w:r w:rsidR="00D25C43" w:rsidRPr="002951ED">
          <w:rPr>
            <w:rStyle w:val="Hyperlink"/>
            <w:noProof/>
          </w:rPr>
          <w:t>Employment</w:t>
        </w:r>
        <w:r w:rsidR="00D25C43">
          <w:rPr>
            <w:noProof/>
            <w:webHidden/>
          </w:rPr>
          <w:tab/>
        </w:r>
        <w:r w:rsidR="00D25C43">
          <w:rPr>
            <w:noProof/>
            <w:webHidden/>
          </w:rPr>
          <w:fldChar w:fldCharType="begin"/>
        </w:r>
        <w:r w:rsidR="00D25C43">
          <w:rPr>
            <w:noProof/>
            <w:webHidden/>
          </w:rPr>
          <w:instrText xml:space="preserve"> PAGEREF _Toc34848644 \h </w:instrText>
        </w:r>
        <w:r w:rsidR="00D25C43">
          <w:rPr>
            <w:noProof/>
            <w:webHidden/>
          </w:rPr>
        </w:r>
        <w:r w:rsidR="00D25C43">
          <w:rPr>
            <w:noProof/>
            <w:webHidden/>
          </w:rPr>
          <w:fldChar w:fldCharType="separate"/>
        </w:r>
        <w:r w:rsidR="00D25C43">
          <w:rPr>
            <w:noProof/>
            <w:webHidden/>
          </w:rPr>
          <w:t>14</w:t>
        </w:r>
        <w:r w:rsidR="00D25C43">
          <w:rPr>
            <w:noProof/>
            <w:webHidden/>
          </w:rPr>
          <w:fldChar w:fldCharType="end"/>
        </w:r>
      </w:hyperlink>
    </w:p>
    <w:p w:rsidR="00D25C43" w:rsidRDefault="009555DA">
      <w:pPr>
        <w:pStyle w:val="TOC2"/>
        <w:tabs>
          <w:tab w:val="right" w:leader="dot" w:pos="9323"/>
        </w:tabs>
        <w:rPr>
          <w:rFonts w:asciiTheme="minorHAnsi" w:eastAsiaTheme="minorEastAsia" w:hAnsiTheme="minorHAnsi"/>
          <w:noProof/>
          <w:color w:val="auto"/>
          <w:lang w:val="en-AU" w:eastAsia="en-AU"/>
        </w:rPr>
      </w:pPr>
      <w:hyperlink w:anchor="_Toc34848645" w:history="1">
        <w:r w:rsidR="00D25C43" w:rsidRPr="002951ED">
          <w:rPr>
            <w:rStyle w:val="Hyperlink"/>
            <w:noProof/>
          </w:rPr>
          <w:t>Recommendations</w:t>
        </w:r>
        <w:r w:rsidR="00D25C43">
          <w:rPr>
            <w:noProof/>
            <w:webHidden/>
          </w:rPr>
          <w:tab/>
        </w:r>
        <w:r w:rsidR="00D25C43">
          <w:rPr>
            <w:noProof/>
            <w:webHidden/>
          </w:rPr>
          <w:fldChar w:fldCharType="begin"/>
        </w:r>
        <w:r w:rsidR="00D25C43">
          <w:rPr>
            <w:noProof/>
            <w:webHidden/>
          </w:rPr>
          <w:instrText xml:space="preserve"> PAGEREF _Toc34848645 \h </w:instrText>
        </w:r>
        <w:r w:rsidR="00D25C43">
          <w:rPr>
            <w:noProof/>
            <w:webHidden/>
          </w:rPr>
        </w:r>
        <w:r w:rsidR="00D25C43">
          <w:rPr>
            <w:noProof/>
            <w:webHidden/>
          </w:rPr>
          <w:fldChar w:fldCharType="separate"/>
        </w:r>
        <w:r w:rsidR="00D25C43">
          <w:rPr>
            <w:noProof/>
            <w:webHidden/>
          </w:rPr>
          <w:t>15</w:t>
        </w:r>
        <w:r w:rsidR="00D25C43">
          <w:rPr>
            <w:noProof/>
            <w:webHidden/>
          </w:rPr>
          <w:fldChar w:fldCharType="end"/>
        </w:r>
      </w:hyperlink>
    </w:p>
    <w:p w:rsidR="00D56EE8" w:rsidRPr="00D56EE8" w:rsidRDefault="00D25C43" w:rsidP="00D56EE8">
      <w:pPr>
        <w:tabs>
          <w:tab w:val="right" w:leader="dot" w:pos="8633"/>
        </w:tabs>
        <w:rPr>
          <w:rFonts w:cstheme="minorHAnsi"/>
        </w:rPr>
      </w:pPr>
      <w:r>
        <w:rPr>
          <w:rFonts w:cstheme="minorHAnsi"/>
        </w:rPr>
        <w:fldChar w:fldCharType="end"/>
      </w:r>
    </w:p>
    <w:p w:rsidR="00D56EE8" w:rsidRPr="00D56EE8" w:rsidRDefault="00D56EE8" w:rsidP="00D56EE8">
      <w:pPr>
        <w:rPr>
          <w:rFonts w:cstheme="minorHAnsi"/>
        </w:rPr>
      </w:pPr>
      <w:r w:rsidRPr="00D56EE8">
        <w:rPr>
          <w:rFonts w:cstheme="minorHAnsi"/>
        </w:rPr>
        <w:br w:type="page"/>
      </w:r>
    </w:p>
    <w:p w:rsidR="00D56EE8" w:rsidRPr="00D56EE8" w:rsidRDefault="00D56EE8" w:rsidP="00D56EE8">
      <w:pPr>
        <w:pStyle w:val="Heading1"/>
        <w:rPr>
          <w:rFonts w:ascii="Verdana" w:hAnsi="Verdana"/>
        </w:rPr>
      </w:pPr>
      <w:bookmarkStart w:id="7" w:name="_Toc508977993"/>
      <w:bookmarkStart w:id="8" w:name="_Toc34848639"/>
      <w:bookmarkStart w:id="9" w:name="_Toc141861890"/>
      <w:bookmarkStart w:id="10" w:name="_Toc225318687"/>
      <w:bookmarkStart w:id="11" w:name="_Toc256694338"/>
      <w:bookmarkStart w:id="12" w:name="_Toc256760700"/>
      <w:bookmarkStart w:id="13" w:name="_Toc319567484"/>
      <w:bookmarkEnd w:id="5"/>
      <w:bookmarkEnd w:id="6"/>
      <w:r w:rsidRPr="00D56EE8">
        <w:rPr>
          <w:rFonts w:ascii="Verdana" w:hAnsi="Verdana"/>
        </w:rPr>
        <w:lastRenderedPageBreak/>
        <w:t>Summary</w:t>
      </w:r>
      <w:bookmarkEnd w:id="7"/>
      <w:bookmarkEnd w:id="8"/>
    </w:p>
    <w:p w:rsidR="00D56EE8" w:rsidRPr="00D56EE8" w:rsidRDefault="00D56EE8" w:rsidP="00D56EE8">
      <w:pPr>
        <w:spacing w:after="120" w:line="276" w:lineRule="auto"/>
        <w:rPr>
          <w:rFonts w:cstheme="minorHAnsi"/>
        </w:rPr>
      </w:pPr>
      <w:bookmarkStart w:id="14" w:name="_Toc416444506"/>
      <w:bookmarkStart w:id="15" w:name="_Toc447007816"/>
      <w:bookmarkStart w:id="16" w:name="_Toc447008152"/>
      <w:r w:rsidRPr="00D56EE8">
        <w:rPr>
          <w:rFonts w:cstheme="minorHAnsi"/>
        </w:rPr>
        <w:t>ACOSS welcomes the opportunity to make this submission to the 201</w:t>
      </w:r>
      <w:r w:rsidR="00195719">
        <w:rPr>
          <w:rFonts w:cstheme="minorHAnsi"/>
        </w:rPr>
        <w:t>9</w:t>
      </w:r>
      <w:r w:rsidRPr="00D56EE8">
        <w:rPr>
          <w:rFonts w:cstheme="minorHAnsi"/>
        </w:rPr>
        <w:t>-</w:t>
      </w:r>
      <w:r w:rsidR="00195719">
        <w:rPr>
          <w:rFonts w:cstheme="minorHAnsi"/>
        </w:rPr>
        <w:t>20</w:t>
      </w:r>
      <w:r w:rsidRPr="00D56EE8">
        <w:rPr>
          <w:rFonts w:cstheme="minorHAnsi"/>
        </w:rPr>
        <w:t xml:space="preserve"> Annual Wage Review. ACOSS is an interested party in these proceedings with expertise in poverty, employment policy and income support policy. Our long-standing interest in minimum wages stems from their impact on poverty and inequality in Australia. </w:t>
      </w:r>
    </w:p>
    <w:p w:rsidR="00D56EE8" w:rsidRPr="00D56EE8" w:rsidRDefault="00D56EE8" w:rsidP="00C84431">
      <w:pPr>
        <w:pStyle w:val="Default"/>
        <w:rPr>
          <w:rFonts w:ascii="Verdana" w:hAnsi="Verdana" w:cstheme="minorHAnsi"/>
        </w:rPr>
      </w:pPr>
      <w:r w:rsidRPr="00440F33">
        <w:rPr>
          <w:rFonts w:ascii="Verdana" w:eastAsiaTheme="minorHAnsi" w:hAnsi="Verdana" w:cstheme="minorHAnsi"/>
          <w:color w:val="000000" w:themeColor="text1"/>
          <w:sz w:val="22"/>
          <w:szCs w:val="22"/>
          <w:lang w:val="en-US" w:eastAsia="en-US"/>
        </w:rPr>
        <w:t>The National Minimum Wage (NMW) is currently $</w:t>
      </w:r>
      <w:r w:rsidR="00C84431" w:rsidRPr="00440F33">
        <w:rPr>
          <w:rFonts w:ascii="Verdana" w:eastAsiaTheme="minorHAnsi" w:hAnsi="Verdana" w:cstheme="minorHAnsi"/>
          <w:color w:val="000000" w:themeColor="text1"/>
          <w:sz w:val="22"/>
          <w:szCs w:val="22"/>
          <w:lang w:val="en-US" w:eastAsia="en-US"/>
        </w:rPr>
        <w:t>741</w:t>
      </w:r>
      <w:r w:rsidRPr="00440F33">
        <w:rPr>
          <w:rFonts w:ascii="Verdana" w:eastAsiaTheme="minorHAnsi" w:hAnsi="Verdana" w:cstheme="minorHAnsi"/>
          <w:color w:val="000000" w:themeColor="text1"/>
          <w:sz w:val="22"/>
          <w:szCs w:val="22"/>
          <w:lang w:val="en-US" w:eastAsia="en-US"/>
        </w:rPr>
        <w:t xml:space="preserve"> per week, $19</w:t>
      </w:r>
      <w:r w:rsidR="00C84431" w:rsidRPr="00440F33">
        <w:rPr>
          <w:rFonts w:ascii="Verdana" w:eastAsiaTheme="minorHAnsi" w:hAnsi="Verdana" w:cstheme="minorHAnsi"/>
          <w:color w:val="000000" w:themeColor="text1"/>
          <w:sz w:val="22"/>
          <w:szCs w:val="22"/>
          <w:lang w:val="en-US" w:eastAsia="en-US"/>
        </w:rPr>
        <w:t>.49</w:t>
      </w:r>
      <w:r w:rsidRPr="00440F33">
        <w:rPr>
          <w:rFonts w:ascii="Verdana" w:eastAsiaTheme="minorHAnsi" w:hAnsi="Verdana" w:cstheme="minorHAnsi"/>
          <w:color w:val="000000" w:themeColor="text1"/>
          <w:sz w:val="22"/>
          <w:szCs w:val="22"/>
          <w:lang w:val="en-US" w:eastAsia="en-US"/>
        </w:rPr>
        <w:t xml:space="preserve"> per hour, or around $3</w:t>
      </w:r>
      <w:r w:rsidR="00C84431" w:rsidRPr="00440F33">
        <w:rPr>
          <w:rFonts w:ascii="Verdana" w:eastAsiaTheme="minorHAnsi" w:hAnsi="Verdana" w:cstheme="minorHAnsi"/>
          <w:color w:val="000000" w:themeColor="text1"/>
          <w:sz w:val="22"/>
          <w:szCs w:val="22"/>
          <w:lang w:val="en-US" w:eastAsia="en-US"/>
        </w:rPr>
        <w:t>8</w:t>
      </w:r>
      <w:r w:rsidRPr="00440F33">
        <w:rPr>
          <w:rFonts w:ascii="Verdana" w:eastAsiaTheme="minorHAnsi" w:hAnsi="Verdana" w:cstheme="minorHAnsi"/>
          <w:color w:val="000000" w:themeColor="text1"/>
          <w:sz w:val="22"/>
          <w:szCs w:val="22"/>
          <w:lang w:val="en-US" w:eastAsia="en-US"/>
        </w:rPr>
        <w:t>,</w:t>
      </w:r>
      <w:r w:rsidR="00C84431" w:rsidRPr="00440F33">
        <w:rPr>
          <w:rFonts w:ascii="Verdana" w:eastAsiaTheme="minorHAnsi" w:hAnsi="Verdana" w:cstheme="minorHAnsi"/>
          <w:color w:val="000000" w:themeColor="text1"/>
          <w:sz w:val="22"/>
          <w:szCs w:val="22"/>
          <w:lang w:val="en-US" w:eastAsia="en-US"/>
        </w:rPr>
        <w:t>5</w:t>
      </w:r>
      <w:r w:rsidRPr="00440F33">
        <w:rPr>
          <w:rFonts w:ascii="Verdana" w:eastAsiaTheme="minorHAnsi" w:hAnsi="Verdana" w:cstheme="minorHAnsi"/>
          <w:color w:val="000000" w:themeColor="text1"/>
          <w:sz w:val="22"/>
          <w:szCs w:val="22"/>
          <w:lang w:val="en-US" w:eastAsia="en-US"/>
        </w:rPr>
        <w:t>00 per year. Last year’s minimum wage increase determined by the Fair Work Commission was 3% ($2</w:t>
      </w:r>
      <w:r w:rsidR="00440F33" w:rsidRPr="00440F33">
        <w:rPr>
          <w:rFonts w:ascii="Verdana" w:eastAsiaTheme="minorHAnsi" w:hAnsi="Verdana" w:cstheme="minorHAnsi"/>
          <w:color w:val="000000" w:themeColor="text1"/>
          <w:sz w:val="22"/>
          <w:szCs w:val="22"/>
          <w:lang w:val="en-US" w:eastAsia="en-US"/>
        </w:rPr>
        <w:t>1.60</w:t>
      </w:r>
      <w:r w:rsidRPr="00440F33">
        <w:rPr>
          <w:rFonts w:ascii="Verdana" w:eastAsiaTheme="minorHAnsi" w:hAnsi="Verdana" w:cstheme="minorHAnsi"/>
          <w:color w:val="000000" w:themeColor="text1"/>
          <w:sz w:val="22"/>
          <w:szCs w:val="22"/>
          <w:lang w:val="en-US" w:eastAsia="en-US"/>
        </w:rPr>
        <w:t xml:space="preserve"> per week)</w:t>
      </w:r>
      <w:r w:rsidRPr="00D56EE8">
        <w:rPr>
          <w:rFonts w:ascii="Verdana" w:hAnsi="Verdana" w:cstheme="minorHAnsi"/>
        </w:rPr>
        <w:t>.</w:t>
      </w:r>
      <w:r w:rsidRPr="00D56EE8">
        <w:rPr>
          <w:rFonts w:ascii="Verdana" w:hAnsi="Verdana" w:cstheme="minorHAnsi"/>
          <w:vertAlign w:val="superscript"/>
        </w:rPr>
        <w:footnoteReference w:id="1"/>
      </w:r>
    </w:p>
    <w:p w:rsidR="00D56EE8" w:rsidRPr="00D56EE8" w:rsidRDefault="00440F33" w:rsidP="00D56EE8">
      <w:pPr>
        <w:spacing w:after="120" w:line="276" w:lineRule="auto"/>
        <w:rPr>
          <w:rFonts w:cstheme="minorHAnsi"/>
        </w:rPr>
      </w:pPr>
      <w:r>
        <w:rPr>
          <w:rFonts w:cstheme="minorHAnsi"/>
        </w:rPr>
        <w:br/>
      </w:r>
      <w:r w:rsidR="00D56EE8" w:rsidRPr="00D56EE8">
        <w:rPr>
          <w:rFonts w:cstheme="minorHAnsi"/>
        </w:rPr>
        <w:t xml:space="preserve">The NMW has only increased in real terms by an average of 0.7% per annum over the last decade as wages for people on higher incomes have risen more strongly. Over the long-term, the NMW has fallen when compared with the median fulltime wage (from 61% of fulltime median weekly earnings in 1996 to </w:t>
      </w:r>
      <w:r>
        <w:rPr>
          <w:rFonts w:cstheme="minorHAnsi"/>
        </w:rPr>
        <w:t>51</w:t>
      </w:r>
      <w:r w:rsidR="00D56EE8" w:rsidRPr="00D56EE8">
        <w:rPr>
          <w:rFonts w:cstheme="minorHAnsi"/>
        </w:rPr>
        <w:t>% in 2018), leaving minimum wage-earners and their families fall</w:t>
      </w:r>
      <w:r w:rsidR="00FD3B6D">
        <w:rPr>
          <w:rFonts w:cstheme="minorHAnsi"/>
        </w:rPr>
        <w:t>ing</w:t>
      </w:r>
      <w:r w:rsidR="00D56EE8" w:rsidRPr="00D56EE8">
        <w:rPr>
          <w:rFonts w:cstheme="minorHAnsi"/>
        </w:rPr>
        <w:t xml:space="preserve"> behind </w:t>
      </w:r>
      <w:r w:rsidR="00FD3B6D">
        <w:rPr>
          <w:rFonts w:cstheme="minorHAnsi"/>
        </w:rPr>
        <w:t xml:space="preserve">improvements in </w:t>
      </w:r>
      <w:r w:rsidR="00D56EE8" w:rsidRPr="00D56EE8">
        <w:rPr>
          <w:rFonts w:cstheme="minorHAnsi"/>
        </w:rPr>
        <w:t>community living standards.</w:t>
      </w:r>
      <w:r w:rsidR="00D56EE8" w:rsidRPr="00D56EE8">
        <w:rPr>
          <w:rStyle w:val="FootnoteReference"/>
          <w:rFonts w:cstheme="minorHAnsi"/>
        </w:rPr>
        <w:footnoteReference w:id="2"/>
      </w:r>
      <w:r w:rsidR="00D56EE8" w:rsidRPr="00D56EE8">
        <w:rPr>
          <w:rFonts w:cstheme="minorHAnsi"/>
        </w:rPr>
        <w:t xml:space="preserve"> </w:t>
      </w:r>
    </w:p>
    <w:p w:rsidR="00D56EE8" w:rsidRPr="00D56EE8" w:rsidRDefault="00D56EE8" w:rsidP="00D56EE8">
      <w:pPr>
        <w:spacing w:after="120" w:line="276" w:lineRule="auto"/>
        <w:rPr>
          <w:rFonts w:cstheme="minorHAnsi"/>
        </w:rPr>
      </w:pPr>
      <w:r w:rsidRPr="00D56EE8">
        <w:rPr>
          <w:rFonts w:cstheme="minorHAnsi"/>
        </w:rPr>
        <w:t xml:space="preserve">Minimum wage levels affect poverty and inequality in at least three ways: </w:t>
      </w:r>
    </w:p>
    <w:p w:rsidR="00D56EE8" w:rsidRPr="00440F33" w:rsidRDefault="00D56EE8" w:rsidP="00D56EE8">
      <w:pPr>
        <w:pStyle w:val="ListParagraph"/>
        <w:numPr>
          <w:ilvl w:val="0"/>
          <w:numId w:val="34"/>
        </w:numPr>
        <w:spacing w:after="120" w:line="276" w:lineRule="auto"/>
        <w:contextualSpacing/>
        <w:rPr>
          <w:rFonts w:ascii="Verdana" w:hAnsi="Verdana" w:cstheme="minorHAnsi"/>
          <w:sz w:val="22"/>
          <w:szCs w:val="22"/>
        </w:rPr>
      </w:pPr>
      <w:r w:rsidRPr="00440F33">
        <w:rPr>
          <w:rFonts w:ascii="Verdana" w:hAnsi="Verdana" w:cstheme="minorHAnsi"/>
          <w:sz w:val="22"/>
          <w:szCs w:val="22"/>
        </w:rPr>
        <w:t xml:space="preserve">through their direct effect on the disposable incomes of low paid workers and their families; </w:t>
      </w:r>
    </w:p>
    <w:p w:rsidR="00D56EE8" w:rsidRPr="00440F33" w:rsidRDefault="00D56EE8" w:rsidP="00D56EE8">
      <w:pPr>
        <w:pStyle w:val="ListParagraph"/>
        <w:numPr>
          <w:ilvl w:val="0"/>
          <w:numId w:val="34"/>
        </w:numPr>
        <w:spacing w:after="120" w:line="276" w:lineRule="auto"/>
        <w:contextualSpacing/>
        <w:rPr>
          <w:rFonts w:ascii="Verdana" w:hAnsi="Verdana" w:cstheme="minorHAnsi"/>
          <w:sz w:val="22"/>
          <w:szCs w:val="22"/>
        </w:rPr>
      </w:pPr>
      <w:r w:rsidRPr="00440F33">
        <w:rPr>
          <w:rFonts w:ascii="Verdana" w:hAnsi="Verdana" w:cstheme="minorHAnsi"/>
          <w:sz w:val="22"/>
          <w:szCs w:val="22"/>
        </w:rPr>
        <w:lastRenderedPageBreak/>
        <w:t xml:space="preserve">through their indirect effect on social security payments; </w:t>
      </w:r>
    </w:p>
    <w:p w:rsidR="00D56EE8" w:rsidRPr="00440F33" w:rsidRDefault="00D56EE8" w:rsidP="00D56EE8">
      <w:pPr>
        <w:pStyle w:val="ListParagraph"/>
        <w:numPr>
          <w:ilvl w:val="0"/>
          <w:numId w:val="34"/>
        </w:numPr>
        <w:spacing w:after="120" w:line="276" w:lineRule="auto"/>
        <w:contextualSpacing/>
        <w:rPr>
          <w:rFonts w:ascii="Verdana" w:hAnsi="Verdana" w:cstheme="minorHAnsi"/>
          <w:sz w:val="22"/>
          <w:szCs w:val="22"/>
        </w:rPr>
      </w:pPr>
      <w:r w:rsidRPr="00440F33">
        <w:rPr>
          <w:rFonts w:ascii="Verdana" w:hAnsi="Verdana" w:cstheme="minorHAnsi"/>
          <w:sz w:val="22"/>
          <w:szCs w:val="22"/>
        </w:rPr>
        <w:t>through their effect on employment.</w:t>
      </w:r>
    </w:p>
    <w:p w:rsidR="0047330D" w:rsidRDefault="00D56EE8" w:rsidP="00D56EE8">
      <w:pPr>
        <w:spacing w:after="120" w:line="276" w:lineRule="auto"/>
        <w:rPr>
          <w:rFonts w:cstheme="minorHAnsi"/>
        </w:rPr>
      </w:pPr>
      <w:r w:rsidRPr="00D56EE8">
        <w:rPr>
          <w:rFonts w:cstheme="minorHAnsi"/>
        </w:rPr>
        <w:t xml:space="preserve">Minimum wage rates, along with the tax-transfer system, have a direct impact on poverty. </w:t>
      </w:r>
    </w:p>
    <w:p w:rsidR="00DF26F2" w:rsidRDefault="00DF26F2" w:rsidP="00DF26F2">
      <w:pPr>
        <w:spacing w:after="120" w:line="276" w:lineRule="auto"/>
        <w:rPr>
          <w:rFonts w:cstheme="minorHAnsi"/>
        </w:rPr>
      </w:pPr>
      <w:r w:rsidRPr="00D56EE8">
        <w:rPr>
          <w:rFonts w:cstheme="minorHAnsi"/>
        </w:rPr>
        <w:t xml:space="preserve">The </w:t>
      </w:r>
      <w:r>
        <w:rPr>
          <w:rFonts w:cstheme="minorHAnsi"/>
        </w:rPr>
        <w:t xml:space="preserve">forthcoming </w:t>
      </w:r>
      <w:r w:rsidRPr="00D56EE8">
        <w:rPr>
          <w:rFonts w:cstheme="minorHAnsi"/>
        </w:rPr>
        <w:t>ACOSS/UNSW report, ‘Poverty in Australia 20</w:t>
      </w:r>
      <w:r>
        <w:rPr>
          <w:rFonts w:cstheme="minorHAnsi"/>
        </w:rPr>
        <w:t>20</w:t>
      </w:r>
      <w:r w:rsidRPr="00D56EE8">
        <w:rPr>
          <w:rFonts w:cstheme="minorHAnsi"/>
        </w:rPr>
        <w:t>’</w:t>
      </w:r>
      <w:r>
        <w:rPr>
          <w:rFonts w:cstheme="minorHAnsi"/>
        </w:rPr>
        <w:t xml:space="preserve"> includes estimates of poverty among people in households </w:t>
      </w:r>
      <w:r w:rsidRPr="00D56EE8">
        <w:rPr>
          <w:rFonts w:cstheme="minorHAnsi"/>
        </w:rPr>
        <w:t>where wages were the main source of income</w:t>
      </w:r>
      <w:r>
        <w:rPr>
          <w:rFonts w:cstheme="minorHAnsi"/>
        </w:rPr>
        <w:t xml:space="preserve">, derived </w:t>
      </w:r>
      <w:r w:rsidR="005429C2">
        <w:rPr>
          <w:rFonts w:cstheme="minorHAnsi"/>
        </w:rPr>
        <w:t>from the ABS 2017-18 Survey of Income and W</w:t>
      </w:r>
      <w:r>
        <w:rPr>
          <w:rFonts w:cstheme="minorHAnsi"/>
        </w:rPr>
        <w:t>ealth.</w:t>
      </w:r>
      <w:r w:rsidRPr="00DF26F2">
        <w:rPr>
          <w:rStyle w:val="FootnoteReference"/>
          <w:rFonts w:cstheme="minorHAnsi"/>
        </w:rPr>
        <w:t xml:space="preserve"> </w:t>
      </w:r>
      <w:r w:rsidRPr="00D56EE8">
        <w:rPr>
          <w:rStyle w:val="FootnoteReference"/>
          <w:rFonts w:cstheme="minorHAnsi"/>
        </w:rPr>
        <w:footnoteReference w:id="3"/>
      </w:r>
    </w:p>
    <w:p w:rsidR="00DF26F2" w:rsidRDefault="00DF26F2" w:rsidP="00DF26F2">
      <w:pPr>
        <w:spacing w:after="120" w:line="276" w:lineRule="auto"/>
        <w:rPr>
          <w:rFonts w:cstheme="minorHAnsi"/>
        </w:rPr>
      </w:pPr>
      <w:r>
        <w:rPr>
          <w:rFonts w:cstheme="minorHAnsi"/>
        </w:rPr>
        <w:t>We find that</w:t>
      </w:r>
      <w:r w:rsidRPr="00D56EE8">
        <w:rPr>
          <w:rFonts w:cstheme="minorHAnsi"/>
        </w:rPr>
        <w:t xml:space="preserve"> in 201</w:t>
      </w:r>
      <w:r>
        <w:rPr>
          <w:rFonts w:cstheme="minorHAnsi"/>
        </w:rPr>
        <w:t>7</w:t>
      </w:r>
      <w:r w:rsidRPr="00D56EE8">
        <w:rPr>
          <w:rFonts w:cstheme="minorHAnsi"/>
        </w:rPr>
        <w:t>-1</w:t>
      </w:r>
      <w:r>
        <w:rPr>
          <w:rFonts w:cstheme="minorHAnsi"/>
        </w:rPr>
        <w:t xml:space="preserve">8, </w:t>
      </w:r>
      <w:r w:rsidRPr="00D56EE8">
        <w:rPr>
          <w:rFonts w:cstheme="minorHAnsi"/>
        </w:rPr>
        <w:t xml:space="preserve">there were </w:t>
      </w:r>
      <w:r>
        <w:rPr>
          <w:rFonts w:cstheme="minorHAnsi"/>
        </w:rPr>
        <w:t>1,017,000</w:t>
      </w:r>
      <w:r w:rsidRPr="00D56EE8">
        <w:rPr>
          <w:rFonts w:cstheme="minorHAnsi"/>
        </w:rPr>
        <w:t xml:space="preserve"> people living below the </w:t>
      </w:r>
      <w:r>
        <w:rPr>
          <w:rFonts w:cstheme="minorHAnsi"/>
        </w:rPr>
        <w:t xml:space="preserve">50% of median income </w:t>
      </w:r>
      <w:r w:rsidRPr="00D56EE8">
        <w:rPr>
          <w:rFonts w:cstheme="minorHAnsi"/>
        </w:rPr>
        <w:t xml:space="preserve">poverty line </w:t>
      </w:r>
      <w:r>
        <w:rPr>
          <w:rFonts w:cstheme="minorHAnsi"/>
        </w:rPr>
        <w:t xml:space="preserve">and 1,666,000 </w:t>
      </w:r>
      <w:r w:rsidRPr="00D56EE8">
        <w:rPr>
          <w:rFonts w:cstheme="minorHAnsi"/>
        </w:rPr>
        <w:t xml:space="preserve">people living below the </w:t>
      </w:r>
      <w:r>
        <w:rPr>
          <w:rFonts w:cstheme="minorHAnsi"/>
        </w:rPr>
        <w:t xml:space="preserve">60% of median income </w:t>
      </w:r>
      <w:r w:rsidRPr="00D56EE8">
        <w:rPr>
          <w:rFonts w:cstheme="minorHAnsi"/>
        </w:rPr>
        <w:t>poverty line</w:t>
      </w:r>
      <w:r>
        <w:rPr>
          <w:rFonts w:cstheme="minorHAnsi"/>
        </w:rPr>
        <w:t>,</w:t>
      </w:r>
      <w:r w:rsidRPr="00D56EE8">
        <w:rPr>
          <w:rFonts w:cstheme="minorHAnsi"/>
        </w:rPr>
        <w:t xml:space="preserve"> </w:t>
      </w:r>
      <w:r>
        <w:rPr>
          <w:rFonts w:cstheme="minorHAnsi"/>
        </w:rPr>
        <w:t xml:space="preserve">in households </w:t>
      </w:r>
      <w:r w:rsidRPr="00D56EE8">
        <w:rPr>
          <w:rFonts w:cstheme="minorHAnsi"/>
        </w:rPr>
        <w:t>where wages were the main source of income</w:t>
      </w:r>
      <w:r>
        <w:rPr>
          <w:rFonts w:cstheme="minorHAnsi"/>
        </w:rPr>
        <w:t xml:space="preserve">. This comprised </w:t>
      </w:r>
      <w:r w:rsidRPr="00D56EE8">
        <w:rPr>
          <w:rFonts w:cstheme="minorHAnsi"/>
        </w:rPr>
        <w:t xml:space="preserve">38% </w:t>
      </w:r>
      <w:r>
        <w:rPr>
          <w:rFonts w:cstheme="minorHAnsi"/>
        </w:rPr>
        <w:t xml:space="preserve">and 40% of all people in poverty respectively (apart from </w:t>
      </w:r>
      <w:r w:rsidR="005429C2">
        <w:rPr>
          <w:rFonts w:cstheme="minorHAnsi"/>
        </w:rPr>
        <w:t>people</w:t>
      </w:r>
      <w:r>
        <w:rPr>
          <w:rFonts w:cstheme="minorHAnsi"/>
        </w:rPr>
        <w:t xml:space="preserve"> in self-employed households)</w:t>
      </w:r>
      <w:r w:rsidRPr="00D56EE8">
        <w:rPr>
          <w:rFonts w:cstheme="minorHAnsi"/>
        </w:rPr>
        <w:t xml:space="preserve">. </w:t>
      </w:r>
      <w:r w:rsidR="005429C2">
        <w:rPr>
          <w:rFonts w:cstheme="minorHAnsi"/>
        </w:rPr>
        <w:t>ACOSS can provide a copy of the full report, once finalised.</w:t>
      </w:r>
    </w:p>
    <w:p w:rsidR="00DF26F2" w:rsidRPr="00DF26F2" w:rsidRDefault="00DF26F2" w:rsidP="00DF26F2">
      <w:pPr>
        <w:spacing w:after="120" w:line="276" w:lineRule="auto"/>
        <w:rPr>
          <w:rFonts w:cstheme="minorHAnsi"/>
        </w:rPr>
      </w:pPr>
      <w:r>
        <w:rPr>
          <w:rFonts w:cstheme="minorHAnsi"/>
        </w:rPr>
        <w:t xml:space="preserve">This represents a significant increase in poverty in households with a wage-earner since 2013-14. In that year, </w:t>
      </w:r>
      <w:r w:rsidRPr="00D56EE8">
        <w:rPr>
          <w:rFonts w:cstheme="minorHAnsi"/>
        </w:rPr>
        <w:t xml:space="preserve">32% of people </w:t>
      </w:r>
      <w:r>
        <w:rPr>
          <w:rFonts w:cstheme="minorHAnsi"/>
        </w:rPr>
        <w:t>below the 50% of median income poverty line and 34% of those</w:t>
      </w:r>
      <w:r w:rsidRPr="00D56EE8">
        <w:rPr>
          <w:rFonts w:cstheme="minorHAnsi"/>
        </w:rPr>
        <w:t xml:space="preserve"> </w:t>
      </w:r>
      <w:r>
        <w:rPr>
          <w:rFonts w:cstheme="minorHAnsi"/>
        </w:rPr>
        <w:t>below the 60% of median income poverty line</w:t>
      </w:r>
      <w:r w:rsidRPr="00D56EE8">
        <w:rPr>
          <w:rFonts w:cstheme="minorHAnsi"/>
        </w:rPr>
        <w:t xml:space="preserve"> c</w:t>
      </w:r>
      <w:r>
        <w:rPr>
          <w:rFonts w:cstheme="minorHAnsi"/>
        </w:rPr>
        <w:t>ame</w:t>
      </w:r>
      <w:r w:rsidRPr="00D56EE8">
        <w:rPr>
          <w:rFonts w:cstheme="minorHAnsi"/>
        </w:rPr>
        <w:t xml:space="preserve"> from households</w:t>
      </w:r>
      <w:r>
        <w:rPr>
          <w:rFonts w:cstheme="minorHAnsi"/>
        </w:rPr>
        <w:t xml:space="preserve"> whose main income was wages.</w:t>
      </w:r>
      <w:r w:rsidRPr="00D56EE8">
        <w:rPr>
          <w:rFonts w:cstheme="minorHAnsi"/>
          <w:vertAlign w:val="superscript"/>
        </w:rPr>
        <w:footnoteReference w:id="4"/>
      </w:r>
    </w:p>
    <w:p w:rsidR="00D56EE8" w:rsidRPr="00D56EE8" w:rsidRDefault="00D56EE8" w:rsidP="00D56EE8">
      <w:pPr>
        <w:spacing w:after="120" w:line="276" w:lineRule="auto"/>
      </w:pPr>
      <w:r w:rsidRPr="00D56EE8">
        <w:rPr>
          <w:rFonts w:cstheme="minorHAnsi"/>
        </w:rPr>
        <w:lastRenderedPageBreak/>
        <w:t>Given low GDP growth of just 2.</w:t>
      </w:r>
      <w:r w:rsidR="004B5458">
        <w:rPr>
          <w:rFonts w:cstheme="minorHAnsi"/>
        </w:rPr>
        <w:t>2</w:t>
      </w:r>
      <w:r w:rsidRPr="00D56EE8">
        <w:rPr>
          <w:rFonts w:cstheme="minorHAnsi"/>
        </w:rPr>
        <w:t>% through 2019, we are concerned about the impact of weak earnings growth on household living standards and the growth potential of the economy.</w:t>
      </w:r>
      <w:r w:rsidRPr="00D56EE8">
        <w:rPr>
          <w:rStyle w:val="FootnoteReference"/>
          <w:rFonts w:cstheme="minorHAnsi"/>
        </w:rPr>
        <w:footnoteReference w:id="5"/>
      </w:r>
      <w:r w:rsidRPr="00D56EE8">
        <w:rPr>
          <w:rFonts w:cstheme="minorHAnsi"/>
        </w:rPr>
        <w:t xml:space="preserve"> The Wage Price Index has risen by an average of just 2.2% per annum over the last two years, barely above inflation at 1.</w:t>
      </w:r>
      <w:r w:rsidR="00C953A6">
        <w:rPr>
          <w:rFonts w:cstheme="minorHAnsi"/>
        </w:rPr>
        <w:t>8</w:t>
      </w:r>
      <w:r w:rsidRPr="00D56EE8">
        <w:rPr>
          <w:rFonts w:cstheme="minorHAnsi"/>
        </w:rPr>
        <w:t>%.</w:t>
      </w:r>
      <w:r w:rsidRPr="00D56EE8">
        <w:rPr>
          <w:rStyle w:val="FootnoteReference"/>
          <w:rFonts w:cstheme="minorHAnsi"/>
        </w:rPr>
        <w:footnoteReference w:id="6"/>
      </w:r>
      <w:r w:rsidRPr="00D56EE8">
        <w:rPr>
          <w:rFonts w:cstheme="minorHAnsi"/>
        </w:rPr>
        <w:t xml:space="preserve"> Setting aside housing costs, the perceived ’cost of living’ problem is, in large part, a ‘weak income growth’ problem.</w:t>
      </w:r>
      <w:r w:rsidRPr="00D56EE8">
        <w:t xml:space="preserve"> </w:t>
      </w:r>
    </w:p>
    <w:p w:rsidR="00D56EE8" w:rsidRPr="00D56EE8" w:rsidRDefault="00D56EE8" w:rsidP="00D56EE8">
      <w:pPr>
        <w:spacing w:after="120" w:line="276" w:lineRule="auto"/>
        <w:rPr>
          <w:rFonts w:cstheme="minorHAnsi"/>
        </w:rPr>
      </w:pPr>
      <w:r w:rsidRPr="00D56EE8">
        <w:rPr>
          <w:rFonts w:cstheme="minorHAnsi"/>
        </w:rPr>
        <w:t>Weak growth in earnings and social security payments is stunting consumer demand</w:t>
      </w:r>
      <w:r w:rsidR="00C953A6">
        <w:rPr>
          <w:rFonts w:cstheme="minorHAnsi"/>
        </w:rPr>
        <w:t xml:space="preserve">, which rose by just </w:t>
      </w:r>
      <w:r w:rsidR="00B46E04">
        <w:rPr>
          <w:rFonts w:cstheme="minorHAnsi"/>
        </w:rPr>
        <w:t xml:space="preserve">1.2% through 2019. </w:t>
      </w:r>
      <w:r w:rsidRPr="00D56EE8">
        <w:rPr>
          <w:rFonts w:cstheme="minorHAnsi"/>
        </w:rPr>
        <w:t xml:space="preserve">Households on lower incomes are either dis-saving or running down their savings to meet ongoing costs. These trends cannot continue. The household saving rate declined from 4.7% in December 2016 to </w:t>
      </w:r>
      <w:r w:rsidR="00B46E04">
        <w:rPr>
          <w:rFonts w:cstheme="minorHAnsi"/>
        </w:rPr>
        <w:t>3.6</w:t>
      </w:r>
      <w:r w:rsidRPr="00D56EE8">
        <w:rPr>
          <w:rFonts w:cstheme="minorHAnsi"/>
        </w:rPr>
        <w:t xml:space="preserve">% in </w:t>
      </w:r>
      <w:r w:rsidR="00B46E04">
        <w:rPr>
          <w:rFonts w:cstheme="minorHAnsi"/>
        </w:rPr>
        <w:t>December 2019</w:t>
      </w:r>
      <w:r w:rsidRPr="00D56EE8">
        <w:rPr>
          <w:rFonts w:cstheme="minorHAnsi"/>
        </w:rPr>
        <w:t>.</w:t>
      </w:r>
      <w:r w:rsidRPr="00D56EE8">
        <w:rPr>
          <w:rStyle w:val="FootnoteReference"/>
          <w:rFonts w:cstheme="minorHAnsi"/>
        </w:rPr>
        <w:footnoteReference w:id="7"/>
      </w:r>
    </w:p>
    <w:p w:rsidR="00E9069C" w:rsidRDefault="00E9069C" w:rsidP="00E9069C">
      <w:r>
        <w:t xml:space="preserve">The summer bushfires and coronavirus </w:t>
      </w:r>
      <w:r w:rsidR="0033317A">
        <w:t xml:space="preserve">are </w:t>
      </w:r>
      <w:r>
        <w:t xml:space="preserve">expected to detract from growth in the economy by at least 0.7% of GDP during the first quarter of 2020, and </w:t>
      </w:r>
      <w:r w:rsidR="0033317A">
        <w:t>the virus</w:t>
      </w:r>
      <w:r>
        <w:t xml:space="preserve"> </w:t>
      </w:r>
      <w:r w:rsidR="0033317A">
        <w:t xml:space="preserve">is </w:t>
      </w:r>
      <w:r>
        <w:t>likely to have an extended impact in the second quarter</w:t>
      </w:r>
      <w:r w:rsidRPr="00323465">
        <w:rPr>
          <w:i/>
        </w:rPr>
        <w:t>.</w:t>
      </w:r>
      <w:r>
        <w:rPr>
          <w:rStyle w:val="FootnoteReference"/>
        </w:rPr>
        <w:footnoteReference w:id="8"/>
      </w:r>
    </w:p>
    <w:p w:rsidR="00D56EE8" w:rsidRPr="00D56EE8" w:rsidRDefault="00D56EE8" w:rsidP="00D56EE8">
      <w:pPr>
        <w:spacing w:after="120" w:line="276" w:lineRule="auto"/>
        <w:rPr>
          <w:rFonts w:cstheme="minorHAnsi"/>
        </w:rPr>
      </w:pPr>
      <w:r w:rsidRPr="00D56EE8">
        <w:rPr>
          <w:rFonts w:cstheme="minorHAnsi"/>
        </w:rPr>
        <w:t xml:space="preserve">Under these conditions, minimum wage increases are likely to make a </w:t>
      </w:r>
      <w:r w:rsidR="00E9069C">
        <w:rPr>
          <w:rFonts w:cstheme="minorHAnsi"/>
        </w:rPr>
        <w:t>significant</w:t>
      </w:r>
      <w:r w:rsidRPr="00D56EE8">
        <w:rPr>
          <w:rFonts w:cstheme="minorHAnsi"/>
        </w:rPr>
        <w:t xml:space="preserve"> contribution to efforts to restore economic growth.</w:t>
      </w:r>
    </w:p>
    <w:p w:rsidR="00D56EE8" w:rsidRPr="00D56EE8" w:rsidRDefault="00D56EE8" w:rsidP="00D56EE8">
      <w:pPr>
        <w:spacing w:after="120" w:line="276" w:lineRule="auto"/>
        <w:rPr>
          <w:rFonts w:cstheme="minorHAnsi"/>
        </w:rPr>
      </w:pPr>
      <w:r w:rsidRPr="00D56EE8">
        <w:rPr>
          <w:rFonts w:cstheme="minorHAnsi"/>
        </w:rPr>
        <w:t xml:space="preserve">The minimum wage also impacts poverty indirectly through its relationship with the social security system. </w:t>
      </w:r>
    </w:p>
    <w:p w:rsidR="00D56EE8" w:rsidRPr="00D56EE8" w:rsidRDefault="00D56EE8" w:rsidP="00D56EE8">
      <w:pPr>
        <w:spacing w:after="120" w:line="276" w:lineRule="auto"/>
        <w:rPr>
          <w:rFonts w:cstheme="minorHAnsi"/>
        </w:rPr>
      </w:pPr>
      <w:r w:rsidRPr="00D56EE8">
        <w:rPr>
          <w:rFonts w:cstheme="minorHAnsi"/>
        </w:rPr>
        <w:lastRenderedPageBreak/>
        <w:t>It is appropriate to maintain a gap between the base rate of working age social security payments and the minimum wage, in order to provide a financial reward for paid work. At present that gap is substantial, with a person receiving maximum rate Newstart Allowance doubling their disposable income if they take up a job at the minimum wage.</w:t>
      </w:r>
      <w:r w:rsidR="00E9069C">
        <w:rPr>
          <w:rFonts w:cstheme="minorHAnsi"/>
        </w:rPr>
        <w:t xml:space="preserve"> Nevertheless, a higher minimum wage creates more room for the substantial increases in social security payments that are needed to reduce poverty.</w:t>
      </w:r>
    </w:p>
    <w:p w:rsidR="00D56EE8" w:rsidRPr="00D56EE8" w:rsidRDefault="00D56EE8" w:rsidP="00D56EE8">
      <w:pPr>
        <w:spacing w:after="120" w:line="276" w:lineRule="auto"/>
        <w:rPr>
          <w:rFonts w:cstheme="minorHAnsi"/>
        </w:rPr>
      </w:pPr>
      <w:r w:rsidRPr="00D56EE8">
        <w:rPr>
          <w:rFonts w:cstheme="minorHAnsi"/>
        </w:rPr>
        <w:t xml:space="preserve">There is now widespread consensus that the </w:t>
      </w:r>
      <w:r w:rsidR="00E9069C">
        <w:rPr>
          <w:rFonts w:cstheme="minorHAnsi"/>
        </w:rPr>
        <w:t>maximum</w:t>
      </w:r>
      <w:r w:rsidRPr="00D56EE8">
        <w:rPr>
          <w:rFonts w:cstheme="minorHAnsi"/>
        </w:rPr>
        <w:t xml:space="preserve"> rate</w:t>
      </w:r>
      <w:r w:rsidR="00E9069C">
        <w:rPr>
          <w:rFonts w:cstheme="minorHAnsi"/>
        </w:rPr>
        <w:t>s</w:t>
      </w:r>
      <w:r w:rsidRPr="00D56EE8">
        <w:rPr>
          <w:rFonts w:cstheme="minorHAnsi"/>
        </w:rPr>
        <w:t xml:space="preserve"> of working age income support payments – Allowances - </w:t>
      </w:r>
      <w:r w:rsidR="00E9069C">
        <w:rPr>
          <w:rFonts w:cstheme="minorHAnsi"/>
        </w:rPr>
        <w:t>should</w:t>
      </w:r>
      <w:r w:rsidRPr="00D56EE8">
        <w:rPr>
          <w:rFonts w:cstheme="minorHAnsi"/>
        </w:rPr>
        <w:t xml:space="preserve"> be s</w:t>
      </w:r>
      <w:r w:rsidR="00E9069C">
        <w:rPr>
          <w:rFonts w:cstheme="minorHAnsi"/>
        </w:rPr>
        <w:t>ubstantially</w:t>
      </w:r>
      <w:r w:rsidRPr="00D56EE8">
        <w:rPr>
          <w:rFonts w:cstheme="minorHAnsi"/>
        </w:rPr>
        <w:t xml:space="preserve"> incr</w:t>
      </w:r>
      <w:r w:rsidR="00E9069C">
        <w:rPr>
          <w:rFonts w:cstheme="minorHAnsi"/>
        </w:rPr>
        <w:t>eased. Support for raising the r</w:t>
      </w:r>
      <w:r w:rsidRPr="00D56EE8">
        <w:rPr>
          <w:rFonts w:cstheme="minorHAnsi"/>
        </w:rPr>
        <w:t>ate of Newstart and related allowance payments ranges from the Business Council to the A</w:t>
      </w:r>
      <w:r w:rsidR="005429C2">
        <w:rPr>
          <w:rFonts w:cstheme="minorHAnsi"/>
        </w:rPr>
        <w:t>ustralian Council of Trade Unions</w:t>
      </w:r>
      <w:r w:rsidRPr="00D56EE8">
        <w:rPr>
          <w:rFonts w:cstheme="minorHAnsi"/>
        </w:rPr>
        <w:t xml:space="preserve"> and Deloitte Access Economi</w:t>
      </w:r>
      <w:r w:rsidR="00E9069C">
        <w:rPr>
          <w:rFonts w:cstheme="minorHAnsi"/>
        </w:rPr>
        <w:t xml:space="preserve">cs. Since these payments have not been increased in real terms for 25 years, they </w:t>
      </w:r>
      <w:r w:rsidR="005429C2">
        <w:rPr>
          <w:rFonts w:cstheme="minorHAnsi"/>
        </w:rPr>
        <w:t xml:space="preserve">now </w:t>
      </w:r>
      <w:r w:rsidRPr="00D56EE8">
        <w:rPr>
          <w:rFonts w:cstheme="minorHAnsi"/>
        </w:rPr>
        <w:t>sit well below well below the poverty line. In our annual budget submission, ACOSS call</w:t>
      </w:r>
      <w:r w:rsidR="00E9069C">
        <w:rPr>
          <w:rFonts w:cstheme="minorHAnsi"/>
        </w:rPr>
        <w:t>s</w:t>
      </w:r>
      <w:r w:rsidRPr="00D56EE8">
        <w:rPr>
          <w:rFonts w:cstheme="minorHAnsi"/>
        </w:rPr>
        <w:t xml:space="preserve"> for an increase in single rates of Ne</w:t>
      </w:r>
      <w:r w:rsidR="00B46E04">
        <w:rPr>
          <w:rFonts w:cstheme="minorHAnsi"/>
        </w:rPr>
        <w:t>wstart and Youth Allowance of $9</w:t>
      </w:r>
      <w:r w:rsidRPr="00D56EE8">
        <w:rPr>
          <w:rFonts w:cstheme="minorHAnsi"/>
        </w:rPr>
        <w:t>5 per week</w:t>
      </w:r>
      <w:r w:rsidR="00E9069C">
        <w:rPr>
          <w:rFonts w:cstheme="minorHAnsi"/>
        </w:rPr>
        <w:t xml:space="preserve"> to </w:t>
      </w:r>
      <w:r w:rsidR="00E9069C" w:rsidRPr="00D56EE8">
        <w:rPr>
          <w:rFonts w:cstheme="minorHAnsi"/>
        </w:rPr>
        <w:t>ensur</w:t>
      </w:r>
      <w:r w:rsidR="00E9069C">
        <w:rPr>
          <w:rFonts w:cstheme="minorHAnsi"/>
        </w:rPr>
        <w:t>e</w:t>
      </w:r>
      <w:r w:rsidR="00E9069C" w:rsidRPr="00D56EE8">
        <w:rPr>
          <w:rFonts w:cstheme="minorHAnsi"/>
        </w:rPr>
        <w:t xml:space="preserve"> people looking for paid work </w:t>
      </w:r>
      <w:r w:rsidR="00E9069C">
        <w:rPr>
          <w:rFonts w:cstheme="minorHAnsi"/>
        </w:rPr>
        <w:t>can meet basic living costs and search for employment</w:t>
      </w:r>
      <w:r w:rsidRPr="00D56EE8">
        <w:rPr>
          <w:rFonts w:cstheme="minorHAnsi"/>
        </w:rPr>
        <w:t>.</w:t>
      </w:r>
      <w:r w:rsidRPr="00D56EE8">
        <w:rPr>
          <w:rStyle w:val="FootnoteReference"/>
          <w:rFonts w:cstheme="minorHAnsi"/>
        </w:rPr>
        <w:footnoteReference w:id="9"/>
      </w:r>
      <w:r w:rsidRPr="00D56EE8">
        <w:rPr>
          <w:rFonts w:cstheme="minorHAnsi"/>
        </w:rPr>
        <w:t xml:space="preserve"> </w:t>
      </w:r>
    </w:p>
    <w:p w:rsidR="00D56EE8" w:rsidRPr="00D56EE8" w:rsidRDefault="00D56EE8" w:rsidP="00D56EE8">
      <w:pPr>
        <w:spacing w:after="120" w:line="276" w:lineRule="auto"/>
        <w:rPr>
          <w:rFonts w:cstheme="minorHAnsi"/>
        </w:rPr>
      </w:pPr>
      <w:r w:rsidRPr="00D56EE8">
        <w:rPr>
          <w:rFonts w:cstheme="minorHAnsi"/>
        </w:rPr>
        <w:t xml:space="preserve">Family Tax Benefits supplement </w:t>
      </w:r>
      <w:r w:rsidR="005429C2">
        <w:rPr>
          <w:rFonts w:cstheme="minorHAnsi"/>
        </w:rPr>
        <w:t>income from employment</w:t>
      </w:r>
      <w:r w:rsidRPr="00D56EE8">
        <w:rPr>
          <w:rFonts w:cstheme="minorHAnsi"/>
        </w:rPr>
        <w:t xml:space="preserve"> for households with dependent children, raising the disposable incomes of low-paid households. However, in recent years governments have reduced these payments (cutting $12 billion from Family Tax Benefits alone between 2009 and 2016), leaving families with low incomes more reliant on wage increases. In particular, since 2009 Family Tax Benefit (Part A) for low income families has been indexed to the CPI only rather than wage movements, reducing payment levels </w:t>
      </w:r>
      <w:r w:rsidRPr="00D56EE8">
        <w:rPr>
          <w:rFonts w:cstheme="minorHAnsi"/>
        </w:rPr>
        <w:lastRenderedPageBreak/>
        <w:t xml:space="preserve">since then by </w:t>
      </w:r>
      <w:r w:rsidR="00B46E04">
        <w:rPr>
          <w:rFonts w:cstheme="minorHAnsi"/>
        </w:rPr>
        <w:t xml:space="preserve">over </w:t>
      </w:r>
      <w:r w:rsidRPr="00D56EE8">
        <w:rPr>
          <w:rFonts w:cstheme="minorHAnsi"/>
        </w:rPr>
        <w:t>$13 per week for each child under 12 years and $17 per week for each older child (with further reductions in the future).</w:t>
      </w:r>
      <w:r w:rsidRPr="00D56EE8">
        <w:rPr>
          <w:rStyle w:val="FootnoteReference"/>
          <w:rFonts w:cstheme="minorHAnsi"/>
        </w:rPr>
        <w:footnoteReference w:id="10"/>
      </w:r>
      <w:r w:rsidRPr="00D56EE8">
        <w:rPr>
          <w:rFonts w:cstheme="minorHAnsi"/>
        </w:rPr>
        <w:t xml:space="preserve"> As a result, the real disposable incomes of low paid families have declined relative to those without children.</w:t>
      </w:r>
      <w:r w:rsidRPr="00D56EE8">
        <w:rPr>
          <w:rStyle w:val="FootnoteReference"/>
          <w:rFonts w:cstheme="minorHAnsi"/>
        </w:rPr>
        <w:footnoteReference w:id="11"/>
      </w:r>
      <w:r w:rsidRPr="00D56EE8">
        <w:rPr>
          <w:rFonts w:cstheme="minorHAnsi"/>
        </w:rPr>
        <w:t xml:space="preserve"> </w:t>
      </w:r>
    </w:p>
    <w:p w:rsidR="00D56EE8" w:rsidRPr="00D56EE8" w:rsidRDefault="00D56EE8" w:rsidP="00D56EE8">
      <w:pPr>
        <w:spacing w:after="120" w:line="276" w:lineRule="auto"/>
        <w:rPr>
          <w:rFonts w:cstheme="minorHAnsi"/>
        </w:rPr>
      </w:pPr>
      <w:r w:rsidRPr="00D56EE8">
        <w:rPr>
          <w:rFonts w:cstheme="minorHAnsi"/>
        </w:rPr>
        <w:t xml:space="preserve">Child poverty has already increased over the past </w:t>
      </w:r>
      <w:r w:rsidR="00E9069C">
        <w:rPr>
          <w:rFonts w:cstheme="minorHAnsi"/>
        </w:rPr>
        <w:t xml:space="preserve">two </w:t>
      </w:r>
      <w:r w:rsidRPr="00D56EE8">
        <w:rPr>
          <w:rFonts w:cstheme="minorHAnsi"/>
        </w:rPr>
        <w:t>decade</w:t>
      </w:r>
      <w:r w:rsidR="00E9069C">
        <w:rPr>
          <w:rFonts w:cstheme="minorHAnsi"/>
        </w:rPr>
        <w:t>s</w:t>
      </w:r>
      <w:r w:rsidRPr="00D56EE8">
        <w:rPr>
          <w:rFonts w:cstheme="minorHAnsi"/>
        </w:rPr>
        <w:t>, and will continue to rise</w:t>
      </w:r>
      <w:r w:rsidR="00B446CD">
        <w:rPr>
          <w:rFonts w:cstheme="minorHAnsi"/>
        </w:rPr>
        <w:t>,</w:t>
      </w:r>
      <w:r w:rsidRPr="00D56EE8">
        <w:rPr>
          <w:rFonts w:cstheme="minorHAnsi"/>
        </w:rPr>
        <w:t xml:space="preserve"> if minimum wages and family payments do not increase in line with wage increases generally.</w:t>
      </w:r>
      <w:r w:rsidRPr="00D56EE8">
        <w:rPr>
          <w:rStyle w:val="FootnoteReference"/>
          <w:rFonts w:cstheme="minorHAnsi"/>
        </w:rPr>
        <w:t xml:space="preserve"> </w:t>
      </w:r>
      <w:r w:rsidRPr="00D56EE8">
        <w:rPr>
          <w:rStyle w:val="FootnoteReference"/>
          <w:rFonts w:cstheme="minorHAnsi"/>
        </w:rPr>
        <w:footnoteReference w:id="12"/>
      </w:r>
    </w:p>
    <w:p w:rsidR="00D56EE8" w:rsidRPr="00D56EE8" w:rsidRDefault="00D56EE8" w:rsidP="00D56EE8">
      <w:pPr>
        <w:spacing w:after="120" w:line="276" w:lineRule="auto"/>
        <w:rPr>
          <w:rFonts w:cstheme="minorHAnsi"/>
        </w:rPr>
      </w:pPr>
      <w:r w:rsidRPr="00D56EE8">
        <w:rPr>
          <w:rFonts w:cstheme="minorHAnsi"/>
        </w:rPr>
        <w:t>There is no automatic relationship between minimum wage levels and overall employment and unemployment levels. Increases in minimum wages awarded by the Commission in recent years have had no discernible impact on aggregate employment.</w:t>
      </w:r>
      <w:r w:rsidRPr="00D56EE8">
        <w:rPr>
          <w:rStyle w:val="FootnoteReference"/>
          <w:rFonts w:cstheme="minorHAnsi"/>
        </w:rPr>
        <w:footnoteReference w:id="13"/>
      </w:r>
      <w:r w:rsidR="00B46E04">
        <w:rPr>
          <w:rFonts w:cstheme="minorHAnsi"/>
        </w:rPr>
        <w:t xml:space="preserve"> International evidence generally supports the view that modest increases in minimum wages have little or no adverse impact on employment. </w:t>
      </w:r>
      <w:r w:rsidR="00B46E04">
        <w:rPr>
          <w:rStyle w:val="FootnoteReference"/>
          <w:rFonts w:cstheme="minorHAnsi"/>
        </w:rPr>
        <w:footnoteReference w:id="14"/>
      </w:r>
    </w:p>
    <w:p w:rsidR="00D56EE8" w:rsidRPr="00D56EE8" w:rsidRDefault="00D56EE8" w:rsidP="00D56EE8">
      <w:pPr>
        <w:spacing w:after="120" w:line="276" w:lineRule="auto"/>
        <w:rPr>
          <w:rFonts w:cstheme="minorHAnsi"/>
        </w:rPr>
      </w:pPr>
      <w:r w:rsidRPr="00D56EE8">
        <w:rPr>
          <w:rFonts w:cstheme="minorHAnsi"/>
        </w:rPr>
        <w:lastRenderedPageBreak/>
        <w:t>Under current economic conditions, there is both more scope and a greater need to substantially increase minimum wages. There is more scope to do so because the relationship between wage growth and inflation has changed in recent years and Australia is well short of ‘full employment’.</w:t>
      </w:r>
      <w:r w:rsidRPr="00D56EE8">
        <w:rPr>
          <w:rStyle w:val="FootnoteReference"/>
          <w:rFonts w:cstheme="minorHAnsi"/>
        </w:rPr>
        <w:footnoteReference w:id="15"/>
      </w:r>
      <w:r w:rsidRPr="00D56EE8">
        <w:rPr>
          <w:rFonts w:cstheme="minorHAnsi"/>
        </w:rPr>
        <w:t xml:space="preserve"> There is a greater need to do so because (in addition to wider concerns around poverty and living standards), Australia needs stronger wage growth to lift the economy from its present low-growth, low-inflation path. </w:t>
      </w:r>
    </w:p>
    <w:p w:rsidR="00D56EE8" w:rsidRPr="00D56EE8" w:rsidRDefault="00D56EE8" w:rsidP="00D56EE8">
      <w:pPr>
        <w:spacing w:after="120" w:line="276" w:lineRule="auto"/>
        <w:contextualSpacing/>
        <w:jc w:val="both"/>
        <w:rPr>
          <w:rFonts w:cstheme="minorHAnsi"/>
        </w:rPr>
      </w:pPr>
      <w:r w:rsidRPr="00D56EE8">
        <w:rPr>
          <w:rFonts w:cstheme="minorHAnsi"/>
        </w:rPr>
        <w:t xml:space="preserve">In brief, we </w:t>
      </w:r>
      <w:r w:rsidRPr="00D56EE8">
        <w:rPr>
          <w:rFonts w:cstheme="minorHAnsi"/>
          <w:i/>
        </w:rPr>
        <w:t>recommend</w:t>
      </w:r>
      <w:r w:rsidRPr="00D56EE8">
        <w:rPr>
          <w:rFonts w:cstheme="minorHAnsi"/>
        </w:rPr>
        <w:t xml:space="preserve"> that:</w:t>
      </w:r>
    </w:p>
    <w:p w:rsidR="00D56EE8" w:rsidRPr="0033317A" w:rsidRDefault="00D56EE8" w:rsidP="00D56EE8">
      <w:pPr>
        <w:pStyle w:val="ListParagraph"/>
        <w:numPr>
          <w:ilvl w:val="0"/>
          <w:numId w:val="36"/>
        </w:numPr>
        <w:spacing w:after="120" w:line="276" w:lineRule="auto"/>
        <w:contextualSpacing/>
        <w:rPr>
          <w:rFonts w:ascii="Verdana" w:hAnsi="Verdana" w:cstheme="minorHAnsi"/>
          <w:sz w:val="22"/>
          <w:szCs w:val="22"/>
        </w:rPr>
      </w:pPr>
      <w:r w:rsidRPr="0033317A">
        <w:rPr>
          <w:rFonts w:ascii="Verdana" w:hAnsi="Verdana" w:cstheme="minorHAnsi"/>
          <w:sz w:val="22"/>
          <w:szCs w:val="22"/>
        </w:rPr>
        <w:t>The Commission increase real minimum wages substantially in order to reduce the gap between them and median pay levels.</w:t>
      </w:r>
    </w:p>
    <w:p w:rsidR="00D56EE8" w:rsidRPr="0033317A" w:rsidRDefault="00D56EE8" w:rsidP="00D56EE8">
      <w:pPr>
        <w:pStyle w:val="ListParagraph"/>
        <w:numPr>
          <w:ilvl w:val="0"/>
          <w:numId w:val="36"/>
        </w:numPr>
        <w:spacing w:after="120" w:line="276" w:lineRule="auto"/>
        <w:contextualSpacing/>
        <w:rPr>
          <w:rFonts w:ascii="Verdana" w:hAnsi="Verdana" w:cstheme="minorHAnsi"/>
          <w:sz w:val="22"/>
          <w:szCs w:val="22"/>
        </w:rPr>
      </w:pPr>
      <w:r w:rsidRPr="0033317A">
        <w:rPr>
          <w:rFonts w:ascii="Verdana" w:hAnsi="Verdana" w:cstheme="minorHAnsi"/>
          <w:sz w:val="22"/>
          <w:szCs w:val="22"/>
        </w:rPr>
        <w:t>Decisions on the level of minimum wages be informed by regular comparisons of the living standards of minimum wage-earning households with benchmark indicators of a ‘decent basic living standard’ for a single adult, together with the wages needed (along with relevant social security payments) to ensure that low-paid families with children are free from poverty.</w:t>
      </w:r>
    </w:p>
    <w:p w:rsidR="00D56EE8" w:rsidRPr="0033317A" w:rsidRDefault="00D56EE8" w:rsidP="00D56EE8">
      <w:pPr>
        <w:spacing w:after="120" w:line="276" w:lineRule="auto"/>
        <w:rPr>
          <w:rFonts w:cstheme="minorHAnsi"/>
        </w:rPr>
      </w:pPr>
      <w:r w:rsidRPr="0033317A">
        <w:rPr>
          <w:rFonts w:cstheme="minorHAnsi"/>
        </w:rPr>
        <w:t>More detailed evidence and recommendations follow.</w:t>
      </w:r>
      <w:bookmarkStart w:id="17" w:name="_Toc447008151"/>
      <w:bookmarkStart w:id="18" w:name="_Toc447007815"/>
      <w:bookmarkStart w:id="19" w:name="_Toc416444505"/>
    </w:p>
    <w:p w:rsidR="00D56EE8" w:rsidRPr="00D56EE8" w:rsidRDefault="00D56EE8" w:rsidP="00D56EE8">
      <w:r w:rsidRPr="00D56EE8">
        <w:br w:type="page"/>
      </w:r>
    </w:p>
    <w:p w:rsidR="00D56EE8" w:rsidRPr="00D56EE8" w:rsidRDefault="00D56EE8" w:rsidP="00D56EE8">
      <w:pPr>
        <w:pStyle w:val="Heading2"/>
      </w:pPr>
      <w:bookmarkStart w:id="20" w:name="_Toc508977994"/>
      <w:bookmarkStart w:id="21" w:name="_Toc34848640"/>
      <w:r w:rsidRPr="00D56EE8">
        <w:lastRenderedPageBreak/>
        <w:t>Recent economic and labour market trends</w:t>
      </w:r>
      <w:bookmarkEnd w:id="17"/>
      <w:bookmarkEnd w:id="18"/>
      <w:bookmarkEnd w:id="19"/>
      <w:bookmarkEnd w:id="20"/>
      <w:bookmarkEnd w:id="21"/>
      <w:r w:rsidRPr="00D56EE8">
        <w:t xml:space="preserve"> </w:t>
      </w:r>
    </w:p>
    <w:p w:rsidR="00B446CD" w:rsidRDefault="00B446CD" w:rsidP="00D56EE8">
      <w:pPr>
        <w:spacing w:after="120" w:line="276" w:lineRule="auto"/>
        <w:rPr>
          <w:rFonts w:cstheme="minorHAnsi"/>
        </w:rPr>
      </w:pPr>
    </w:p>
    <w:p w:rsidR="00D56EE8" w:rsidRPr="00D56EE8" w:rsidRDefault="00D56EE8" w:rsidP="00D56EE8">
      <w:pPr>
        <w:spacing w:after="120" w:line="276" w:lineRule="auto"/>
        <w:rPr>
          <w:rFonts w:cstheme="minorHAnsi"/>
        </w:rPr>
      </w:pPr>
      <w:r w:rsidRPr="00D56EE8">
        <w:rPr>
          <w:rFonts w:cstheme="minorHAnsi"/>
        </w:rPr>
        <w:t xml:space="preserve">Australia, like many wealthy nations, is finding it difficult to break out of a low GDP growth, low wage growth, low inflation cycle. Growth in the Australian economy slowed </w:t>
      </w:r>
      <w:r w:rsidR="001F4702">
        <w:rPr>
          <w:rFonts w:cstheme="minorHAnsi"/>
        </w:rPr>
        <w:t>over the last two years</w:t>
      </w:r>
      <w:r w:rsidRPr="00D56EE8">
        <w:rPr>
          <w:rFonts w:cstheme="minorHAnsi"/>
        </w:rPr>
        <w:t xml:space="preserve">. On average, GDP growth </w:t>
      </w:r>
      <w:r w:rsidR="001F4702">
        <w:rPr>
          <w:rFonts w:cstheme="minorHAnsi"/>
        </w:rPr>
        <w:t xml:space="preserve">in 2018 and 2019 </w:t>
      </w:r>
      <w:r w:rsidRPr="00D56EE8">
        <w:rPr>
          <w:rFonts w:cstheme="minorHAnsi"/>
        </w:rPr>
        <w:t>was just 2.3%.</w:t>
      </w:r>
      <w:r w:rsidRPr="00D56EE8">
        <w:rPr>
          <w:rStyle w:val="FootnoteReference"/>
          <w:rFonts w:cstheme="minorHAnsi"/>
        </w:rPr>
        <w:footnoteReference w:id="16"/>
      </w:r>
      <w:r w:rsidRPr="00D56EE8">
        <w:rPr>
          <w:rFonts w:cstheme="minorHAnsi"/>
        </w:rPr>
        <w:t xml:space="preserve"> </w:t>
      </w:r>
    </w:p>
    <w:p w:rsidR="00D56EE8" w:rsidRPr="00D56EE8" w:rsidRDefault="00D56EE8" w:rsidP="00D56EE8">
      <w:pPr>
        <w:spacing w:after="120" w:line="276" w:lineRule="auto"/>
        <w:rPr>
          <w:rFonts w:cstheme="minorHAnsi"/>
        </w:rPr>
      </w:pPr>
      <w:r w:rsidRPr="00D56EE8">
        <w:rPr>
          <w:rFonts w:cstheme="minorHAnsi"/>
        </w:rPr>
        <w:t>Low earnings growth, and the expectation that this will continue, is a major reason for this economic slow-down.</w:t>
      </w:r>
      <w:r w:rsidRPr="00D56EE8">
        <w:rPr>
          <w:rStyle w:val="FootnoteReference"/>
          <w:rFonts w:cstheme="minorHAnsi"/>
        </w:rPr>
        <w:footnoteReference w:id="17"/>
      </w:r>
      <w:r w:rsidRPr="00D56EE8">
        <w:rPr>
          <w:rFonts w:cstheme="minorHAnsi"/>
        </w:rPr>
        <w:t xml:space="preserve"> The Wage Price Index rose by an average of just 2.2% per annum over the last two years, barely above inflation at 1.9% </w:t>
      </w:r>
      <w:r w:rsidR="00B446CD">
        <w:rPr>
          <w:rFonts w:cstheme="minorHAnsi"/>
        </w:rPr>
        <w:t>(</w:t>
      </w:r>
      <w:r w:rsidRPr="00D56EE8">
        <w:rPr>
          <w:rFonts w:cstheme="minorHAnsi"/>
        </w:rPr>
        <w:t>Figure 1).</w:t>
      </w:r>
      <w:r w:rsidRPr="00D56EE8">
        <w:rPr>
          <w:rStyle w:val="FootnoteReference"/>
          <w:rFonts w:cstheme="minorHAnsi"/>
        </w:rPr>
        <w:footnoteReference w:id="18"/>
      </w:r>
      <w:r w:rsidRPr="00D56EE8">
        <w:rPr>
          <w:rFonts w:cstheme="minorHAnsi"/>
        </w:rPr>
        <w:t xml:space="preserve"> </w:t>
      </w:r>
      <w:r w:rsidRPr="00D56EE8">
        <w:rPr>
          <w:rFonts w:cstheme="minorHAnsi"/>
        </w:rPr>
        <w:br/>
      </w:r>
    </w:p>
    <w:p w:rsidR="00CF2F87" w:rsidRDefault="00D56EE8" w:rsidP="00B446CD">
      <w:pPr>
        <w:pStyle w:val="Caption"/>
        <w:rPr>
          <w:rFonts w:ascii="Verdana" w:hAnsi="Verdana"/>
        </w:rPr>
      </w:pPr>
      <w:r w:rsidRPr="00D56EE8">
        <w:rPr>
          <w:rFonts w:ascii="Verdana" w:hAnsi="Verdana"/>
        </w:rPr>
        <w:t>Figure 1:</w:t>
      </w:r>
    </w:p>
    <w:p w:rsidR="00D56EE8" w:rsidRPr="00D56EE8" w:rsidRDefault="00CF2F87" w:rsidP="00D56EE8">
      <w:pPr>
        <w:pStyle w:val="Caption"/>
        <w:rPr>
          <w:rFonts w:ascii="Verdana" w:hAnsi="Verdana"/>
        </w:rPr>
      </w:pPr>
      <w:r>
        <w:rPr>
          <w:noProof/>
          <w:lang w:val="en-US"/>
        </w:rPr>
        <w:lastRenderedPageBreak/>
        <w:drawing>
          <wp:inline distT="0" distB="0" distL="0" distR="0">
            <wp:extent cx="4515193" cy="3512820"/>
            <wp:effectExtent l="0" t="0" r="0" b="0"/>
            <wp:docPr id="4" name="Picture 4" descr="Wage Price Index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ge Price Index Grow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2672" cy="3518639"/>
                    </a:xfrm>
                    <a:prstGeom prst="rect">
                      <a:avLst/>
                    </a:prstGeom>
                    <a:noFill/>
                    <a:ln>
                      <a:noFill/>
                    </a:ln>
                  </pic:spPr>
                </pic:pic>
              </a:graphicData>
            </a:graphic>
          </wp:inline>
        </w:drawing>
      </w:r>
      <w:r w:rsidR="00D56EE8" w:rsidRPr="00D56EE8">
        <w:rPr>
          <w:rFonts w:ascii="Verdana" w:hAnsi="Verdana"/>
        </w:rPr>
        <w:br/>
      </w:r>
    </w:p>
    <w:p w:rsidR="00D56EE8" w:rsidRPr="00CF2F87" w:rsidRDefault="00D56EE8" w:rsidP="00CF2F87">
      <w:pPr>
        <w:pStyle w:val="Heading1"/>
        <w:shd w:val="clear" w:color="auto" w:fill="FFFFFF"/>
        <w:spacing w:before="0" w:after="300"/>
        <w:rPr>
          <w:rFonts w:ascii="Verdana" w:hAnsi="Verdana" w:cstheme="minorHAnsi"/>
          <w:color w:val="000000"/>
          <w:sz w:val="20"/>
          <w:szCs w:val="20"/>
        </w:rPr>
      </w:pPr>
      <w:bookmarkStart w:id="22" w:name="_Toc34848641"/>
      <w:r w:rsidRPr="00D25C43">
        <w:rPr>
          <w:rStyle w:val="Strong"/>
          <w:rFonts w:ascii="Verdana" w:hAnsi="Verdana" w:cstheme="minorHAnsi"/>
          <w:b w:val="0"/>
          <w:color w:val="000000"/>
          <w:sz w:val="20"/>
          <w:szCs w:val="20"/>
        </w:rPr>
        <w:t>Source:</w:t>
      </w:r>
      <w:r w:rsidRPr="00D56EE8">
        <w:rPr>
          <w:rStyle w:val="Strong"/>
          <w:rFonts w:ascii="Verdana" w:hAnsi="Verdana" w:cstheme="minorHAnsi"/>
          <w:color w:val="000000"/>
          <w:sz w:val="20"/>
          <w:szCs w:val="20"/>
        </w:rPr>
        <w:t xml:space="preserve"> </w:t>
      </w:r>
      <w:r w:rsidR="00CF2F87" w:rsidRPr="00CF2F87">
        <w:rPr>
          <w:rStyle w:val="rss-speech-date"/>
          <w:rFonts w:ascii="Verdana" w:eastAsia="Times New Roman" w:hAnsi="Verdana" w:cstheme="minorHAnsi"/>
          <w:bCs/>
          <w:color w:val="000000"/>
          <w:sz w:val="20"/>
          <w:szCs w:val="20"/>
          <w:lang w:val="en-AU"/>
        </w:rPr>
        <w:t>Chart Pack</w:t>
      </w:r>
      <w:r w:rsidR="00CF2F87">
        <w:rPr>
          <w:rStyle w:val="rss-speech-date"/>
          <w:rFonts w:ascii="Verdana" w:eastAsia="Times New Roman" w:hAnsi="Verdana" w:cstheme="minorHAnsi"/>
          <w:bCs/>
          <w:color w:val="000000"/>
          <w:sz w:val="20"/>
          <w:szCs w:val="20"/>
          <w:lang w:val="en-AU"/>
        </w:rPr>
        <w:t xml:space="preserve">, </w:t>
      </w:r>
      <w:r w:rsidR="00CF2F87" w:rsidRPr="00CF2F87">
        <w:rPr>
          <w:rStyle w:val="rss-speech-date"/>
          <w:rFonts w:ascii="Verdana" w:eastAsia="Times New Roman" w:hAnsi="Verdana" w:cstheme="minorHAnsi"/>
          <w:bCs/>
          <w:color w:val="000000"/>
          <w:sz w:val="20"/>
          <w:szCs w:val="20"/>
          <w:lang w:val="en-AU"/>
        </w:rPr>
        <w:t>Factors of Production and Labour Market</w:t>
      </w:r>
      <w:r w:rsidR="00CF2F87">
        <w:rPr>
          <w:rStyle w:val="rss-speech-date"/>
          <w:rFonts w:ascii="Verdana" w:eastAsia="Times New Roman" w:hAnsi="Verdana" w:cstheme="minorHAnsi"/>
          <w:bCs/>
          <w:color w:val="000000"/>
          <w:sz w:val="20"/>
          <w:szCs w:val="20"/>
          <w:lang w:val="en-AU"/>
        </w:rPr>
        <w:t xml:space="preserve">, 4 March 2020, </w:t>
      </w:r>
      <w:r w:rsidRPr="00D56EE8">
        <w:rPr>
          <w:rStyle w:val="rss-speech-date"/>
          <w:rFonts w:ascii="Verdana" w:hAnsi="Verdana" w:cstheme="minorHAnsi"/>
          <w:color w:val="000000"/>
          <w:sz w:val="20"/>
          <w:szCs w:val="20"/>
        </w:rPr>
        <w:t>Reserve Bank of Australia.</w:t>
      </w:r>
      <w:bookmarkEnd w:id="22"/>
    </w:p>
    <w:p w:rsidR="00B446CD" w:rsidRDefault="00B446CD" w:rsidP="00D56EE8">
      <w:pPr>
        <w:spacing w:after="120" w:line="276" w:lineRule="auto"/>
        <w:rPr>
          <w:rFonts w:cstheme="minorHAnsi"/>
        </w:rPr>
      </w:pPr>
    </w:p>
    <w:p w:rsidR="00D56EE8" w:rsidRDefault="00CF2F87" w:rsidP="00D56EE8">
      <w:pPr>
        <w:spacing w:after="120" w:line="276" w:lineRule="auto"/>
        <w:rPr>
          <w:rFonts w:cstheme="minorHAnsi"/>
        </w:rPr>
      </w:pPr>
      <w:r w:rsidRPr="00D56EE8">
        <w:rPr>
          <w:rFonts w:cstheme="minorHAnsi"/>
        </w:rPr>
        <w:t>Weak growth in earnings and social security payments is stunting consumer demand</w:t>
      </w:r>
      <w:r>
        <w:rPr>
          <w:rFonts w:cstheme="minorHAnsi"/>
        </w:rPr>
        <w:t xml:space="preserve">, which rose by just 1.2% through 2019. </w:t>
      </w:r>
      <w:r w:rsidRPr="00D56EE8">
        <w:rPr>
          <w:rFonts w:cstheme="minorHAnsi"/>
        </w:rPr>
        <w:t xml:space="preserve">Households on lower incomes are either dis-saving or running down their savings to </w:t>
      </w:r>
      <w:r w:rsidRPr="00D56EE8">
        <w:rPr>
          <w:rFonts w:cstheme="minorHAnsi"/>
        </w:rPr>
        <w:lastRenderedPageBreak/>
        <w:t xml:space="preserve">meet ongoing costs. These trends cannot continue. The household saving rate declined from 4.7% in December 2016 to </w:t>
      </w:r>
      <w:r>
        <w:rPr>
          <w:rFonts w:cstheme="minorHAnsi"/>
        </w:rPr>
        <w:t>3.6</w:t>
      </w:r>
      <w:r w:rsidRPr="00D56EE8">
        <w:rPr>
          <w:rFonts w:cstheme="minorHAnsi"/>
        </w:rPr>
        <w:t xml:space="preserve">% in </w:t>
      </w:r>
      <w:r>
        <w:rPr>
          <w:rFonts w:cstheme="minorHAnsi"/>
        </w:rPr>
        <w:t>December 2019 (Figure 2)</w:t>
      </w:r>
      <w:r w:rsidRPr="00D56EE8">
        <w:rPr>
          <w:rFonts w:cstheme="minorHAnsi"/>
        </w:rPr>
        <w:t>.</w:t>
      </w:r>
      <w:r w:rsidRPr="00D56EE8">
        <w:rPr>
          <w:rStyle w:val="FootnoteReference"/>
          <w:rFonts w:cstheme="minorHAnsi"/>
        </w:rPr>
        <w:footnoteReference w:id="19"/>
      </w:r>
    </w:p>
    <w:p w:rsidR="00B446CD" w:rsidRPr="00D56EE8" w:rsidRDefault="00B446CD" w:rsidP="00D56EE8">
      <w:pPr>
        <w:spacing w:after="120" w:line="276" w:lineRule="auto"/>
        <w:rPr>
          <w:rFonts w:cstheme="minorHAnsi"/>
        </w:rPr>
      </w:pPr>
    </w:p>
    <w:p w:rsidR="00D56EE8" w:rsidRDefault="00D56EE8" w:rsidP="00B446CD">
      <w:pPr>
        <w:pStyle w:val="Caption"/>
        <w:ind w:left="2160" w:firstLine="720"/>
        <w:jc w:val="left"/>
        <w:rPr>
          <w:rFonts w:ascii="Verdana" w:hAnsi="Verdana"/>
        </w:rPr>
      </w:pPr>
      <w:r w:rsidRPr="00D56EE8">
        <w:rPr>
          <w:rFonts w:ascii="Verdana" w:hAnsi="Verdana"/>
        </w:rPr>
        <w:t>Figure 2:</w:t>
      </w:r>
    </w:p>
    <w:p w:rsidR="00CF2F87" w:rsidRPr="00CF2F87" w:rsidRDefault="00CF2F87" w:rsidP="00CF2F87">
      <w:pPr>
        <w:rPr>
          <w:lang w:val="en-AU"/>
        </w:rPr>
      </w:pPr>
      <w:r>
        <w:rPr>
          <w:noProof/>
        </w:rPr>
        <w:lastRenderedPageBreak/>
        <w:drawing>
          <wp:inline distT="0" distB="0" distL="0" distR="0">
            <wp:extent cx="4800600" cy="3936492"/>
            <wp:effectExtent l="0" t="0" r="0" b="6985"/>
            <wp:docPr id="8" name="Picture 8" descr="Household Income and Consu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usehold Income and Consump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6011" cy="3940929"/>
                    </a:xfrm>
                    <a:prstGeom prst="rect">
                      <a:avLst/>
                    </a:prstGeom>
                    <a:noFill/>
                    <a:ln>
                      <a:noFill/>
                    </a:ln>
                  </pic:spPr>
                </pic:pic>
              </a:graphicData>
            </a:graphic>
          </wp:inline>
        </w:drawing>
      </w:r>
    </w:p>
    <w:p w:rsidR="00D56EE8" w:rsidRPr="00D56EE8" w:rsidRDefault="00D56EE8" w:rsidP="00D56EE8">
      <w:pPr>
        <w:spacing w:after="120" w:line="276" w:lineRule="auto"/>
        <w:jc w:val="center"/>
      </w:pPr>
    </w:p>
    <w:p w:rsidR="00D56EE8" w:rsidRPr="00D56EE8" w:rsidRDefault="00CF2F87" w:rsidP="00D56EE8">
      <w:pPr>
        <w:pStyle w:val="NormalWeb"/>
        <w:jc w:val="center"/>
        <w:rPr>
          <w:rStyle w:val="Strong"/>
          <w:rFonts w:ascii="Verdana" w:hAnsi="Verdana" w:cstheme="minorHAnsi"/>
          <w:b w:val="0"/>
          <w:color w:val="000000"/>
          <w:sz w:val="20"/>
          <w:szCs w:val="20"/>
        </w:rPr>
      </w:pPr>
      <w:r w:rsidRPr="00B446CD">
        <w:rPr>
          <w:rStyle w:val="Strong"/>
          <w:rFonts w:ascii="Verdana" w:hAnsi="Verdana" w:cstheme="minorHAnsi"/>
          <w:b w:val="0"/>
          <w:color w:val="000000"/>
          <w:sz w:val="20"/>
          <w:szCs w:val="20"/>
        </w:rPr>
        <w:t>Source:</w:t>
      </w:r>
      <w:r w:rsidRPr="00D56EE8">
        <w:rPr>
          <w:rStyle w:val="Strong"/>
          <w:rFonts w:ascii="Verdana" w:hAnsi="Verdana" w:cstheme="minorHAnsi"/>
          <w:color w:val="000000"/>
          <w:sz w:val="20"/>
          <w:szCs w:val="20"/>
        </w:rPr>
        <w:t xml:space="preserve"> </w:t>
      </w:r>
      <w:r w:rsidRPr="00CF2F87">
        <w:rPr>
          <w:rStyle w:val="rss-speech-date"/>
          <w:rFonts w:ascii="Verdana" w:hAnsi="Verdana" w:cstheme="minorHAnsi"/>
          <w:bCs w:val="0"/>
          <w:color w:val="000000"/>
          <w:sz w:val="20"/>
          <w:szCs w:val="20"/>
        </w:rPr>
        <w:t>Chart Pack</w:t>
      </w:r>
      <w:r>
        <w:rPr>
          <w:rStyle w:val="rss-speech-date"/>
          <w:rFonts w:ascii="Verdana" w:hAnsi="Verdana" w:cstheme="minorHAnsi"/>
          <w:bCs w:val="0"/>
          <w:color w:val="000000"/>
          <w:sz w:val="20"/>
          <w:szCs w:val="20"/>
        </w:rPr>
        <w:t xml:space="preserve">, Household sector, 4 March 2020, </w:t>
      </w:r>
      <w:r w:rsidRPr="00D56EE8">
        <w:rPr>
          <w:rStyle w:val="rss-speech-date"/>
          <w:rFonts w:ascii="Verdana" w:hAnsi="Verdana" w:cstheme="minorHAnsi"/>
          <w:color w:val="000000"/>
          <w:sz w:val="20"/>
          <w:szCs w:val="20"/>
        </w:rPr>
        <w:t>Reserve Bank of Australia</w:t>
      </w:r>
      <w:r>
        <w:rPr>
          <w:rStyle w:val="rss-speech-date"/>
          <w:rFonts w:ascii="Verdana" w:hAnsi="Verdana" w:cstheme="minorHAnsi"/>
          <w:color w:val="000000"/>
          <w:sz w:val="20"/>
          <w:szCs w:val="20"/>
        </w:rPr>
        <w:t>.</w:t>
      </w:r>
    </w:p>
    <w:p w:rsidR="00D56EE8" w:rsidRPr="00D56EE8" w:rsidRDefault="00D56EE8" w:rsidP="00D56EE8">
      <w:pPr>
        <w:spacing w:after="120" w:line="276" w:lineRule="auto"/>
      </w:pPr>
    </w:p>
    <w:p w:rsidR="00D56EE8" w:rsidRPr="00D56EE8" w:rsidRDefault="00D56EE8" w:rsidP="00D56EE8">
      <w:pPr>
        <w:spacing w:after="120" w:line="276" w:lineRule="auto"/>
        <w:rPr>
          <w:rFonts w:cstheme="minorHAnsi"/>
        </w:rPr>
      </w:pPr>
      <w:r w:rsidRPr="00D56EE8">
        <w:rPr>
          <w:rFonts w:cstheme="minorHAnsi"/>
        </w:rPr>
        <w:t xml:space="preserve">Under these conditions, minimum wage increases can make a real contribution to efforts to restore economic growth. </w:t>
      </w:r>
    </w:p>
    <w:p w:rsidR="00D56EE8" w:rsidRPr="00D56EE8" w:rsidRDefault="00D56EE8" w:rsidP="00D56EE8">
      <w:pPr>
        <w:pStyle w:val="Default"/>
        <w:rPr>
          <w:rFonts w:ascii="Verdana" w:hAnsi="Verdana"/>
        </w:rPr>
      </w:pPr>
    </w:p>
    <w:p w:rsidR="00B446CD" w:rsidRDefault="00B446CD">
      <w:pPr>
        <w:rPr>
          <w:rFonts w:eastAsiaTheme="majorEastAsia" w:cstheme="majorBidi"/>
          <w:color w:val="143156"/>
          <w:sz w:val="36"/>
          <w:szCs w:val="26"/>
        </w:rPr>
      </w:pPr>
      <w:bookmarkStart w:id="23" w:name="_Toc508977995"/>
      <w:r>
        <w:br w:type="page"/>
      </w:r>
    </w:p>
    <w:p w:rsidR="00D56EE8" w:rsidRPr="00D56EE8" w:rsidRDefault="00D56EE8" w:rsidP="00D56EE8">
      <w:pPr>
        <w:pStyle w:val="Heading2"/>
      </w:pPr>
      <w:bookmarkStart w:id="24" w:name="_Toc34848642"/>
      <w:r w:rsidRPr="00D56EE8">
        <w:lastRenderedPageBreak/>
        <w:t>Living standards</w:t>
      </w:r>
      <w:bookmarkEnd w:id="14"/>
      <w:bookmarkEnd w:id="15"/>
      <w:bookmarkEnd w:id="16"/>
      <w:bookmarkEnd w:id="23"/>
      <w:bookmarkEnd w:id="24"/>
    </w:p>
    <w:p w:rsidR="00B446CD" w:rsidRDefault="00B446CD" w:rsidP="00D56EE8">
      <w:pPr>
        <w:spacing w:after="120" w:line="276" w:lineRule="auto"/>
        <w:rPr>
          <w:rFonts w:cstheme="minorHAnsi"/>
        </w:rPr>
      </w:pPr>
    </w:p>
    <w:p w:rsidR="00D56EE8" w:rsidRPr="00D56EE8" w:rsidRDefault="00D56EE8" w:rsidP="00D56EE8">
      <w:pPr>
        <w:spacing w:after="120" w:line="276" w:lineRule="auto"/>
        <w:rPr>
          <w:rFonts w:cstheme="minorHAnsi"/>
        </w:rPr>
      </w:pPr>
      <w:r w:rsidRPr="00D56EE8">
        <w:rPr>
          <w:rFonts w:cstheme="minorHAnsi"/>
        </w:rPr>
        <w:t>In 201</w:t>
      </w:r>
      <w:r w:rsidR="00B446CD">
        <w:rPr>
          <w:rFonts w:cstheme="minorHAnsi"/>
        </w:rPr>
        <w:t>9</w:t>
      </w:r>
      <w:r w:rsidRPr="00D56EE8">
        <w:rPr>
          <w:rFonts w:cstheme="minorHAnsi"/>
        </w:rPr>
        <w:t xml:space="preserve">, </w:t>
      </w:r>
      <w:r w:rsidR="00327C3C">
        <w:rPr>
          <w:rFonts w:cstheme="minorHAnsi"/>
        </w:rPr>
        <w:t>th</w:t>
      </w:r>
      <w:r w:rsidRPr="00D56EE8">
        <w:rPr>
          <w:rFonts w:cstheme="minorHAnsi"/>
        </w:rPr>
        <w:t>e NMW rose by $</w:t>
      </w:r>
      <w:r w:rsidR="00327C3C">
        <w:rPr>
          <w:rFonts w:cstheme="minorHAnsi"/>
        </w:rPr>
        <w:t>8</w:t>
      </w:r>
      <w:r w:rsidRPr="00D56EE8">
        <w:rPr>
          <w:rFonts w:cstheme="minorHAnsi"/>
        </w:rPr>
        <w:t xml:space="preserve"> per week (1.</w:t>
      </w:r>
      <w:r w:rsidR="00327C3C">
        <w:rPr>
          <w:rFonts w:cstheme="minorHAnsi"/>
        </w:rPr>
        <w:t>1</w:t>
      </w:r>
      <w:r w:rsidRPr="00D56EE8">
        <w:rPr>
          <w:rFonts w:cstheme="minorHAnsi"/>
        </w:rPr>
        <w:t>%) over and above consumer price inflation.</w:t>
      </w:r>
      <w:r w:rsidRPr="00D56EE8">
        <w:rPr>
          <w:rStyle w:val="FootnoteReference"/>
          <w:rFonts w:cstheme="minorHAnsi"/>
        </w:rPr>
        <w:footnoteReference w:id="20"/>
      </w:r>
      <w:r w:rsidRPr="00D56EE8">
        <w:rPr>
          <w:rFonts w:cstheme="minorHAnsi"/>
        </w:rPr>
        <w:t xml:space="preserve"> </w:t>
      </w:r>
      <w:r w:rsidR="00327C3C">
        <w:rPr>
          <w:rFonts w:cstheme="minorHAnsi"/>
        </w:rPr>
        <w:t>From August 2016 to August 2018, i</w:t>
      </w:r>
      <w:r w:rsidRPr="00D56EE8">
        <w:rPr>
          <w:rFonts w:cstheme="minorHAnsi"/>
        </w:rPr>
        <w:t>t rose slightly against median full-time earnings, from 49.</w:t>
      </w:r>
      <w:r w:rsidR="00327C3C">
        <w:rPr>
          <w:rFonts w:cstheme="minorHAnsi"/>
        </w:rPr>
        <w:t>1</w:t>
      </w:r>
      <w:r w:rsidRPr="00D56EE8">
        <w:rPr>
          <w:rFonts w:cstheme="minorHAnsi"/>
        </w:rPr>
        <w:t>% to 49.</w:t>
      </w:r>
      <w:r w:rsidR="00327C3C">
        <w:rPr>
          <w:rFonts w:cstheme="minorHAnsi"/>
        </w:rPr>
        <w:t>5</w:t>
      </w:r>
      <w:r w:rsidRPr="00D56EE8">
        <w:rPr>
          <w:rFonts w:cstheme="minorHAnsi"/>
        </w:rPr>
        <w:t>%.</w:t>
      </w:r>
      <w:r w:rsidR="00327C3C">
        <w:rPr>
          <w:rStyle w:val="FootnoteReference"/>
          <w:rFonts w:cstheme="minorHAnsi"/>
        </w:rPr>
        <w:footnoteReference w:id="21"/>
      </w:r>
      <w:r w:rsidRPr="00D56EE8">
        <w:rPr>
          <w:rFonts w:cstheme="minorHAnsi"/>
        </w:rPr>
        <w:t xml:space="preserve"> </w:t>
      </w:r>
    </w:p>
    <w:p w:rsidR="00D56EE8" w:rsidRPr="00D56EE8" w:rsidRDefault="00D56EE8" w:rsidP="00D56EE8">
      <w:pPr>
        <w:spacing w:after="120" w:line="276" w:lineRule="auto"/>
      </w:pPr>
      <w:r w:rsidRPr="00D56EE8">
        <w:rPr>
          <w:rFonts w:cstheme="minorHAnsi"/>
        </w:rPr>
        <w:t>ACOSS takes a long term view of minimum wage fixation and the needs of people living on low incomes. Since 1996, the minimum wage has declined from 61% to 49% of</w:t>
      </w:r>
      <w:r w:rsidRPr="00D56EE8">
        <w:t xml:space="preserve"> fulltime median weekly earnings (Figure 3). All things equal, this implies that low paid workers have fallen well behind growth </w:t>
      </w:r>
      <w:r w:rsidRPr="00D56EE8">
        <w:rPr>
          <w:rFonts w:cstheme="minorHAnsi"/>
        </w:rPr>
        <w:t>in</w:t>
      </w:r>
      <w:r w:rsidRPr="00D56EE8">
        <w:t xml:space="preserve"> community living standards.</w:t>
      </w:r>
    </w:p>
    <w:p w:rsidR="00D56EE8" w:rsidRPr="00D56EE8" w:rsidRDefault="00D56EE8" w:rsidP="00D56EE8">
      <w:pPr>
        <w:spacing w:after="120" w:line="276" w:lineRule="auto"/>
      </w:pPr>
    </w:p>
    <w:p w:rsidR="00D56EE8" w:rsidRPr="00D56EE8" w:rsidRDefault="00D56EE8" w:rsidP="00D56EE8">
      <w:pPr>
        <w:spacing w:after="120" w:line="276" w:lineRule="auto"/>
        <w:jc w:val="center"/>
      </w:pPr>
      <w:r w:rsidRPr="00D56EE8">
        <w:rPr>
          <w:b/>
        </w:rPr>
        <w:t>Figure 3: Minimum wage as a % of fulltime median earnings</w:t>
      </w:r>
    </w:p>
    <w:p w:rsidR="00D56EE8" w:rsidRPr="00D56EE8" w:rsidRDefault="00D56EE8" w:rsidP="00D56EE8">
      <w:pPr>
        <w:spacing w:after="120" w:line="276" w:lineRule="auto"/>
        <w:jc w:val="center"/>
      </w:pPr>
      <w:r w:rsidRPr="00D56EE8">
        <w:rPr>
          <w:noProof/>
        </w:rPr>
        <w:lastRenderedPageBreak/>
        <w:drawing>
          <wp:inline distT="0" distB="0" distL="0" distR="0" wp14:anchorId="11AC1539" wp14:editId="11B6EEC5">
            <wp:extent cx="5200650" cy="3069590"/>
            <wp:effectExtent l="0" t="0" r="0" b="16510"/>
            <wp:docPr id="23" name="Chart 2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100-0000020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6EE8" w:rsidRPr="00B446CD" w:rsidRDefault="00D56EE8" w:rsidP="00B446CD">
      <w:pPr>
        <w:pStyle w:val="NormalWeb"/>
        <w:jc w:val="center"/>
        <w:rPr>
          <w:rStyle w:val="Strong"/>
          <w:rFonts w:ascii="Verdana" w:hAnsi="Verdana" w:cstheme="minorHAnsi"/>
          <w:b w:val="0"/>
          <w:color w:val="000000"/>
          <w:sz w:val="20"/>
          <w:szCs w:val="20"/>
        </w:rPr>
      </w:pPr>
      <w:r w:rsidRPr="00B446CD">
        <w:rPr>
          <w:rStyle w:val="Strong"/>
          <w:rFonts w:ascii="Verdana" w:hAnsi="Verdana" w:cstheme="minorHAnsi"/>
          <w:b w:val="0"/>
          <w:color w:val="000000"/>
          <w:sz w:val="20"/>
          <w:szCs w:val="20"/>
        </w:rPr>
        <w:t>Source: ABS, Employee earnings and hours.</w:t>
      </w:r>
      <w:r w:rsidRPr="00B446CD">
        <w:rPr>
          <w:rStyle w:val="Strong"/>
          <w:rFonts w:ascii="Verdana" w:hAnsi="Verdana" w:cstheme="minorHAnsi"/>
          <w:b w:val="0"/>
          <w:color w:val="000000"/>
          <w:sz w:val="20"/>
          <w:szCs w:val="20"/>
        </w:rPr>
        <w:br/>
        <w:t>Note: Full-time non-managerial median earnings for all jobs held by an employee.</w:t>
      </w:r>
    </w:p>
    <w:p w:rsidR="00D56EE8" w:rsidRPr="00D56EE8" w:rsidRDefault="00D56EE8" w:rsidP="00D56EE8">
      <w:pPr>
        <w:spacing w:after="120" w:line="276" w:lineRule="auto"/>
      </w:pPr>
    </w:p>
    <w:p w:rsidR="00D56EE8" w:rsidRPr="00D56EE8" w:rsidRDefault="00D56EE8" w:rsidP="00D56EE8">
      <w:pPr>
        <w:spacing w:after="120" w:line="276" w:lineRule="auto"/>
        <w:rPr>
          <w:rFonts w:cstheme="minorHAnsi"/>
        </w:rPr>
      </w:pPr>
      <w:r w:rsidRPr="00D56EE8">
        <w:rPr>
          <w:rFonts w:cstheme="minorHAnsi"/>
        </w:rPr>
        <w:t>While minimum wages cannot target poverty as precisely as social security payments, they are mainly paid to the lowest 50% of</w:t>
      </w:r>
      <w:r w:rsidR="00CF2F87">
        <w:rPr>
          <w:rFonts w:cstheme="minorHAnsi"/>
        </w:rPr>
        <w:t xml:space="preserve"> people of working age. R</w:t>
      </w:r>
      <w:r w:rsidRPr="00D56EE8">
        <w:rPr>
          <w:rFonts w:cstheme="minorHAnsi"/>
        </w:rPr>
        <w:t xml:space="preserve">esearch undertaken by the Commission found that 44% of minimum wage earners were in the lowest three deciles of household income for households where at least </w:t>
      </w:r>
      <w:r w:rsidRPr="00D56EE8">
        <w:rPr>
          <w:rFonts w:cstheme="minorHAnsi"/>
        </w:rPr>
        <w:lastRenderedPageBreak/>
        <w:t>one member was employed.</w:t>
      </w:r>
      <w:r w:rsidRPr="00D56EE8">
        <w:rPr>
          <w:rStyle w:val="FootnoteReference"/>
          <w:rFonts w:cstheme="minorHAnsi"/>
        </w:rPr>
        <w:footnoteReference w:id="22"/>
      </w:r>
      <w:r w:rsidRPr="00D56EE8">
        <w:rPr>
          <w:rFonts w:cstheme="minorHAnsi"/>
        </w:rPr>
        <w:t xml:space="preserve"> In 2016, 38% of low paid adult workers (earning below two thirds of the hourly median wage) who were partnered were either the sole or primary earners in the household.</w:t>
      </w:r>
      <w:r w:rsidRPr="00D56EE8">
        <w:rPr>
          <w:rStyle w:val="FootnoteReference"/>
          <w:rFonts w:cstheme="minorHAnsi"/>
        </w:rPr>
        <w:footnoteReference w:id="23"/>
      </w:r>
    </w:p>
    <w:p w:rsidR="00DF26F2" w:rsidRDefault="00CF2F87" w:rsidP="00CF2F87">
      <w:pPr>
        <w:spacing w:after="120" w:line="276" w:lineRule="auto"/>
        <w:rPr>
          <w:rFonts w:cstheme="minorHAnsi"/>
        </w:rPr>
      </w:pPr>
      <w:r w:rsidRPr="00D56EE8">
        <w:rPr>
          <w:rFonts w:cstheme="minorHAnsi"/>
        </w:rPr>
        <w:t xml:space="preserve">The </w:t>
      </w:r>
      <w:r>
        <w:rPr>
          <w:rFonts w:cstheme="minorHAnsi"/>
        </w:rPr>
        <w:t xml:space="preserve">forthcoming </w:t>
      </w:r>
      <w:r w:rsidRPr="00D56EE8">
        <w:rPr>
          <w:rFonts w:cstheme="minorHAnsi"/>
        </w:rPr>
        <w:t>ACOSS/UNSW report, ‘Poverty in Australia 20</w:t>
      </w:r>
      <w:r>
        <w:rPr>
          <w:rFonts w:cstheme="minorHAnsi"/>
        </w:rPr>
        <w:t>20</w:t>
      </w:r>
      <w:r w:rsidRPr="00D56EE8">
        <w:rPr>
          <w:rFonts w:cstheme="minorHAnsi"/>
        </w:rPr>
        <w:t>’</w:t>
      </w:r>
      <w:r w:rsidR="00DF26F2">
        <w:rPr>
          <w:rFonts w:cstheme="minorHAnsi"/>
        </w:rPr>
        <w:t xml:space="preserve"> includes estimates of poverty among people in households </w:t>
      </w:r>
      <w:r w:rsidR="00DF26F2" w:rsidRPr="00D56EE8">
        <w:rPr>
          <w:rFonts w:cstheme="minorHAnsi"/>
        </w:rPr>
        <w:t>where wages were the main source of income</w:t>
      </w:r>
      <w:r w:rsidR="00DF26F2">
        <w:rPr>
          <w:rFonts w:cstheme="minorHAnsi"/>
        </w:rPr>
        <w:t xml:space="preserve">, derived from the ABS 2018-19 survey of income and wealth. This research uses both </w:t>
      </w:r>
      <w:r w:rsidRPr="00D56EE8">
        <w:rPr>
          <w:rFonts w:cstheme="minorHAnsi"/>
        </w:rPr>
        <w:t>the OECD measure of poverty (50% of median household income)</w:t>
      </w:r>
      <w:r w:rsidR="00DF26F2">
        <w:rPr>
          <w:rFonts w:cstheme="minorHAnsi"/>
        </w:rPr>
        <w:t xml:space="preserve"> and the European Union measure (60% of median household disposable income)</w:t>
      </w:r>
      <w:r w:rsidRPr="00D56EE8">
        <w:rPr>
          <w:rFonts w:cstheme="minorHAnsi"/>
        </w:rPr>
        <w:t xml:space="preserve">, </w:t>
      </w:r>
      <w:r>
        <w:rPr>
          <w:rFonts w:cstheme="minorHAnsi"/>
        </w:rPr>
        <w:t xml:space="preserve">and </w:t>
      </w:r>
      <w:r w:rsidR="00327C3C">
        <w:rPr>
          <w:rFonts w:cstheme="minorHAnsi"/>
        </w:rPr>
        <w:t xml:space="preserve">– </w:t>
      </w:r>
      <w:r>
        <w:rPr>
          <w:rFonts w:cstheme="minorHAnsi"/>
        </w:rPr>
        <w:t>importantly</w:t>
      </w:r>
      <w:r w:rsidR="00327C3C">
        <w:rPr>
          <w:rFonts w:cstheme="minorHAnsi"/>
        </w:rPr>
        <w:t xml:space="preserve"> -</w:t>
      </w:r>
      <w:r>
        <w:rPr>
          <w:rFonts w:cstheme="minorHAnsi"/>
        </w:rPr>
        <w:t xml:space="preserve"> takes housing costs into account. </w:t>
      </w:r>
    </w:p>
    <w:p w:rsidR="00CF2F87" w:rsidRDefault="00CF2F87" w:rsidP="00CF2F87">
      <w:pPr>
        <w:spacing w:after="120" w:line="276" w:lineRule="auto"/>
        <w:rPr>
          <w:rFonts w:cstheme="minorHAnsi"/>
        </w:rPr>
      </w:pPr>
      <w:r>
        <w:rPr>
          <w:rFonts w:cstheme="minorHAnsi"/>
        </w:rPr>
        <w:t>We find that</w:t>
      </w:r>
      <w:r w:rsidRPr="00D56EE8">
        <w:rPr>
          <w:rFonts w:cstheme="minorHAnsi"/>
        </w:rPr>
        <w:t xml:space="preserve"> in 201</w:t>
      </w:r>
      <w:r>
        <w:rPr>
          <w:rFonts w:cstheme="minorHAnsi"/>
        </w:rPr>
        <w:t>7</w:t>
      </w:r>
      <w:r w:rsidRPr="00D56EE8">
        <w:rPr>
          <w:rFonts w:cstheme="minorHAnsi"/>
        </w:rPr>
        <w:t>-1</w:t>
      </w:r>
      <w:r>
        <w:rPr>
          <w:rFonts w:cstheme="minorHAnsi"/>
        </w:rPr>
        <w:t xml:space="preserve">8, </w:t>
      </w:r>
      <w:r w:rsidRPr="00D56EE8">
        <w:rPr>
          <w:rFonts w:cstheme="minorHAnsi"/>
        </w:rPr>
        <w:t xml:space="preserve">there were </w:t>
      </w:r>
      <w:r>
        <w:rPr>
          <w:rFonts w:cstheme="minorHAnsi"/>
        </w:rPr>
        <w:t>1,017,000</w:t>
      </w:r>
      <w:r w:rsidRPr="00D56EE8">
        <w:rPr>
          <w:rFonts w:cstheme="minorHAnsi"/>
        </w:rPr>
        <w:t xml:space="preserve"> people living below the </w:t>
      </w:r>
      <w:r w:rsidR="00DF26F2">
        <w:rPr>
          <w:rFonts w:cstheme="minorHAnsi"/>
        </w:rPr>
        <w:t xml:space="preserve">50% of median income </w:t>
      </w:r>
      <w:r w:rsidRPr="00D56EE8">
        <w:rPr>
          <w:rFonts w:cstheme="minorHAnsi"/>
        </w:rPr>
        <w:t xml:space="preserve">poverty line </w:t>
      </w:r>
      <w:r w:rsidR="00DF26F2">
        <w:rPr>
          <w:rFonts w:cstheme="minorHAnsi"/>
        </w:rPr>
        <w:t xml:space="preserve">and 1,666,000 </w:t>
      </w:r>
      <w:r w:rsidR="00DF26F2" w:rsidRPr="00D56EE8">
        <w:rPr>
          <w:rFonts w:cstheme="minorHAnsi"/>
        </w:rPr>
        <w:t xml:space="preserve">people living below the </w:t>
      </w:r>
      <w:r w:rsidR="00DF26F2">
        <w:rPr>
          <w:rFonts w:cstheme="minorHAnsi"/>
        </w:rPr>
        <w:t xml:space="preserve">60% of median income </w:t>
      </w:r>
      <w:r w:rsidR="00DF26F2" w:rsidRPr="00D56EE8">
        <w:rPr>
          <w:rFonts w:cstheme="minorHAnsi"/>
        </w:rPr>
        <w:t>poverty line</w:t>
      </w:r>
      <w:r w:rsidR="00DF26F2">
        <w:rPr>
          <w:rFonts w:cstheme="minorHAnsi"/>
        </w:rPr>
        <w:t>,</w:t>
      </w:r>
      <w:r w:rsidR="00DF26F2" w:rsidRPr="00D56EE8">
        <w:rPr>
          <w:rFonts w:cstheme="minorHAnsi"/>
        </w:rPr>
        <w:t xml:space="preserve"> </w:t>
      </w:r>
      <w:r>
        <w:rPr>
          <w:rFonts w:cstheme="minorHAnsi"/>
        </w:rPr>
        <w:t xml:space="preserve">in households </w:t>
      </w:r>
      <w:r w:rsidR="00DF26F2" w:rsidRPr="00D56EE8">
        <w:rPr>
          <w:rFonts w:cstheme="minorHAnsi"/>
        </w:rPr>
        <w:t>where wages were the main source of income</w:t>
      </w:r>
      <w:r w:rsidR="00DF26F2">
        <w:rPr>
          <w:rFonts w:cstheme="minorHAnsi"/>
        </w:rPr>
        <w:t xml:space="preserve">. </w:t>
      </w:r>
      <w:r>
        <w:rPr>
          <w:rFonts w:cstheme="minorHAnsi"/>
        </w:rPr>
        <w:t xml:space="preserve">This comprised </w:t>
      </w:r>
      <w:r w:rsidRPr="00D56EE8">
        <w:rPr>
          <w:rFonts w:cstheme="minorHAnsi"/>
        </w:rPr>
        <w:t xml:space="preserve">38% </w:t>
      </w:r>
      <w:r w:rsidR="00DF26F2">
        <w:rPr>
          <w:rFonts w:cstheme="minorHAnsi"/>
        </w:rPr>
        <w:t xml:space="preserve">and 40% </w:t>
      </w:r>
      <w:r>
        <w:rPr>
          <w:rFonts w:cstheme="minorHAnsi"/>
        </w:rPr>
        <w:t>of all people in poverty</w:t>
      </w:r>
      <w:r w:rsidR="00DF26F2">
        <w:rPr>
          <w:rFonts w:cstheme="minorHAnsi"/>
        </w:rPr>
        <w:t>, respectively</w:t>
      </w:r>
      <w:r>
        <w:rPr>
          <w:rFonts w:cstheme="minorHAnsi"/>
        </w:rPr>
        <w:t xml:space="preserve"> (</w:t>
      </w:r>
      <w:r w:rsidR="00DF26F2">
        <w:rPr>
          <w:rFonts w:cstheme="minorHAnsi"/>
        </w:rPr>
        <w:t xml:space="preserve">apart from </w:t>
      </w:r>
      <w:r>
        <w:rPr>
          <w:rFonts w:cstheme="minorHAnsi"/>
        </w:rPr>
        <w:t xml:space="preserve">other than those </w:t>
      </w:r>
      <w:r w:rsidR="00DF26F2">
        <w:rPr>
          <w:rFonts w:cstheme="minorHAnsi"/>
        </w:rPr>
        <w:t>in</w:t>
      </w:r>
      <w:r>
        <w:rPr>
          <w:rFonts w:cstheme="minorHAnsi"/>
        </w:rPr>
        <w:t xml:space="preserve"> self</w:t>
      </w:r>
      <w:r w:rsidR="00DF26F2">
        <w:rPr>
          <w:rFonts w:cstheme="minorHAnsi"/>
        </w:rPr>
        <w:t>-</w:t>
      </w:r>
      <w:r>
        <w:rPr>
          <w:rFonts w:cstheme="minorHAnsi"/>
        </w:rPr>
        <w:t>employed households)</w:t>
      </w:r>
      <w:r w:rsidRPr="00D56EE8">
        <w:rPr>
          <w:rFonts w:cstheme="minorHAnsi"/>
        </w:rPr>
        <w:t>.</w:t>
      </w:r>
      <w:r w:rsidRPr="00D56EE8">
        <w:rPr>
          <w:rStyle w:val="FootnoteReference"/>
          <w:rFonts w:cstheme="minorHAnsi"/>
        </w:rPr>
        <w:footnoteReference w:id="24"/>
      </w:r>
      <w:r w:rsidRPr="00D56EE8">
        <w:rPr>
          <w:rFonts w:cstheme="minorHAnsi"/>
        </w:rPr>
        <w:t xml:space="preserve"> </w:t>
      </w:r>
    </w:p>
    <w:p w:rsidR="00D56EE8" w:rsidRPr="00DF26F2" w:rsidRDefault="00CF2F87" w:rsidP="00DF26F2">
      <w:pPr>
        <w:spacing w:after="120" w:line="276" w:lineRule="auto"/>
        <w:rPr>
          <w:rFonts w:cstheme="minorHAnsi"/>
        </w:rPr>
      </w:pPr>
      <w:r>
        <w:rPr>
          <w:rFonts w:cstheme="minorHAnsi"/>
        </w:rPr>
        <w:t xml:space="preserve">This represents a significant increase in </w:t>
      </w:r>
      <w:r w:rsidR="00327C3C">
        <w:rPr>
          <w:rFonts w:cstheme="minorHAnsi"/>
        </w:rPr>
        <w:t xml:space="preserve">the number of people </w:t>
      </w:r>
      <w:r>
        <w:rPr>
          <w:rFonts w:cstheme="minorHAnsi"/>
        </w:rPr>
        <w:t xml:space="preserve">in </w:t>
      </w:r>
      <w:r w:rsidR="00327C3C">
        <w:rPr>
          <w:rFonts w:cstheme="minorHAnsi"/>
        </w:rPr>
        <w:t xml:space="preserve">these </w:t>
      </w:r>
      <w:r>
        <w:rPr>
          <w:rFonts w:cstheme="minorHAnsi"/>
        </w:rPr>
        <w:t xml:space="preserve">households </w:t>
      </w:r>
      <w:r w:rsidR="00327C3C">
        <w:rPr>
          <w:rFonts w:cstheme="minorHAnsi"/>
        </w:rPr>
        <w:t xml:space="preserve">living in poverty </w:t>
      </w:r>
      <w:r>
        <w:rPr>
          <w:rFonts w:cstheme="minorHAnsi"/>
        </w:rPr>
        <w:t xml:space="preserve">since 2013-14. In that year, </w:t>
      </w:r>
      <w:r w:rsidRPr="00D56EE8">
        <w:rPr>
          <w:rFonts w:cstheme="minorHAnsi"/>
        </w:rPr>
        <w:t xml:space="preserve">32% of people </w:t>
      </w:r>
      <w:r w:rsidR="00DF26F2">
        <w:rPr>
          <w:rFonts w:cstheme="minorHAnsi"/>
        </w:rPr>
        <w:t>below the 50% of median income poverty line and 34% of those</w:t>
      </w:r>
      <w:r w:rsidR="00DF26F2" w:rsidRPr="00D56EE8">
        <w:rPr>
          <w:rFonts w:cstheme="minorHAnsi"/>
        </w:rPr>
        <w:t xml:space="preserve"> </w:t>
      </w:r>
      <w:r w:rsidR="00DF26F2">
        <w:rPr>
          <w:rFonts w:cstheme="minorHAnsi"/>
        </w:rPr>
        <w:t>below the 60% of median income poverty line</w:t>
      </w:r>
      <w:r w:rsidR="00DF26F2" w:rsidRPr="00D56EE8">
        <w:rPr>
          <w:rFonts w:cstheme="minorHAnsi"/>
        </w:rPr>
        <w:t xml:space="preserve"> </w:t>
      </w:r>
      <w:r w:rsidRPr="00D56EE8">
        <w:rPr>
          <w:rFonts w:cstheme="minorHAnsi"/>
        </w:rPr>
        <w:t>c</w:t>
      </w:r>
      <w:r>
        <w:rPr>
          <w:rFonts w:cstheme="minorHAnsi"/>
        </w:rPr>
        <w:t>ame</w:t>
      </w:r>
      <w:r w:rsidRPr="00D56EE8">
        <w:rPr>
          <w:rFonts w:cstheme="minorHAnsi"/>
        </w:rPr>
        <w:t xml:space="preserve"> from households</w:t>
      </w:r>
      <w:r>
        <w:rPr>
          <w:rFonts w:cstheme="minorHAnsi"/>
        </w:rPr>
        <w:t xml:space="preserve"> whose main income was wages.</w:t>
      </w:r>
      <w:r w:rsidR="00D56EE8" w:rsidRPr="00D56EE8">
        <w:rPr>
          <w:rFonts w:cstheme="minorHAnsi"/>
          <w:vertAlign w:val="superscript"/>
        </w:rPr>
        <w:footnoteReference w:id="25"/>
      </w:r>
    </w:p>
    <w:p w:rsidR="00D56EE8" w:rsidRPr="00D56EE8" w:rsidRDefault="00D56EE8" w:rsidP="00D56EE8">
      <w:pPr>
        <w:spacing w:after="120" w:line="276" w:lineRule="auto"/>
        <w:rPr>
          <w:rFonts w:cstheme="minorHAnsi"/>
        </w:rPr>
      </w:pPr>
      <w:r w:rsidRPr="00D56EE8">
        <w:rPr>
          <w:rFonts w:cstheme="minorHAnsi"/>
        </w:rPr>
        <w:lastRenderedPageBreak/>
        <w:t xml:space="preserve">A hypothetical comparison by the Commission of disposable incomes for families receiving the NMW with the 60% of median income poverty line in </w:t>
      </w:r>
      <w:r w:rsidR="00081D24">
        <w:rPr>
          <w:rFonts w:cstheme="minorHAnsi"/>
        </w:rPr>
        <w:t>September</w:t>
      </w:r>
      <w:r w:rsidRPr="00D56EE8">
        <w:rPr>
          <w:rFonts w:cstheme="minorHAnsi"/>
        </w:rPr>
        <w:t xml:space="preserve"> 201</w:t>
      </w:r>
      <w:r w:rsidR="00081D24">
        <w:rPr>
          <w:rFonts w:cstheme="minorHAnsi"/>
        </w:rPr>
        <w:t>9</w:t>
      </w:r>
      <w:r w:rsidRPr="00D56EE8">
        <w:rPr>
          <w:rFonts w:cstheme="minorHAnsi"/>
        </w:rPr>
        <w:t xml:space="preserve"> found that single parents employed part time (half of fulltime hours), and single earner couples with or without children, had disposable incomes below that poverty line, unless they also received Newstart Allowance.</w:t>
      </w:r>
      <w:r w:rsidRPr="00D56EE8">
        <w:rPr>
          <w:rStyle w:val="FootnoteReference"/>
          <w:rFonts w:cstheme="minorHAnsi"/>
        </w:rPr>
        <w:footnoteReference w:id="26"/>
      </w:r>
    </w:p>
    <w:p w:rsidR="00D56EE8" w:rsidRPr="00D56EE8" w:rsidRDefault="00D56EE8" w:rsidP="00D56EE8">
      <w:pPr>
        <w:spacing w:after="120" w:line="276" w:lineRule="auto"/>
        <w:rPr>
          <w:rFonts w:cstheme="minorHAnsi"/>
        </w:rPr>
      </w:pPr>
      <w:r w:rsidRPr="00D56EE8">
        <w:rPr>
          <w:rFonts w:cstheme="minorHAnsi"/>
        </w:rPr>
        <w:t>The Commission’s research indicates that in 201</w:t>
      </w:r>
      <w:r w:rsidR="00081D24">
        <w:rPr>
          <w:rFonts w:cstheme="minorHAnsi"/>
        </w:rPr>
        <w:t>8</w:t>
      </w:r>
      <w:r w:rsidRPr="00D56EE8">
        <w:rPr>
          <w:rFonts w:cstheme="minorHAnsi"/>
        </w:rPr>
        <w:t>, 28</w:t>
      </w:r>
      <w:r w:rsidR="00081D24">
        <w:rPr>
          <w:rFonts w:cstheme="minorHAnsi"/>
        </w:rPr>
        <w:t>.2</w:t>
      </w:r>
      <w:r w:rsidRPr="00D56EE8">
        <w:rPr>
          <w:rFonts w:cstheme="minorHAnsi"/>
        </w:rPr>
        <w:t xml:space="preserve">% of low-paid employee households, </w:t>
      </w:r>
      <w:r w:rsidR="00081D24">
        <w:rPr>
          <w:rFonts w:cstheme="minorHAnsi"/>
        </w:rPr>
        <w:t xml:space="preserve">almost </w:t>
      </w:r>
      <w:r w:rsidRPr="00D56EE8">
        <w:rPr>
          <w:rFonts w:cstheme="minorHAnsi"/>
        </w:rPr>
        <w:t>twice the share of all employee households (14</w:t>
      </w:r>
      <w:r w:rsidR="00081D24">
        <w:rPr>
          <w:rFonts w:cstheme="minorHAnsi"/>
        </w:rPr>
        <w:t>.7</w:t>
      </w:r>
      <w:r w:rsidRPr="00D56EE8">
        <w:rPr>
          <w:rFonts w:cstheme="minorHAnsi"/>
        </w:rPr>
        <w:t>%), experienced financial stress.</w:t>
      </w:r>
      <w:r w:rsidRPr="00D56EE8">
        <w:rPr>
          <w:rStyle w:val="FootnoteReference"/>
          <w:rFonts w:cstheme="minorHAnsi"/>
        </w:rPr>
        <w:footnoteReference w:id="27"/>
      </w:r>
    </w:p>
    <w:p w:rsidR="00D56EE8" w:rsidRPr="00D56EE8" w:rsidRDefault="00D56EE8" w:rsidP="00D56EE8">
      <w:pPr>
        <w:spacing w:after="120" w:line="276" w:lineRule="auto"/>
        <w:rPr>
          <w:rFonts w:cstheme="minorHAnsi"/>
        </w:rPr>
      </w:pPr>
      <w:r w:rsidRPr="00D56EE8">
        <w:rPr>
          <w:rFonts w:cstheme="minorHAnsi"/>
        </w:rPr>
        <w:t>One likely reason for this is the rising cost of housing, which is a major part of the budgets of low paid households. The Commission’s research found that in 2016, 52% of low paid working households (those where the primary earner received less than two thirds of median hourly wages) were renting privately.</w:t>
      </w:r>
      <w:r w:rsidRPr="00D56EE8">
        <w:rPr>
          <w:rStyle w:val="FootnoteReference"/>
          <w:rFonts w:cstheme="minorHAnsi"/>
        </w:rPr>
        <w:footnoteReference w:id="28"/>
      </w:r>
      <w:r w:rsidRPr="00D56EE8">
        <w:rPr>
          <w:rFonts w:cstheme="minorHAnsi"/>
        </w:rPr>
        <w:t xml:space="preserve"> </w:t>
      </w:r>
    </w:p>
    <w:p w:rsidR="00D56EE8" w:rsidRPr="00D56EE8" w:rsidRDefault="00D56EE8" w:rsidP="00D56EE8">
      <w:pPr>
        <w:spacing w:after="120" w:line="276" w:lineRule="auto"/>
        <w:rPr>
          <w:rFonts w:cstheme="minorHAnsi"/>
          <w:color w:val="FF0000"/>
        </w:rPr>
      </w:pPr>
      <w:r w:rsidRPr="00D56EE8">
        <w:rPr>
          <w:rFonts w:cstheme="minorHAnsi"/>
        </w:rPr>
        <w:t xml:space="preserve">In </w:t>
      </w:r>
      <w:r w:rsidR="00FA03E5">
        <w:rPr>
          <w:rFonts w:cstheme="minorHAnsi"/>
        </w:rPr>
        <w:t>December 2019</w:t>
      </w:r>
      <w:r w:rsidRPr="00D56EE8">
        <w:rPr>
          <w:rFonts w:cstheme="minorHAnsi"/>
        </w:rPr>
        <w:t>, the median rent for a two bedroom flat was $5</w:t>
      </w:r>
      <w:r w:rsidR="00081D24">
        <w:rPr>
          <w:rFonts w:cstheme="minorHAnsi"/>
        </w:rPr>
        <w:t>2</w:t>
      </w:r>
      <w:r w:rsidRPr="00D56EE8">
        <w:rPr>
          <w:rFonts w:cstheme="minorHAnsi"/>
        </w:rPr>
        <w:t>5 a week in Sydney and $440 a week in Melbourne.</w:t>
      </w:r>
      <w:r w:rsidRPr="00D56EE8">
        <w:rPr>
          <w:rFonts w:cstheme="minorHAnsi"/>
          <w:vertAlign w:val="superscript"/>
        </w:rPr>
        <w:footnoteReference w:id="29"/>
      </w:r>
    </w:p>
    <w:p w:rsidR="00D56EE8" w:rsidRPr="00D56EE8" w:rsidRDefault="00D56EE8" w:rsidP="00D56EE8">
      <w:pPr>
        <w:spacing w:after="120" w:line="276" w:lineRule="auto"/>
      </w:pPr>
    </w:p>
    <w:p w:rsidR="00D56EE8" w:rsidRPr="00D56EE8" w:rsidRDefault="00D56EE8" w:rsidP="00D56EE8">
      <w:pPr>
        <w:pStyle w:val="Heading2"/>
      </w:pPr>
      <w:bookmarkStart w:id="25" w:name="_Toc508977996"/>
      <w:bookmarkStart w:id="26" w:name="_Toc34848643"/>
      <w:r w:rsidRPr="00D56EE8">
        <w:t>Relationship between minimum wages and social security</w:t>
      </w:r>
      <w:bookmarkEnd w:id="25"/>
      <w:bookmarkEnd w:id="26"/>
      <w:r w:rsidRPr="00D56EE8">
        <w:t xml:space="preserve"> </w:t>
      </w:r>
    </w:p>
    <w:p w:rsidR="00D56EE8" w:rsidRPr="00D56EE8" w:rsidRDefault="00D56EE8" w:rsidP="00D56EE8">
      <w:pPr>
        <w:spacing w:after="120" w:line="276" w:lineRule="auto"/>
        <w:rPr>
          <w:rFonts w:cstheme="minorHAnsi"/>
        </w:rPr>
      </w:pPr>
      <w:r w:rsidRPr="00D56EE8">
        <w:rPr>
          <w:rFonts w:cstheme="minorHAnsi"/>
        </w:rPr>
        <w:t xml:space="preserve">Inadequate real growth in both minimum wages and working-age social security payments (allowances and family payments) is contributing to their decline relative to median and average wages over the last two decades (Figure 4). </w:t>
      </w:r>
    </w:p>
    <w:p w:rsidR="00D56EE8" w:rsidRPr="00D56EE8" w:rsidRDefault="00D56EE8" w:rsidP="00D56EE8">
      <w:pPr>
        <w:spacing w:after="120" w:line="276" w:lineRule="auto"/>
      </w:pPr>
    </w:p>
    <w:p w:rsidR="00D56EE8" w:rsidRPr="00D56EE8" w:rsidRDefault="00D56EE8" w:rsidP="00D56EE8">
      <w:pPr>
        <w:spacing w:after="120" w:line="276" w:lineRule="auto"/>
        <w:rPr>
          <w:b/>
        </w:rPr>
      </w:pPr>
      <w:r w:rsidRPr="00D56EE8">
        <w:rPr>
          <w:b/>
        </w:rPr>
        <w:t xml:space="preserve">Figure 4: Historical comparison of Newstart Allowance with pensions and wages ($2018) </w:t>
      </w:r>
    </w:p>
    <w:p w:rsidR="00D56EE8" w:rsidRPr="00D56EE8" w:rsidRDefault="00D56EE8" w:rsidP="00D56EE8">
      <w:pPr>
        <w:spacing w:after="120" w:line="276" w:lineRule="auto"/>
        <w:jc w:val="center"/>
      </w:pPr>
      <w:r w:rsidRPr="00D56EE8">
        <w:rPr>
          <w:noProof/>
        </w:rPr>
        <w:lastRenderedPageBreak/>
        <w:drawing>
          <wp:inline distT="0" distB="0" distL="0" distR="0" wp14:anchorId="31F2C4D9" wp14:editId="49768509">
            <wp:extent cx="5200650" cy="335153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0650" cy="3351530"/>
                    </a:xfrm>
                    <a:prstGeom prst="rect">
                      <a:avLst/>
                    </a:prstGeom>
                  </pic:spPr>
                </pic:pic>
              </a:graphicData>
            </a:graphic>
          </wp:inline>
        </w:drawing>
      </w:r>
    </w:p>
    <w:p w:rsidR="00FA03E5" w:rsidRDefault="00FA03E5" w:rsidP="00D56EE8">
      <w:pPr>
        <w:spacing w:after="120" w:line="276" w:lineRule="auto"/>
        <w:rPr>
          <w:rFonts w:cstheme="minorHAnsi"/>
        </w:rPr>
      </w:pPr>
    </w:p>
    <w:p w:rsidR="00D56EE8" w:rsidRPr="00D56EE8" w:rsidRDefault="00D56EE8" w:rsidP="00D56EE8">
      <w:pPr>
        <w:spacing w:after="120" w:line="276" w:lineRule="auto"/>
        <w:rPr>
          <w:rFonts w:cstheme="minorHAnsi"/>
        </w:rPr>
      </w:pPr>
      <w:r w:rsidRPr="00D56EE8">
        <w:rPr>
          <w:rFonts w:cstheme="minorHAnsi"/>
        </w:rPr>
        <w:t xml:space="preserve">The social security system </w:t>
      </w:r>
      <w:r w:rsidR="00AC6411">
        <w:rPr>
          <w:rFonts w:cstheme="minorHAnsi"/>
        </w:rPr>
        <w:t>also affects</w:t>
      </w:r>
      <w:r w:rsidRPr="00D56EE8">
        <w:rPr>
          <w:rFonts w:cstheme="minorHAnsi"/>
        </w:rPr>
        <w:t xml:space="preserve"> the living standards of minimum wage-earning households through ‘in-work’ payments such as Family Tax Benefit. At the same time, minimum wages impact on social security payments for people of working age by making room for those payments to be set at adequate levels while maintaining reasonable rewards for paid work.</w:t>
      </w:r>
    </w:p>
    <w:p w:rsidR="00D56EE8" w:rsidRPr="00D56EE8" w:rsidRDefault="00D56EE8" w:rsidP="00D56EE8">
      <w:pPr>
        <w:spacing w:after="120" w:line="276" w:lineRule="auto"/>
        <w:rPr>
          <w:rFonts w:cstheme="minorHAnsi"/>
        </w:rPr>
      </w:pPr>
      <w:r w:rsidRPr="00D56EE8">
        <w:rPr>
          <w:rFonts w:cstheme="minorHAnsi"/>
        </w:rPr>
        <w:lastRenderedPageBreak/>
        <w:t>Since child endowment was introduced in the 1940s, family payments have supplemented minimum wages to help with the costs of raising children and reduce child poverty. In recent years, this social compact between workers, employers and governments has begun to break down.</w:t>
      </w:r>
    </w:p>
    <w:p w:rsidR="00D56EE8" w:rsidRPr="00D56EE8" w:rsidRDefault="00FA03E5" w:rsidP="00D56EE8">
      <w:pPr>
        <w:spacing w:after="120" w:line="276" w:lineRule="auto"/>
        <w:rPr>
          <w:rFonts w:cstheme="minorHAnsi"/>
        </w:rPr>
      </w:pPr>
      <w:r>
        <w:rPr>
          <w:rFonts w:cstheme="minorHAnsi"/>
        </w:rPr>
        <w:t xml:space="preserve">In </w:t>
      </w:r>
      <w:r w:rsidR="00D56EE8" w:rsidRPr="00D56EE8">
        <w:rPr>
          <w:rFonts w:cstheme="minorHAnsi"/>
        </w:rPr>
        <w:t>the Commission</w:t>
      </w:r>
      <w:r>
        <w:rPr>
          <w:rFonts w:cstheme="minorHAnsi"/>
        </w:rPr>
        <w:t>’s latest modelling of increases in disposable incomes of hypothetical families over the last year</w:t>
      </w:r>
      <w:r w:rsidR="00D56EE8" w:rsidRPr="00D56EE8">
        <w:rPr>
          <w:rFonts w:cstheme="minorHAnsi"/>
        </w:rPr>
        <w:t xml:space="preserve"> (receiving the NMW and no other private income)</w:t>
      </w:r>
      <w:r w:rsidR="00174041">
        <w:rPr>
          <w:rFonts w:cstheme="minorHAnsi"/>
        </w:rPr>
        <w:t xml:space="preserve">, all except those relying on part-payment of Newstart Allowance </w:t>
      </w:r>
      <w:r w:rsidR="00D56EE8" w:rsidRPr="00D56EE8">
        <w:rPr>
          <w:rFonts w:cstheme="minorHAnsi"/>
        </w:rPr>
        <w:t>recorded increases in disposable income after social security and tax</w:t>
      </w:r>
      <w:r>
        <w:rPr>
          <w:rFonts w:cstheme="minorHAnsi"/>
        </w:rPr>
        <w:t xml:space="preserve"> of at least 2.2%</w:t>
      </w:r>
      <w:r w:rsidR="00D56EE8" w:rsidRPr="00D56EE8">
        <w:rPr>
          <w:rFonts w:cstheme="minorHAnsi"/>
        </w:rPr>
        <w:t xml:space="preserve">. </w:t>
      </w:r>
      <w:r w:rsidR="00D56EE8" w:rsidRPr="00D56EE8">
        <w:rPr>
          <w:rStyle w:val="FootnoteReference"/>
          <w:rFonts w:cstheme="minorHAnsi"/>
        </w:rPr>
        <w:footnoteReference w:id="30"/>
      </w:r>
      <w:r w:rsidR="00D56EE8" w:rsidRPr="00D56EE8">
        <w:rPr>
          <w:rFonts w:cstheme="minorHAnsi"/>
        </w:rPr>
        <w:t xml:space="preserve"> </w:t>
      </w:r>
      <w:r w:rsidR="00AC6411">
        <w:rPr>
          <w:rFonts w:cstheme="minorHAnsi"/>
        </w:rPr>
        <w:t>S</w:t>
      </w:r>
      <w:r w:rsidR="00174041">
        <w:rPr>
          <w:rFonts w:cstheme="minorHAnsi"/>
        </w:rPr>
        <w:t xml:space="preserve">ingle parents and </w:t>
      </w:r>
      <w:r w:rsidR="00D56EE8" w:rsidRPr="00D56EE8">
        <w:rPr>
          <w:rFonts w:cstheme="minorHAnsi"/>
        </w:rPr>
        <w:t xml:space="preserve">couples </w:t>
      </w:r>
      <w:r w:rsidR="00AC6411">
        <w:rPr>
          <w:rFonts w:cstheme="minorHAnsi"/>
        </w:rPr>
        <w:t>(</w:t>
      </w:r>
      <w:r w:rsidR="00D56EE8" w:rsidRPr="00D56EE8">
        <w:rPr>
          <w:rFonts w:cstheme="minorHAnsi"/>
        </w:rPr>
        <w:t>with or without children</w:t>
      </w:r>
      <w:r w:rsidR="00AC6411">
        <w:rPr>
          <w:rFonts w:cstheme="minorHAnsi"/>
        </w:rPr>
        <w:t>)</w:t>
      </w:r>
      <w:r w:rsidR="00D56EE8" w:rsidRPr="00D56EE8">
        <w:rPr>
          <w:rFonts w:cstheme="minorHAnsi"/>
        </w:rPr>
        <w:t xml:space="preserve"> receiving part-payment of Newstart Allowance recorded </w:t>
      </w:r>
      <w:r w:rsidR="00174041">
        <w:rPr>
          <w:rFonts w:cstheme="minorHAnsi"/>
        </w:rPr>
        <w:t xml:space="preserve">increases in </w:t>
      </w:r>
      <w:r w:rsidR="00D56EE8" w:rsidRPr="00D56EE8">
        <w:rPr>
          <w:rFonts w:cstheme="minorHAnsi"/>
        </w:rPr>
        <w:t>disposable income</w:t>
      </w:r>
      <w:r w:rsidR="00174041">
        <w:rPr>
          <w:rFonts w:cstheme="minorHAnsi"/>
        </w:rPr>
        <w:t xml:space="preserve"> equal to or below the CPI increase of 1.6%.</w:t>
      </w:r>
      <w:r w:rsidR="00D56EE8" w:rsidRPr="00D56EE8">
        <w:rPr>
          <w:rFonts w:cstheme="minorHAnsi"/>
        </w:rPr>
        <w:t xml:space="preserve"> This reflects the inadequacy of the Newstart payment.</w:t>
      </w:r>
    </w:p>
    <w:p w:rsidR="00D56EE8" w:rsidRPr="00D56EE8" w:rsidRDefault="00D56EE8" w:rsidP="00D56EE8">
      <w:pPr>
        <w:spacing w:after="120" w:line="276" w:lineRule="auto"/>
        <w:rPr>
          <w:rFonts w:cstheme="minorHAnsi"/>
        </w:rPr>
      </w:pPr>
      <w:r w:rsidRPr="00D56EE8">
        <w:rPr>
          <w:rFonts w:cstheme="minorHAnsi"/>
        </w:rPr>
        <w:t>Taking a longer view, since 2009, budget cuts totalling over $12 billion have been made to payments for families with low incomes, including:</w:t>
      </w:r>
    </w:p>
    <w:p w:rsidR="00D56EE8" w:rsidRPr="00174041" w:rsidRDefault="00D56EE8" w:rsidP="00D56EE8">
      <w:pPr>
        <w:pStyle w:val="ListParagraph"/>
        <w:numPr>
          <w:ilvl w:val="0"/>
          <w:numId w:val="35"/>
        </w:numPr>
        <w:spacing w:after="120" w:line="276" w:lineRule="auto"/>
        <w:contextualSpacing/>
        <w:rPr>
          <w:rFonts w:ascii="Verdana" w:hAnsi="Verdana" w:cstheme="minorHAnsi"/>
          <w:sz w:val="22"/>
          <w:szCs w:val="22"/>
        </w:rPr>
      </w:pPr>
      <w:r w:rsidRPr="00174041">
        <w:rPr>
          <w:rFonts w:ascii="Verdana" w:hAnsi="Verdana" w:cstheme="minorHAnsi"/>
          <w:sz w:val="22"/>
          <w:szCs w:val="22"/>
        </w:rPr>
        <w:t>The removal of indexation of Family Tax Benefit (Part A) for low-income families to wage movements in 2009, reducing payments since then by $13 per week for each younger child under 12 years and $17 per week for each older child;</w:t>
      </w:r>
    </w:p>
    <w:p w:rsidR="00D56EE8" w:rsidRPr="00174041" w:rsidRDefault="00D56EE8" w:rsidP="00D56EE8">
      <w:pPr>
        <w:pStyle w:val="ListParagraph"/>
        <w:numPr>
          <w:ilvl w:val="0"/>
          <w:numId w:val="35"/>
        </w:numPr>
        <w:spacing w:after="120" w:line="276" w:lineRule="auto"/>
        <w:contextualSpacing/>
        <w:rPr>
          <w:rFonts w:ascii="Verdana" w:hAnsi="Verdana" w:cstheme="minorHAnsi"/>
          <w:sz w:val="22"/>
          <w:szCs w:val="22"/>
        </w:rPr>
      </w:pPr>
      <w:r w:rsidRPr="00174041">
        <w:rPr>
          <w:rFonts w:ascii="Verdana" w:hAnsi="Verdana" w:cstheme="minorHAnsi"/>
          <w:sz w:val="22"/>
          <w:szCs w:val="22"/>
        </w:rPr>
        <w:t>The freezing of the income test free areas for Family Tax Benefit from 2009 to 2020;</w:t>
      </w:r>
    </w:p>
    <w:p w:rsidR="00D56EE8" w:rsidRPr="00174041" w:rsidRDefault="00D56EE8" w:rsidP="00D56EE8">
      <w:pPr>
        <w:pStyle w:val="ListParagraph"/>
        <w:numPr>
          <w:ilvl w:val="0"/>
          <w:numId w:val="35"/>
        </w:numPr>
        <w:spacing w:after="120" w:line="276" w:lineRule="auto"/>
        <w:contextualSpacing/>
        <w:rPr>
          <w:rFonts w:ascii="Verdana" w:hAnsi="Verdana" w:cstheme="minorHAnsi"/>
          <w:sz w:val="22"/>
          <w:szCs w:val="22"/>
        </w:rPr>
      </w:pPr>
      <w:r w:rsidRPr="00174041">
        <w:rPr>
          <w:rFonts w:ascii="Verdana" w:hAnsi="Verdana" w:cstheme="minorHAnsi"/>
          <w:sz w:val="22"/>
          <w:szCs w:val="22"/>
        </w:rPr>
        <w:lastRenderedPageBreak/>
        <w:t>The transfer of 80,000 sole parent families from Parenting Payment Single to the lower Newstart Allowance in 2013, at the time reducing payments for a sole parent with school-age children by at least $60 a week;</w:t>
      </w:r>
    </w:p>
    <w:p w:rsidR="00D56EE8" w:rsidRPr="00174041" w:rsidRDefault="00D56EE8" w:rsidP="00D56EE8">
      <w:pPr>
        <w:pStyle w:val="ListParagraph"/>
        <w:numPr>
          <w:ilvl w:val="0"/>
          <w:numId w:val="35"/>
        </w:numPr>
        <w:spacing w:after="120" w:line="276" w:lineRule="auto"/>
        <w:contextualSpacing/>
        <w:rPr>
          <w:rFonts w:ascii="Verdana" w:hAnsi="Verdana" w:cstheme="minorHAnsi"/>
          <w:sz w:val="22"/>
          <w:szCs w:val="22"/>
        </w:rPr>
      </w:pPr>
      <w:r w:rsidRPr="00174041">
        <w:rPr>
          <w:rFonts w:ascii="Verdana" w:hAnsi="Verdana" w:cstheme="minorHAnsi"/>
          <w:sz w:val="22"/>
          <w:szCs w:val="22"/>
        </w:rPr>
        <w:t>The abolition of the ‘Schoolkids Bonus’ ($4.30 to $8.60 per child per week) for primary and secondary school-age children in 2016.</w:t>
      </w:r>
    </w:p>
    <w:p w:rsidR="00D56EE8" w:rsidRPr="00174041" w:rsidRDefault="00D56EE8" w:rsidP="00D56EE8">
      <w:pPr>
        <w:pStyle w:val="ListParagraph"/>
        <w:numPr>
          <w:ilvl w:val="0"/>
          <w:numId w:val="35"/>
        </w:numPr>
        <w:spacing w:after="120" w:line="276" w:lineRule="auto"/>
        <w:contextualSpacing/>
        <w:rPr>
          <w:rFonts w:ascii="Verdana" w:hAnsi="Verdana" w:cstheme="minorHAnsi"/>
          <w:sz w:val="22"/>
          <w:szCs w:val="22"/>
        </w:rPr>
      </w:pPr>
      <w:r w:rsidRPr="00174041">
        <w:rPr>
          <w:rFonts w:ascii="Verdana" w:hAnsi="Verdana" w:cstheme="minorHAnsi"/>
          <w:sz w:val="22"/>
          <w:szCs w:val="22"/>
        </w:rPr>
        <w:t>The freezing of maximum rates of Family Tax Benefit (Part A) for low-income families in nominal terms from 2017 to July 2019.</w:t>
      </w:r>
    </w:p>
    <w:p w:rsidR="00D56EE8" w:rsidRPr="00174041" w:rsidRDefault="00D56EE8" w:rsidP="00D56EE8">
      <w:pPr>
        <w:pStyle w:val="ListParagraph"/>
        <w:numPr>
          <w:ilvl w:val="0"/>
          <w:numId w:val="35"/>
        </w:numPr>
        <w:spacing w:after="120" w:line="276" w:lineRule="auto"/>
        <w:contextualSpacing/>
        <w:rPr>
          <w:rFonts w:ascii="Verdana" w:hAnsi="Verdana" w:cstheme="minorHAnsi"/>
          <w:sz w:val="22"/>
          <w:szCs w:val="22"/>
        </w:rPr>
      </w:pPr>
      <w:r w:rsidRPr="00174041">
        <w:rPr>
          <w:rFonts w:ascii="Verdana" w:hAnsi="Verdana" w:cstheme="minorHAnsi"/>
          <w:sz w:val="22"/>
          <w:szCs w:val="22"/>
        </w:rPr>
        <w:t>Removal of the Large Family Supplement for families with four or more children;</w:t>
      </w:r>
    </w:p>
    <w:p w:rsidR="00D56EE8" w:rsidRPr="00174041" w:rsidRDefault="00D56EE8" w:rsidP="00D56EE8">
      <w:pPr>
        <w:pStyle w:val="ListParagraph"/>
        <w:numPr>
          <w:ilvl w:val="0"/>
          <w:numId w:val="35"/>
        </w:numPr>
        <w:spacing w:after="120" w:line="276" w:lineRule="auto"/>
        <w:contextualSpacing/>
        <w:rPr>
          <w:rFonts w:ascii="Verdana" w:hAnsi="Verdana" w:cstheme="minorHAnsi"/>
          <w:sz w:val="22"/>
          <w:szCs w:val="22"/>
        </w:rPr>
      </w:pPr>
      <w:r w:rsidRPr="00174041">
        <w:rPr>
          <w:rFonts w:ascii="Verdana" w:hAnsi="Verdana" w:cstheme="minorHAnsi"/>
          <w:sz w:val="22"/>
          <w:szCs w:val="22"/>
        </w:rPr>
        <w:t>Removal of Family Tax Benefit (part B) from couples whose youngest child is 13 years or over;</w:t>
      </w:r>
    </w:p>
    <w:p w:rsidR="00D56EE8" w:rsidRPr="00174041" w:rsidRDefault="00D56EE8" w:rsidP="00D56EE8">
      <w:pPr>
        <w:pStyle w:val="ListParagraph"/>
        <w:numPr>
          <w:ilvl w:val="0"/>
          <w:numId w:val="35"/>
        </w:numPr>
        <w:spacing w:after="120" w:line="276" w:lineRule="auto"/>
        <w:contextualSpacing/>
        <w:rPr>
          <w:rFonts w:ascii="Verdana" w:hAnsi="Verdana" w:cstheme="minorHAnsi"/>
          <w:sz w:val="22"/>
          <w:szCs w:val="22"/>
        </w:rPr>
      </w:pPr>
      <w:r w:rsidRPr="00174041">
        <w:rPr>
          <w:rFonts w:ascii="Verdana" w:hAnsi="Verdana" w:cstheme="minorHAnsi"/>
          <w:sz w:val="22"/>
          <w:szCs w:val="22"/>
        </w:rPr>
        <w:t>The freezing of the income test free areas for Parenting Payment and Newstart Allowance for three years from 2017.</w:t>
      </w:r>
      <w:r w:rsidR="00AC6411" w:rsidRPr="00AC6411">
        <w:rPr>
          <w:rStyle w:val="FootnoteReference"/>
          <w:rFonts w:ascii="Verdana" w:hAnsi="Verdana" w:cstheme="minorHAnsi"/>
          <w:sz w:val="22"/>
          <w:szCs w:val="22"/>
        </w:rPr>
        <w:t xml:space="preserve"> </w:t>
      </w:r>
      <w:r w:rsidR="00AC6411" w:rsidRPr="00174041">
        <w:rPr>
          <w:rStyle w:val="FootnoteReference"/>
          <w:rFonts w:ascii="Verdana" w:hAnsi="Verdana" w:cstheme="minorHAnsi"/>
          <w:sz w:val="22"/>
          <w:szCs w:val="22"/>
        </w:rPr>
        <w:footnoteReference w:id="31"/>
      </w:r>
    </w:p>
    <w:p w:rsidR="00D56EE8" w:rsidRPr="00D56EE8" w:rsidRDefault="00D56EE8" w:rsidP="00D56EE8">
      <w:pPr>
        <w:spacing w:after="120" w:line="276" w:lineRule="auto"/>
        <w:rPr>
          <w:rFonts w:cstheme="minorHAnsi"/>
        </w:rPr>
      </w:pPr>
      <w:r w:rsidRPr="00D56EE8">
        <w:rPr>
          <w:rFonts w:cstheme="minorHAnsi"/>
        </w:rPr>
        <w:t>The cumulative effect of these changes on the incomes of low-income families is substantial. For example, a sole parent with two preschool age children receiving the maximum rate of Parenting Payment Single has lost nearly $43 per week (around 6% of their disposable income). For a sole parent family with two children aged 8 to 15 years, the loss is about $136 per week (a cut in disposable income of nearly 19%).</w:t>
      </w:r>
      <w:r w:rsidR="00174041" w:rsidRPr="00174041">
        <w:rPr>
          <w:rStyle w:val="FootnoteReference"/>
          <w:rFonts w:cstheme="minorHAnsi"/>
        </w:rPr>
        <w:footnoteReference w:id="32"/>
      </w:r>
    </w:p>
    <w:p w:rsidR="00D56EE8" w:rsidRPr="00D56EE8" w:rsidRDefault="00D56EE8" w:rsidP="00D56EE8">
      <w:pPr>
        <w:spacing w:after="120" w:line="276" w:lineRule="auto"/>
        <w:rPr>
          <w:rFonts w:cstheme="minorHAnsi"/>
        </w:rPr>
      </w:pPr>
      <w:r w:rsidRPr="00D56EE8">
        <w:rPr>
          <w:rFonts w:cstheme="minorHAnsi"/>
        </w:rPr>
        <w:lastRenderedPageBreak/>
        <w:t xml:space="preserve">The experience of the last decade shows that governments cannot be consistently relied upon to supplement low pay for families with children, leaving them vulnerable to poverty in the absence of </w:t>
      </w:r>
      <w:r w:rsidR="00AC6411">
        <w:rPr>
          <w:rFonts w:cstheme="minorHAnsi"/>
        </w:rPr>
        <w:t>adequate</w:t>
      </w:r>
      <w:r w:rsidRPr="00D56EE8">
        <w:rPr>
          <w:rFonts w:cstheme="minorHAnsi"/>
        </w:rPr>
        <w:t xml:space="preserve"> increases in the NMW.</w:t>
      </w:r>
    </w:p>
    <w:p w:rsidR="00174041" w:rsidRDefault="00D56EE8" w:rsidP="00D56EE8">
      <w:pPr>
        <w:spacing w:after="120" w:line="276" w:lineRule="auto"/>
        <w:rPr>
          <w:rFonts w:cstheme="minorHAnsi"/>
        </w:rPr>
      </w:pPr>
      <w:r w:rsidRPr="00D56EE8">
        <w:rPr>
          <w:rFonts w:cstheme="minorHAnsi"/>
        </w:rPr>
        <w:t>Minimum wages also impact on poverty indirectly, though their influence on social security settings. There is a consistent long term relationship between minimum wages and unemployment benefits. Between 1995 and 2010, unemployment payments for a single adult with no dependent children sat in a narrow band between 43-44% of the NMW (before tax). Newstart Allowance has since fallen to 38% of the NMW, suggesting there is considerable scope to increase Newstart without impacting on rewards for employment.</w:t>
      </w:r>
      <w:r w:rsidRPr="00D56EE8">
        <w:rPr>
          <w:rStyle w:val="FootnoteReference"/>
          <w:rFonts w:cstheme="minorHAnsi"/>
        </w:rPr>
        <w:footnoteReference w:id="33"/>
      </w:r>
      <w:r w:rsidRPr="00D56EE8">
        <w:rPr>
          <w:rFonts w:cstheme="minorHAnsi"/>
        </w:rPr>
        <w:t xml:space="preserve"> </w:t>
      </w:r>
    </w:p>
    <w:p w:rsidR="00D56EE8" w:rsidRPr="00D56EE8" w:rsidRDefault="00D56EE8" w:rsidP="00D56EE8">
      <w:pPr>
        <w:spacing w:after="120" w:line="276" w:lineRule="auto"/>
        <w:rPr>
          <w:rFonts w:cstheme="minorHAnsi"/>
        </w:rPr>
      </w:pPr>
      <w:r w:rsidRPr="00D56EE8">
        <w:rPr>
          <w:rFonts w:cstheme="minorHAnsi"/>
        </w:rPr>
        <w:t>The constancy of this relationship over the longer term is not surprising given official concerns (accurate or not) about the effect of income support payments on work incentives. This historical link between minimum wages and social security payments helps explain why higher minimum wages are associated in international comparisons with lower levels of child poverty, even though only a minority of poor households in most OECD countries benefit directly from minimum wages.</w:t>
      </w:r>
      <w:r w:rsidR="00AC6411">
        <w:rPr>
          <w:rStyle w:val="FootnoteReference"/>
          <w:rFonts w:cstheme="minorHAnsi"/>
        </w:rPr>
        <w:footnoteReference w:id="34"/>
      </w:r>
      <w:r w:rsidRPr="00D56EE8">
        <w:rPr>
          <w:rFonts w:cstheme="minorHAnsi"/>
        </w:rPr>
        <w:t xml:space="preserve"> </w:t>
      </w:r>
    </w:p>
    <w:p w:rsidR="00D56EE8" w:rsidRPr="00D56EE8" w:rsidRDefault="00D56EE8" w:rsidP="00D56EE8">
      <w:pPr>
        <w:spacing w:after="120" w:line="276" w:lineRule="auto"/>
        <w:rPr>
          <w:rFonts w:eastAsia="SimSun" w:cstheme="minorHAnsi"/>
          <w:lang w:eastAsia="zh-CN"/>
        </w:rPr>
      </w:pPr>
      <w:r w:rsidRPr="00D56EE8">
        <w:rPr>
          <w:rFonts w:cstheme="minorHAnsi"/>
        </w:rPr>
        <w:t>Minimum wages also play an important role in reducing the gender pay gap, which is caused by a combination of unequal sharing of caring roles, the over-representation of women in relatively low paid caring occu</w:t>
      </w:r>
      <w:r w:rsidRPr="00D56EE8">
        <w:rPr>
          <w:rFonts w:cstheme="minorHAnsi"/>
        </w:rPr>
        <w:lastRenderedPageBreak/>
        <w:t>pations (including in the community services sector), and discrimination against women in hiring and promotions. In 201</w:t>
      </w:r>
      <w:r w:rsidR="00174041">
        <w:rPr>
          <w:rFonts w:cstheme="minorHAnsi"/>
        </w:rPr>
        <w:t>8</w:t>
      </w:r>
      <w:r w:rsidRPr="00D56EE8">
        <w:rPr>
          <w:rFonts w:cstheme="minorHAnsi"/>
        </w:rPr>
        <w:t>, the gap between adult (non-managerial) hourly ordinary time earnings between men and women was $</w:t>
      </w:r>
      <w:r w:rsidR="00174041">
        <w:rPr>
          <w:rFonts w:cstheme="minorHAnsi"/>
        </w:rPr>
        <w:t>6.41</w:t>
      </w:r>
      <w:r w:rsidRPr="00D56EE8">
        <w:rPr>
          <w:rFonts w:cstheme="minorHAnsi"/>
        </w:rPr>
        <w:t xml:space="preserve"> per week, or 1</w:t>
      </w:r>
      <w:r w:rsidR="00174041">
        <w:rPr>
          <w:rFonts w:cstheme="minorHAnsi"/>
        </w:rPr>
        <w:t>5.2</w:t>
      </w:r>
      <w:r w:rsidRPr="00D56EE8">
        <w:rPr>
          <w:rFonts w:cstheme="minorHAnsi"/>
        </w:rPr>
        <w:t xml:space="preserve">% of the average </w:t>
      </w:r>
      <w:r w:rsidR="00AC6411">
        <w:rPr>
          <w:rFonts w:cstheme="minorHAnsi"/>
        </w:rPr>
        <w:t>male rate.</w:t>
      </w:r>
      <w:r w:rsidRPr="00D56EE8">
        <w:rPr>
          <w:rFonts w:cstheme="minorHAnsi"/>
        </w:rPr>
        <w:t xml:space="preserve"> Minimum wage increases from 1995 to 2005 were estimated to reduce the gender pay gap by 1.2 percentage points.</w:t>
      </w:r>
      <w:r w:rsidRPr="00D56EE8">
        <w:rPr>
          <w:rStyle w:val="FootnoteReference"/>
          <w:rFonts w:cstheme="minorHAnsi"/>
        </w:rPr>
        <w:footnoteReference w:id="35"/>
      </w:r>
    </w:p>
    <w:p w:rsidR="00D56EE8" w:rsidRPr="00D56EE8" w:rsidRDefault="00D56EE8" w:rsidP="00D56EE8">
      <w:pPr>
        <w:spacing w:after="120" w:line="276" w:lineRule="auto"/>
        <w:rPr>
          <w:rFonts w:cstheme="minorHAnsi"/>
        </w:rPr>
      </w:pPr>
      <w:r w:rsidRPr="00D56EE8">
        <w:rPr>
          <w:rFonts w:cstheme="minorHAnsi"/>
        </w:rPr>
        <w:t xml:space="preserve">As the peak organisation in the non-government community services sector, ACOSS has a particular interest in employment issues in community services. The community sector’s capacity to provide quality services depends on the availability of suitably skilled employees, many of whom rely on the award system for their wages. </w:t>
      </w:r>
    </w:p>
    <w:p w:rsidR="00D56EE8" w:rsidRPr="00D56EE8" w:rsidRDefault="00D56EE8" w:rsidP="00D56EE8">
      <w:pPr>
        <w:spacing w:after="120" w:line="276" w:lineRule="auto"/>
        <w:rPr>
          <w:rFonts w:cstheme="minorHAnsi"/>
        </w:rPr>
      </w:pPr>
      <w:r w:rsidRPr="00D56EE8">
        <w:rPr>
          <w:rFonts w:cstheme="minorHAnsi"/>
        </w:rPr>
        <w:t>The vast majority of employees in the community services sector (82%) are women. Consistent with the treatment of caring work more broadly, their work is undervalued, despite being highly-skilled.</w:t>
      </w:r>
    </w:p>
    <w:p w:rsidR="00D56EE8" w:rsidRPr="00D56EE8" w:rsidRDefault="00D56EE8" w:rsidP="00D56EE8">
      <w:pPr>
        <w:spacing w:after="120" w:line="276" w:lineRule="auto"/>
        <w:rPr>
          <w:rFonts w:cstheme="minorHAnsi"/>
        </w:rPr>
      </w:pPr>
      <w:r w:rsidRPr="00D56EE8">
        <w:rPr>
          <w:rFonts w:cstheme="minorHAnsi"/>
        </w:rPr>
        <w:t>In 2018, 32% of employees in health care and social assistance were award-reliant (up from 17% in 2010), making this one of four major industries with a high share of award-reliant workers; the others being retail; accommodation and food services; and administrative and support services.</w:t>
      </w:r>
      <w:r w:rsidRPr="00D56EE8">
        <w:rPr>
          <w:rStyle w:val="FootnoteReference"/>
          <w:rFonts w:cstheme="minorHAnsi"/>
        </w:rPr>
        <w:footnoteReference w:id="36"/>
      </w:r>
    </w:p>
    <w:p w:rsidR="00D56EE8" w:rsidRPr="00D56EE8" w:rsidRDefault="00D56EE8" w:rsidP="00D56EE8">
      <w:pPr>
        <w:spacing w:after="120" w:line="276" w:lineRule="auto"/>
        <w:rPr>
          <w:rFonts w:cstheme="minorHAnsi"/>
        </w:rPr>
      </w:pPr>
      <w:r w:rsidRPr="00D56EE8">
        <w:rPr>
          <w:rFonts w:cstheme="minorHAnsi"/>
        </w:rPr>
        <w:lastRenderedPageBreak/>
        <w:t>We warmly welcomed increases in pay for community workers arising from the Commission’s equal remuneration decision in 2012, which are being phased in up to 2020.</w:t>
      </w:r>
      <w:r w:rsidRPr="00D56EE8">
        <w:rPr>
          <w:rStyle w:val="FootnoteReference"/>
          <w:rFonts w:cstheme="minorHAnsi"/>
        </w:rPr>
        <w:footnoteReference w:id="37"/>
      </w:r>
      <w:r w:rsidRPr="00D56EE8">
        <w:rPr>
          <w:rFonts w:cstheme="minorHAnsi"/>
        </w:rPr>
        <w:t xml:space="preserve"> Further increases are likely to be needed over time to improve the quality of community services by helping avert shortages of skilled workers. </w:t>
      </w:r>
      <w:r w:rsidR="00174041">
        <w:rPr>
          <w:rFonts w:cstheme="minorHAnsi"/>
        </w:rPr>
        <w:t xml:space="preserve">Regrettably, </w:t>
      </w:r>
      <w:r w:rsidR="003E3D6F">
        <w:rPr>
          <w:rFonts w:cstheme="minorHAnsi"/>
        </w:rPr>
        <w:t>the Australian government’s financial support for community sector employers to meet these pay increases expires in 2021. ACOSS and the COSS Network are strongly advocating that this vital support be renewed.</w:t>
      </w:r>
      <w:r w:rsidR="003E3D6F">
        <w:rPr>
          <w:rStyle w:val="FootnoteReference"/>
          <w:rFonts w:cstheme="minorHAnsi"/>
        </w:rPr>
        <w:footnoteReference w:id="38"/>
      </w:r>
    </w:p>
    <w:p w:rsidR="00D56EE8" w:rsidRPr="00D56EE8" w:rsidRDefault="00D56EE8" w:rsidP="00D56EE8">
      <w:pPr>
        <w:spacing w:after="120" w:line="276" w:lineRule="auto"/>
        <w:rPr>
          <w:rFonts w:eastAsia="SimSun" w:cstheme="minorHAnsi"/>
          <w:lang w:eastAsia="zh-CN"/>
        </w:rPr>
      </w:pPr>
    </w:p>
    <w:p w:rsidR="00D56EE8" w:rsidRPr="00D56EE8" w:rsidRDefault="00D56EE8" w:rsidP="00D56EE8">
      <w:pPr>
        <w:pStyle w:val="Heading2"/>
      </w:pPr>
      <w:bookmarkStart w:id="27" w:name="_Toc416444507"/>
      <w:bookmarkStart w:id="28" w:name="_Toc447007817"/>
      <w:bookmarkStart w:id="29" w:name="_Toc447008153"/>
      <w:bookmarkStart w:id="30" w:name="_Toc508977997"/>
      <w:bookmarkStart w:id="31" w:name="_Toc34848644"/>
      <w:r w:rsidRPr="00D56EE8">
        <w:t>Employment</w:t>
      </w:r>
      <w:bookmarkEnd w:id="27"/>
      <w:bookmarkEnd w:id="28"/>
      <w:bookmarkEnd w:id="29"/>
      <w:bookmarkEnd w:id="30"/>
      <w:bookmarkEnd w:id="31"/>
    </w:p>
    <w:p w:rsidR="003E3D6F" w:rsidRDefault="003E3D6F" w:rsidP="00D56EE8">
      <w:pPr>
        <w:spacing w:after="120" w:line="276" w:lineRule="auto"/>
        <w:rPr>
          <w:rFonts w:cstheme="minorHAnsi"/>
        </w:rPr>
      </w:pPr>
      <w:bookmarkStart w:id="32" w:name="OLE_LINK7"/>
      <w:bookmarkStart w:id="33" w:name="OLE_LINK8"/>
    </w:p>
    <w:p w:rsidR="00D56EE8" w:rsidRPr="00D56EE8" w:rsidRDefault="00D56EE8" w:rsidP="00D56EE8">
      <w:pPr>
        <w:spacing w:after="120" w:line="276" w:lineRule="auto"/>
        <w:rPr>
          <w:rFonts w:cstheme="minorHAnsi"/>
        </w:rPr>
      </w:pPr>
      <w:r w:rsidRPr="00D56EE8">
        <w:rPr>
          <w:rFonts w:cstheme="minorHAnsi"/>
        </w:rPr>
        <w:t xml:space="preserve">Employment growth was </w:t>
      </w:r>
      <w:r w:rsidR="00AC6411">
        <w:rPr>
          <w:rFonts w:cstheme="minorHAnsi"/>
        </w:rPr>
        <w:t>solid</w:t>
      </w:r>
      <w:r w:rsidRPr="00D56EE8">
        <w:rPr>
          <w:rFonts w:cstheme="minorHAnsi"/>
        </w:rPr>
        <w:t xml:space="preserve"> </w:t>
      </w:r>
      <w:r w:rsidR="00C7630A">
        <w:rPr>
          <w:rFonts w:cstheme="minorHAnsi"/>
        </w:rPr>
        <w:t>through</w:t>
      </w:r>
      <w:r w:rsidRPr="00D56EE8">
        <w:rPr>
          <w:rFonts w:cstheme="minorHAnsi"/>
        </w:rPr>
        <w:t xml:space="preserve"> 201</w:t>
      </w:r>
      <w:r w:rsidR="003E3D6F">
        <w:rPr>
          <w:rFonts w:cstheme="minorHAnsi"/>
        </w:rPr>
        <w:t>9</w:t>
      </w:r>
      <w:r w:rsidRPr="00D56EE8">
        <w:rPr>
          <w:rFonts w:cstheme="minorHAnsi"/>
        </w:rPr>
        <w:t>, rising by 28</w:t>
      </w:r>
      <w:r w:rsidR="003E3D6F">
        <w:rPr>
          <w:rFonts w:cstheme="minorHAnsi"/>
        </w:rPr>
        <w:t>7</w:t>
      </w:r>
      <w:r w:rsidRPr="00D56EE8">
        <w:rPr>
          <w:rFonts w:cstheme="minorHAnsi"/>
        </w:rPr>
        <w:t>,000 or 2.3% (a s</w:t>
      </w:r>
      <w:r w:rsidR="003E3D6F">
        <w:rPr>
          <w:rFonts w:cstheme="minorHAnsi"/>
        </w:rPr>
        <w:t xml:space="preserve">imilar </w:t>
      </w:r>
      <w:r w:rsidRPr="00D56EE8">
        <w:rPr>
          <w:rFonts w:cstheme="minorHAnsi"/>
        </w:rPr>
        <w:t xml:space="preserve">increase </w:t>
      </w:r>
      <w:r w:rsidR="003E3D6F">
        <w:rPr>
          <w:rFonts w:cstheme="minorHAnsi"/>
        </w:rPr>
        <w:t>to that in 2018</w:t>
      </w:r>
      <w:r w:rsidRPr="00D56EE8">
        <w:rPr>
          <w:rFonts w:cstheme="minorHAnsi"/>
        </w:rPr>
        <w:t>).</w:t>
      </w:r>
      <w:r w:rsidRPr="00D56EE8">
        <w:rPr>
          <w:rStyle w:val="FootnoteReference"/>
          <w:rFonts w:cstheme="minorHAnsi"/>
        </w:rPr>
        <w:footnoteReference w:id="39"/>
      </w:r>
      <w:r w:rsidRPr="00D56EE8">
        <w:rPr>
          <w:rFonts w:cstheme="minorHAnsi"/>
        </w:rPr>
        <w:t xml:space="preserve"> Yet, as indicated, wage growth and inflation remain low. The unemployment rate </w:t>
      </w:r>
      <w:r w:rsidR="003E3D6F">
        <w:rPr>
          <w:rFonts w:cstheme="minorHAnsi"/>
        </w:rPr>
        <w:t>rose</w:t>
      </w:r>
      <w:r w:rsidRPr="00D56EE8">
        <w:rPr>
          <w:rFonts w:cstheme="minorHAnsi"/>
        </w:rPr>
        <w:t xml:space="preserve"> from 5.</w:t>
      </w:r>
      <w:r w:rsidR="003E3D6F">
        <w:rPr>
          <w:rFonts w:cstheme="minorHAnsi"/>
        </w:rPr>
        <w:t>0</w:t>
      </w:r>
      <w:r w:rsidRPr="00D56EE8">
        <w:rPr>
          <w:rFonts w:cstheme="minorHAnsi"/>
        </w:rPr>
        <w:t>% to 5.</w:t>
      </w:r>
      <w:r w:rsidR="003E3D6F">
        <w:rPr>
          <w:rFonts w:cstheme="minorHAnsi"/>
        </w:rPr>
        <w:t>2</w:t>
      </w:r>
      <w:r w:rsidRPr="00D56EE8">
        <w:rPr>
          <w:rFonts w:cstheme="minorHAnsi"/>
        </w:rPr>
        <w:t xml:space="preserve">% </w:t>
      </w:r>
      <w:r w:rsidR="00C7630A">
        <w:rPr>
          <w:rFonts w:cstheme="minorHAnsi"/>
        </w:rPr>
        <w:t xml:space="preserve">due to an increase in the </w:t>
      </w:r>
      <w:r w:rsidRPr="00D56EE8">
        <w:rPr>
          <w:rFonts w:cstheme="minorHAnsi"/>
        </w:rPr>
        <w:t xml:space="preserve">participation rate (from </w:t>
      </w:r>
      <w:r w:rsidR="003E3D6F">
        <w:rPr>
          <w:rFonts w:cstheme="minorHAnsi"/>
        </w:rPr>
        <w:t>80.8</w:t>
      </w:r>
      <w:r w:rsidRPr="00D56EE8">
        <w:rPr>
          <w:rFonts w:cstheme="minorHAnsi"/>
        </w:rPr>
        <w:t xml:space="preserve">% to </w:t>
      </w:r>
      <w:r w:rsidR="003E3D6F">
        <w:rPr>
          <w:rFonts w:cstheme="minorHAnsi"/>
        </w:rPr>
        <w:t>81.4</w:t>
      </w:r>
      <w:r w:rsidRPr="00D56EE8">
        <w:rPr>
          <w:rFonts w:cstheme="minorHAnsi"/>
        </w:rPr>
        <w:t>%</w:t>
      </w:r>
      <w:r w:rsidR="00C7630A">
        <w:rPr>
          <w:rFonts w:cstheme="minorHAnsi"/>
        </w:rPr>
        <w:t xml:space="preserve"> for people aged 20-64 years</w:t>
      </w:r>
      <w:r w:rsidRPr="00D56EE8">
        <w:rPr>
          <w:rFonts w:cstheme="minorHAnsi"/>
        </w:rPr>
        <w:t>).</w:t>
      </w:r>
      <w:r w:rsidR="00C7630A">
        <w:rPr>
          <w:rStyle w:val="FootnoteReference"/>
          <w:rFonts w:cstheme="minorHAnsi"/>
        </w:rPr>
        <w:footnoteReference w:id="40"/>
      </w:r>
    </w:p>
    <w:p w:rsidR="00D56EE8" w:rsidRPr="00D56EE8" w:rsidRDefault="00D56EE8" w:rsidP="00D56EE8">
      <w:pPr>
        <w:spacing w:after="120" w:line="276" w:lineRule="auto"/>
        <w:rPr>
          <w:rFonts w:cstheme="minorHAnsi"/>
        </w:rPr>
      </w:pPr>
      <w:r w:rsidRPr="00D56EE8">
        <w:rPr>
          <w:rFonts w:cstheme="minorHAnsi"/>
        </w:rPr>
        <w:lastRenderedPageBreak/>
        <w:t xml:space="preserve">The RBA </w:t>
      </w:r>
      <w:r w:rsidR="00AC6411">
        <w:rPr>
          <w:rFonts w:cstheme="minorHAnsi"/>
        </w:rPr>
        <w:t>has identified</w:t>
      </w:r>
      <w:r w:rsidRPr="00D56EE8">
        <w:rPr>
          <w:rFonts w:cstheme="minorHAnsi"/>
        </w:rPr>
        <w:t xml:space="preserve"> a </w:t>
      </w:r>
      <w:r w:rsidR="00C7630A">
        <w:rPr>
          <w:rFonts w:cstheme="minorHAnsi"/>
        </w:rPr>
        <w:t>significant</w:t>
      </w:r>
      <w:r w:rsidRPr="00D56EE8">
        <w:rPr>
          <w:rFonts w:cstheme="minorHAnsi"/>
        </w:rPr>
        <w:t xml:space="preserve"> change in the relationship between unemployment and inflation.</w:t>
      </w:r>
      <w:r w:rsidRPr="00D56EE8">
        <w:rPr>
          <w:rStyle w:val="FootnoteReference"/>
          <w:rFonts w:cstheme="minorHAnsi"/>
        </w:rPr>
        <w:footnoteReference w:id="41"/>
      </w:r>
      <w:r w:rsidRPr="00D56EE8">
        <w:rPr>
          <w:rFonts w:cstheme="minorHAnsi"/>
        </w:rPr>
        <w:t xml:space="preserve"> Similar changes in other wealthy nations have led economists to question whether further reductions in unemployment are constrained by the risk of a break-out in inflation (the NAIRU or structural unemployment constraint).</w:t>
      </w:r>
      <w:r w:rsidRPr="00D56EE8">
        <w:rPr>
          <w:rStyle w:val="FootnoteReference"/>
          <w:rFonts w:cstheme="minorHAnsi"/>
        </w:rPr>
        <w:footnoteReference w:id="42"/>
      </w:r>
      <w:r w:rsidRPr="00D56EE8">
        <w:rPr>
          <w:rFonts w:cstheme="minorHAnsi"/>
        </w:rPr>
        <w:t xml:space="preserve"> </w:t>
      </w:r>
    </w:p>
    <w:p w:rsidR="00D56EE8" w:rsidRDefault="00D56EE8" w:rsidP="00D56EE8">
      <w:pPr>
        <w:spacing w:after="120" w:line="276" w:lineRule="auto"/>
        <w:rPr>
          <w:rFonts w:cstheme="minorHAnsi"/>
        </w:rPr>
      </w:pPr>
      <w:r w:rsidRPr="00D56EE8">
        <w:rPr>
          <w:rFonts w:cstheme="minorHAnsi"/>
        </w:rPr>
        <w:t>The RBA recently revised its central estimate for the NAIRU from 5% to 4.5%, and it is likely in our view that unemployment could be reduced further than this without adverse economic consequences.</w:t>
      </w:r>
      <w:r w:rsidRPr="00D56EE8">
        <w:rPr>
          <w:rStyle w:val="FootnoteReference"/>
          <w:rFonts w:cstheme="minorHAnsi"/>
        </w:rPr>
        <w:footnoteReference w:id="43"/>
      </w:r>
      <w:r w:rsidRPr="00D56EE8">
        <w:rPr>
          <w:rFonts w:cstheme="minorHAnsi"/>
        </w:rPr>
        <w:t xml:space="preserve"> This brings one obvious benefit - unemployment has declined and can continue to fall </w:t>
      </w:r>
      <w:r w:rsidR="00AC6411">
        <w:rPr>
          <w:rFonts w:cstheme="minorHAnsi"/>
        </w:rPr>
        <w:t xml:space="preserve">with risking excessively high inflation </w:t>
      </w:r>
      <w:r w:rsidRPr="00D56EE8">
        <w:rPr>
          <w:rFonts w:cstheme="minorHAnsi"/>
        </w:rPr>
        <w:t xml:space="preserve">- but it raises questions about the level of growth in general living standards that can be achieved in coming years. </w:t>
      </w:r>
    </w:p>
    <w:p w:rsidR="00AC6411" w:rsidRPr="00D56EE8" w:rsidRDefault="00AC6411" w:rsidP="00D56EE8">
      <w:pPr>
        <w:spacing w:after="120" w:line="276" w:lineRule="auto"/>
        <w:rPr>
          <w:rFonts w:cstheme="minorHAnsi"/>
        </w:rPr>
      </w:pPr>
    </w:p>
    <w:p w:rsidR="00D56EE8" w:rsidRPr="00D56EE8" w:rsidRDefault="00D56EE8" w:rsidP="00D56EE8">
      <w:pPr>
        <w:pStyle w:val="Heading2"/>
      </w:pPr>
      <w:bookmarkStart w:id="34" w:name="_Toc447007818"/>
      <w:bookmarkStart w:id="35" w:name="_Toc447008154"/>
      <w:bookmarkStart w:id="36" w:name="_Toc508977998"/>
      <w:bookmarkStart w:id="37" w:name="_Toc34848645"/>
      <w:bookmarkEnd w:id="32"/>
      <w:bookmarkEnd w:id="33"/>
      <w:r w:rsidRPr="00D56EE8">
        <w:t>Recommendations</w:t>
      </w:r>
      <w:bookmarkEnd w:id="34"/>
      <w:bookmarkEnd w:id="35"/>
      <w:bookmarkEnd w:id="36"/>
      <w:bookmarkEnd w:id="37"/>
    </w:p>
    <w:p w:rsidR="00C7630A" w:rsidRDefault="00C7630A" w:rsidP="00D56EE8">
      <w:pPr>
        <w:spacing w:after="120" w:line="276" w:lineRule="auto"/>
        <w:rPr>
          <w:rFonts w:cstheme="minorHAnsi"/>
        </w:rPr>
      </w:pPr>
    </w:p>
    <w:p w:rsidR="00D56EE8" w:rsidRPr="00D56EE8" w:rsidRDefault="00D56EE8" w:rsidP="00D56EE8">
      <w:pPr>
        <w:spacing w:after="120" w:line="276" w:lineRule="auto"/>
        <w:rPr>
          <w:rFonts w:cstheme="minorHAnsi"/>
        </w:rPr>
      </w:pPr>
      <w:r w:rsidRPr="00D56EE8">
        <w:rPr>
          <w:rFonts w:cstheme="minorHAnsi"/>
        </w:rPr>
        <w:t xml:space="preserve">We recommend that the NMW be increased consistently and substantially to reduce the gap between the NMW and the median wage. While we do not recommend specific increases in minimum wages, the rest of </w:t>
      </w:r>
      <w:r w:rsidRPr="00D56EE8">
        <w:rPr>
          <w:rFonts w:cstheme="minorHAnsi"/>
        </w:rPr>
        <w:lastRenderedPageBreak/>
        <w:t xml:space="preserve">our recommendations focus on how the needs of people on low pay can best be assessed, and the respective roles of wages and social security in sustaining a decent standard of living. Our starting point is that the NMW should be designed to at least provide a decent living standard, well above poverty levels, for a single adult; and that the tax-transfer system should meet the basic costs of raising children in a low income family. </w:t>
      </w:r>
    </w:p>
    <w:p w:rsidR="00D56EE8" w:rsidRPr="00D56EE8" w:rsidRDefault="00D56EE8" w:rsidP="00D56EE8">
      <w:pPr>
        <w:spacing w:after="120" w:line="276" w:lineRule="auto"/>
        <w:rPr>
          <w:rFonts w:cstheme="minorHAnsi"/>
        </w:rPr>
      </w:pPr>
      <w:r w:rsidRPr="00D56EE8">
        <w:rPr>
          <w:rFonts w:cstheme="minorHAnsi"/>
        </w:rPr>
        <w:t xml:space="preserve">The NMW should not be directly designed to cover the costs of children because that role is best performed by the social security system. In assessing the living standards of low paid workers and their families, the Commission should take account of both minimum wages and social security payments, especially Family Tax Benefits. </w:t>
      </w:r>
      <w:r w:rsidR="00633C18">
        <w:rPr>
          <w:rFonts w:cstheme="minorHAnsi"/>
        </w:rPr>
        <w:t>Nevertheless i</w:t>
      </w:r>
      <w:r w:rsidRPr="00D56EE8">
        <w:rPr>
          <w:rFonts w:cstheme="minorHAnsi"/>
        </w:rPr>
        <w:t xml:space="preserve">t is vital that the NMW and family payments together are sufficient to prevent a family from falling into poverty. </w:t>
      </w:r>
    </w:p>
    <w:p w:rsidR="00D56EE8" w:rsidRPr="00D56EE8" w:rsidRDefault="00D56EE8" w:rsidP="00D56EE8">
      <w:pPr>
        <w:spacing w:after="120" w:line="276" w:lineRule="auto"/>
        <w:rPr>
          <w:rFonts w:cstheme="minorHAnsi"/>
        </w:rPr>
      </w:pPr>
      <w:r w:rsidRPr="00D56EE8">
        <w:rPr>
          <w:rFonts w:cstheme="minorHAnsi"/>
        </w:rPr>
        <w:t xml:space="preserve">The minimum wage itself should be set well above poverty levels, in keeping with Australian public policy tradition, and the </w:t>
      </w:r>
      <w:r w:rsidR="00633C18">
        <w:rPr>
          <w:rFonts w:cstheme="minorHAnsi"/>
        </w:rPr>
        <w:t xml:space="preserve">desirability of </w:t>
      </w:r>
      <w:r w:rsidRPr="00D56EE8">
        <w:rPr>
          <w:rFonts w:cstheme="minorHAnsi"/>
        </w:rPr>
        <w:t>maintain</w:t>
      </w:r>
      <w:r w:rsidR="00633C18">
        <w:rPr>
          <w:rFonts w:cstheme="minorHAnsi"/>
        </w:rPr>
        <w:t>ing</w:t>
      </w:r>
      <w:r w:rsidRPr="00D56EE8">
        <w:rPr>
          <w:rFonts w:cstheme="minorHAnsi"/>
        </w:rPr>
        <w:t xml:space="preserve"> a</w:t>
      </w:r>
      <w:r w:rsidR="00633C18">
        <w:rPr>
          <w:rFonts w:cstheme="minorHAnsi"/>
        </w:rPr>
        <w:t xml:space="preserve">n appropriate </w:t>
      </w:r>
      <w:r w:rsidRPr="00D56EE8">
        <w:rPr>
          <w:rFonts w:cstheme="minorHAnsi"/>
        </w:rPr>
        <w:t>gap between maximum social security payments and minimum wages.</w:t>
      </w:r>
    </w:p>
    <w:p w:rsidR="00D56EE8" w:rsidRPr="00D56EE8" w:rsidRDefault="00D56EE8" w:rsidP="00D56EE8">
      <w:pPr>
        <w:spacing w:after="120" w:line="276" w:lineRule="auto"/>
        <w:rPr>
          <w:rFonts w:cstheme="minorHAnsi"/>
        </w:rPr>
      </w:pPr>
      <w:r w:rsidRPr="00D56EE8">
        <w:rPr>
          <w:rFonts w:cstheme="minorHAnsi"/>
        </w:rPr>
        <w:t xml:space="preserve">In addition to these measures, an appropriate benchmark for the adequacy of the NMW would be to compare it with the full-time median wage. </w:t>
      </w:r>
      <w:r w:rsidR="00C7630A">
        <w:rPr>
          <w:rFonts w:cstheme="minorHAnsi"/>
        </w:rPr>
        <w:t xml:space="preserve">A reasonable goal would be </w:t>
      </w:r>
      <w:r w:rsidRPr="00D56EE8">
        <w:rPr>
          <w:rFonts w:cstheme="minorHAnsi"/>
        </w:rPr>
        <w:t>to restore its value to at least 60% of the full-time median wage.</w:t>
      </w:r>
    </w:p>
    <w:p w:rsidR="00D56EE8" w:rsidRPr="00D56EE8" w:rsidRDefault="00D56EE8" w:rsidP="00D56EE8">
      <w:pPr>
        <w:spacing w:after="120" w:line="276" w:lineRule="auto"/>
        <w:rPr>
          <w:rFonts w:cstheme="minorHAnsi"/>
        </w:rPr>
      </w:pPr>
      <w:r w:rsidRPr="00D56EE8">
        <w:rPr>
          <w:rFonts w:cstheme="minorHAnsi"/>
        </w:rPr>
        <w:t xml:space="preserve">We do not propose that minimum wages be tied to a single </w:t>
      </w:r>
      <w:r w:rsidR="00633C18">
        <w:rPr>
          <w:rFonts w:cstheme="minorHAnsi"/>
        </w:rPr>
        <w:t>measure</w:t>
      </w:r>
      <w:r w:rsidRPr="00D56EE8">
        <w:rPr>
          <w:rFonts w:cstheme="minorHAnsi"/>
        </w:rPr>
        <w:t xml:space="preserve"> of income adequacy such as a poverty line or budget standard. Fair Work Australia needs the flexibility to take account of the other factors includ</w:t>
      </w:r>
      <w:r w:rsidRPr="00D56EE8">
        <w:rPr>
          <w:rFonts w:cstheme="minorHAnsi"/>
        </w:rPr>
        <w:lastRenderedPageBreak/>
        <w:t>ing the state of the economy, work incentives and employment. Nevertheless, without reference to benchmarks grounded in thorough independent research on living standards, the adequacy of minimum wages cannot be objectively assessed. ACOSS welcomes the Commission’s use of updated poverty lines</w:t>
      </w:r>
      <w:r w:rsidR="00633C18">
        <w:rPr>
          <w:rFonts w:cstheme="minorHAnsi"/>
        </w:rPr>
        <w:t>,</w:t>
      </w:r>
      <w:r w:rsidRPr="00D56EE8">
        <w:rPr>
          <w:rFonts w:cstheme="minorHAnsi"/>
        </w:rPr>
        <w:t xml:space="preserve"> financial stress indicators and expenditure patterns of low paid workers in the Annual Wage Review Statistical Reports.</w:t>
      </w:r>
      <w:r w:rsidRPr="00D56EE8">
        <w:rPr>
          <w:rFonts w:cstheme="minorHAnsi"/>
        </w:rPr>
        <w:br/>
      </w:r>
    </w:p>
    <w:p w:rsidR="00D56EE8" w:rsidRPr="00D56EE8" w:rsidRDefault="00D56EE8" w:rsidP="00D56EE8">
      <w:pPr>
        <w:spacing w:after="120" w:line="276" w:lineRule="auto"/>
        <w:rPr>
          <w:rFonts w:cstheme="minorHAnsi"/>
        </w:rPr>
      </w:pPr>
      <w:r w:rsidRPr="00D56EE8">
        <w:rPr>
          <w:rFonts w:cstheme="minorHAnsi"/>
        </w:rPr>
        <w:t>We recommend that:</w:t>
      </w:r>
    </w:p>
    <w:p w:rsidR="00D56EE8" w:rsidRPr="00C7630A" w:rsidRDefault="00D56EE8" w:rsidP="00D56EE8">
      <w:pPr>
        <w:pStyle w:val="ListParagraph"/>
        <w:numPr>
          <w:ilvl w:val="0"/>
          <w:numId w:val="12"/>
        </w:numPr>
        <w:spacing w:after="120" w:line="276" w:lineRule="auto"/>
        <w:contextualSpacing/>
        <w:rPr>
          <w:rFonts w:ascii="Verdana" w:hAnsi="Verdana" w:cstheme="minorHAnsi"/>
          <w:sz w:val="22"/>
          <w:szCs w:val="22"/>
        </w:rPr>
      </w:pPr>
      <w:r w:rsidRPr="00C7630A">
        <w:rPr>
          <w:rFonts w:ascii="Verdana" w:hAnsi="Verdana" w:cstheme="minorHAnsi"/>
          <w:sz w:val="22"/>
          <w:szCs w:val="22"/>
        </w:rPr>
        <w:t>The Commission should increase real minimum wages substantially in order to significantly reduce the gap between them and median pay levels.</w:t>
      </w:r>
    </w:p>
    <w:p w:rsidR="00D56EE8" w:rsidRPr="00C7630A" w:rsidRDefault="00D56EE8" w:rsidP="00D56EE8">
      <w:pPr>
        <w:pStyle w:val="ListParagraph"/>
        <w:numPr>
          <w:ilvl w:val="0"/>
          <w:numId w:val="12"/>
        </w:numPr>
        <w:spacing w:after="120" w:line="276" w:lineRule="auto"/>
        <w:contextualSpacing/>
        <w:rPr>
          <w:rFonts w:ascii="Verdana" w:hAnsi="Verdana" w:cstheme="minorHAnsi"/>
          <w:sz w:val="22"/>
          <w:szCs w:val="22"/>
        </w:rPr>
      </w:pPr>
      <w:r w:rsidRPr="00C7630A">
        <w:rPr>
          <w:rFonts w:ascii="Verdana" w:hAnsi="Verdana" w:cstheme="minorHAnsi"/>
          <w:sz w:val="22"/>
          <w:szCs w:val="22"/>
        </w:rPr>
        <w:t>Decisions on the level of minimum wages should be informed by benchmark estimates of the cost of attaining a ‘decent basic living standard’ for a single adult according to contemporary Australian standards.</w:t>
      </w:r>
    </w:p>
    <w:p w:rsidR="00D56EE8" w:rsidRPr="00C7630A" w:rsidRDefault="00D56EE8" w:rsidP="00D56EE8">
      <w:pPr>
        <w:pStyle w:val="ListParagraph"/>
        <w:numPr>
          <w:ilvl w:val="0"/>
          <w:numId w:val="12"/>
        </w:numPr>
        <w:spacing w:after="120" w:line="276" w:lineRule="auto"/>
        <w:contextualSpacing/>
        <w:rPr>
          <w:rFonts w:ascii="Verdana" w:hAnsi="Verdana" w:cstheme="minorHAnsi"/>
          <w:sz w:val="22"/>
          <w:szCs w:val="22"/>
        </w:rPr>
      </w:pPr>
      <w:r w:rsidRPr="00C7630A">
        <w:rPr>
          <w:rFonts w:ascii="Verdana" w:hAnsi="Verdana" w:cstheme="minorHAnsi"/>
          <w:sz w:val="22"/>
          <w:szCs w:val="22"/>
        </w:rPr>
        <w:t>A reasonable benchmark for the adequacy of minimum wages in comparison with wages across the community would be 60% of the fulltime median wage.</w:t>
      </w:r>
    </w:p>
    <w:p w:rsidR="00D56EE8" w:rsidRPr="00C7630A" w:rsidRDefault="00D56EE8" w:rsidP="00D56EE8">
      <w:pPr>
        <w:pStyle w:val="ListParagraph"/>
        <w:numPr>
          <w:ilvl w:val="0"/>
          <w:numId w:val="12"/>
        </w:numPr>
        <w:spacing w:after="120" w:line="276" w:lineRule="auto"/>
        <w:contextualSpacing/>
        <w:rPr>
          <w:rFonts w:ascii="Verdana" w:hAnsi="Verdana" w:cstheme="minorHAnsi"/>
          <w:sz w:val="22"/>
          <w:szCs w:val="22"/>
        </w:rPr>
      </w:pPr>
      <w:r w:rsidRPr="00C7630A">
        <w:rPr>
          <w:rFonts w:ascii="Verdana" w:hAnsi="Verdana" w:cstheme="minorHAnsi"/>
          <w:sz w:val="22"/>
          <w:szCs w:val="22"/>
        </w:rPr>
        <w:t>The combined effect of the minimum wage and family payments on the extent of poverty among families, including recent significant cuts in family payments, should also be expressly considered in setting minimum wages.</w:t>
      </w:r>
    </w:p>
    <w:p w:rsidR="00D56EE8" w:rsidRPr="00C7630A" w:rsidRDefault="00D56EE8" w:rsidP="00D56EE8">
      <w:pPr>
        <w:pStyle w:val="ListParagraph"/>
        <w:numPr>
          <w:ilvl w:val="0"/>
          <w:numId w:val="12"/>
        </w:numPr>
        <w:spacing w:after="120" w:line="276" w:lineRule="auto"/>
        <w:contextualSpacing/>
        <w:rPr>
          <w:rFonts w:ascii="Verdana" w:hAnsi="Verdana" w:cstheme="minorHAnsi"/>
          <w:sz w:val="22"/>
          <w:szCs w:val="22"/>
        </w:rPr>
      </w:pPr>
      <w:r w:rsidRPr="00C7630A">
        <w:rPr>
          <w:rFonts w:ascii="Verdana" w:hAnsi="Verdana" w:cstheme="minorHAnsi"/>
          <w:sz w:val="22"/>
          <w:szCs w:val="22"/>
        </w:rPr>
        <w:t xml:space="preserve">The FWC should continue to commission research and hold consultations with stakeholders to develop and update a robust set of indicators of a minimum adequate living standard for people in low paid </w:t>
      </w:r>
      <w:r w:rsidRPr="00C7630A">
        <w:rPr>
          <w:rFonts w:ascii="Verdana" w:hAnsi="Verdana" w:cstheme="minorHAnsi"/>
          <w:sz w:val="22"/>
          <w:szCs w:val="22"/>
        </w:rPr>
        <w:lastRenderedPageBreak/>
        <w:t>work. It should regularly assess the living standards of individuals and households receiving minimum wages against median household disposable incomes, poverty lines, budget standards and deprivation indicators, including financial stress indicators.</w:t>
      </w:r>
    </w:p>
    <w:p w:rsidR="00D56EE8" w:rsidRPr="00C7630A" w:rsidRDefault="00D56EE8" w:rsidP="00D56EE8">
      <w:pPr>
        <w:pStyle w:val="ListParagraph"/>
        <w:numPr>
          <w:ilvl w:val="0"/>
          <w:numId w:val="12"/>
        </w:numPr>
        <w:spacing w:after="120" w:line="276" w:lineRule="auto"/>
        <w:contextualSpacing/>
        <w:rPr>
          <w:rFonts w:ascii="Verdana" w:hAnsi="Verdana" w:cstheme="minorHAnsi"/>
          <w:b/>
          <w:sz w:val="22"/>
          <w:szCs w:val="22"/>
        </w:rPr>
      </w:pPr>
      <w:r w:rsidRPr="00C7630A">
        <w:rPr>
          <w:rFonts w:ascii="Verdana" w:hAnsi="Verdana" w:cstheme="minorHAnsi"/>
          <w:sz w:val="22"/>
          <w:szCs w:val="22"/>
        </w:rPr>
        <w:t>Minimum wage rates for young people, apprentices and trainees, and people with disability under the Supported Wage System, should continue to be increased in line with the rise in the NMW.</w:t>
      </w:r>
    </w:p>
    <w:bookmarkEnd w:id="9"/>
    <w:bookmarkEnd w:id="10"/>
    <w:bookmarkEnd w:id="11"/>
    <w:bookmarkEnd w:id="12"/>
    <w:bookmarkEnd w:id="13"/>
    <w:p w:rsidR="00AF2299" w:rsidRPr="00AF2299" w:rsidRDefault="00AF2299" w:rsidP="00D25C43">
      <w:pPr>
        <w:pStyle w:val="Caption"/>
      </w:pPr>
    </w:p>
    <w:sectPr w:rsidR="00AF2299" w:rsidRPr="00AF2299" w:rsidSect="00903AD8">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DA" w:rsidRDefault="009555DA" w:rsidP="00F03627">
      <w:pPr>
        <w:spacing w:after="0" w:line="240" w:lineRule="auto"/>
      </w:pPr>
      <w:r>
        <w:separator/>
      </w:r>
    </w:p>
  </w:endnote>
  <w:endnote w:type="continuationSeparator" w:id="0">
    <w:p w:rsidR="009555DA" w:rsidRDefault="009555DA" w:rsidP="00F0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INOT">
    <w:altName w:val="Arial"/>
    <w:panose1 w:val="00000000000000000000"/>
    <w:charset w:val="00"/>
    <w:family w:val="swiss"/>
    <w:notTrueType/>
    <w:pitch w:val="variable"/>
    <w:sig w:usb0="00000003"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Chalet-ParisNineteenSixty">
    <w:panose1 w:val="00000000000000000000"/>
    <w:charset w:val="00"/>
    <w:family w:val="modern"/>
    <w:notTrueType/>
    <w:pitch w:val="variable"/>
    <w:sig w:usb0="800002AF" w:usb1="5000004A"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DIN Light">
    <w:altName w:val="Sitka Small"/>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mmet Bold">
    <w:altName w:val="Sommet Bold"/>
    <w:panose1 w:val="00000000000000000000"/>
    <w:charset w:val="00"/>
    <w:family w:val="swiss"/>
    <w:notTrueType/>
    <w:pitch w:val="default"/>
    <w:sig w:usb0="00000003" w:usb1="00000000" w:usb2="00000000" w:usb3="00000000" w:csb0="00000001" w:csb1="00000000"/>
  </w:font>
  <w:font w:name="Humnst777 BT">
    <w:altName w:val="Humanis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131348"/>
      <w:docPartObj>
        <w:docPartGallery w:val="Page Numbers (Bottom of Page)"/>
        <w:docPartUnique/>
      </w:docPartObj>
    </w:sdtPr>
    <w:sdtEndPr>
      <w:rPr>
        <w:noProof/>
      </w:rPr>
    </w:sdtEndPr>
    <w:sdtContent>
      <w:p w:rsidR="005429C2" w:rsidRDefault="005429C2">
        <w:pPr>
          <w:pStyle w:val="Footer"/>
          <w:rPr>
            <w:noProof/>
          </w:rPr>
        </w:pPr>
        <w:r>
          <w:fldChar w:fldCharType="begin"/>
        </w:r>
        <w:r>
          <w:instrText xml:space="preserve"> PAGE   \* MERGEFORMAT </w:instrText>
        </w:r>
        <w:r>
          <w:fldChar w:fldCharType="separate"/>
        </w:r>
        <w:r w:rsidR="00E908F5">
          <w:rPr>
            <w:noProof/>
          </w:rPr>
          <w:t>1</w:t>
        </w:r>
        <w:r>
          <w:rPr>
            <w:noProof/>
          </w:rPr>
          <w:fldChar w:fldCharType="end"/>
        </w:r>
      </w:p>
      <w:p w:rsidR="005429C2" w:rsidRPr="00342678" w:rsidRDefault="005429C2" w:rsidP="00342678">
        <w:pPr>
          <w:pStyle w:val="Footer"/>
          <w:jc w:val="center"/>
          <w:rPr>
            <w:sz w:val="16"/>
          </w:rP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r w:rsidRPr="00BD087C">
          <w:rPr>
            <w:sz w:val="16"/>
          </w:rPr>
          <w:t>Ph (</w:t>
        </w:r>
        <w:r>
          <w:rPr>
            <w:sz w:val="16"/>
          </w:rPr>
          <w:t>02) 9310 6200</w:t>
        </w:r>
        <w:r w:rsidRPr="00BD087C">
          <w:rPr>
            <w:sz w:val="16"/>
          </w:rPr>
          <w:t xml:space="preserve"> </w:t>
        </w:r>
        <w:r>
          <w:rPr>
            <w:sz w:val="16"/>
          </w:rPr>
          <w:t xml:space="preserve">E: </w:t>
        </w:r>
        <w:hyperlink r:id="rId1" w:history="1">
          <w:r w:rsidRPr="00292056">
            <w:rPr>
              <w:rStyle w:val="Hyperlink"/>
              <w:b/>
              <w:sz w:val="16"/>
            </w:rPr>
            <w:t>info@acoss.org.au</w:t>
          </w:r>
        </w:hyperlink>
        <w:r>
          <w:rPr>
            <w:b/>
            <w:sz w:val="16"/>
          </w:rPr>
          <w:br/>
        </w:r>
        <w:hyperlink r:id="rId2" w:history="1">
          <w:r w:rsidRPr="00E0392A">
            <w:rPr>
              <w:rStyle w:val="Hyperlink"/>
              <w:b/>
              <w:sz w:val="16"/>
            </w:rPr>
            <w:t>www.acoss.org.au</w:t>
          </w:r>
        </w:hyperlink>
        <w:r>
          <w:rPr>
            <w:b/>
            <w:sz w:val="16"/>
          </w:rPr>
          <w:br/>
        </w:r>
        <w:r w:rsidRPr="00BD087C">
          <w:rPr>
            <w:sz w:val="16"/>
          </w:rPr>
          <w:t>ISSN</w:t>
        </w:r>
        <w:r>
          <w:rPr>
            <w:sz w:val="16"/>
          </w:rPr>
          <w:t>:</w:t>
        </w:r>
        <w:r w:rsidRPr="00BD087C">
          <w:rPr>
            <w:sz w:val="16"/>
          </w:rPr>
          <w:t xml:space="preserve"> 1326 7124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DA" w:rsidRDefault="009555DA" w:rsidP="00F03627">
      <w:pPr>
        <w:spacing w:after="0" w:line="240" w:lineRule="auto"/>
      </w:pPr>
      <w:r>
        <w:separator/>
      </w:r>
    </w:p>
  </w:footnote>
  <w:footnote w:type="continuationSeparator" w:id="0">
    <w:p w:rsidR="009555DA" w:rsidRDefault="009555DA" w:rsidP="00F03627">
      <w:pPr>
        <w:spacing w:after="0" w:line="240" w:lineRule="auto"/>
      </w:pPr>
      <w:r>
        <w:continuationSeparator/>
      </w:r>
    </w:p>
  </w:footnote>
  <w:footnote w:id="1">
    <w:p w:rsidR="005429C2" w:rsidRPr="00B446CD" w:rsidRDefault="005429C2" w:rsidP="00D56EE8">
      <w:pPr>
        <w:pStyle w:val="Default"/>
        <w:rPr>
          <w:rStyle w:val="Hyperlink"/>
          <w:rFonts w:asciiTheme="minorHAnsi" w:hAnsiTheme="minorHAnsi" w:cstheme="minorHAnsi"/>
          <w:color w:val="auto"/>
          <w:sz w:val="20"/>
          <w:szCs w:val="20"/>
        </w:rPr>
      </w:pPr>
      <w:r w:rsidRPr="00B446CD">
        <w:rPr>
          <w:rStyle w:val="FootnoteReference"/>
          <w:rFonts w:asciiTheme="minorHAnsi" w:hAnsiTheme="minorHAnsi" w:cstheme="minorHAnsi"/>
          <w:sz w:val="20"/>
          <w:szCs w:val="20"/>
        </w:rPr>
        <w:footnoteRef/>
      </w:r>
      <w:r w:rsidRPr="00B446CD">
        <w:rPr>
          <w:rStyle w:val="Hyperlink"/>
          <w:rFonts w:asciiTheme="minorHAnsi" w:hAnsiTheme="minorHAnsi" w:cstheme="minorHAnsi"/>
          <w:sz w:val="20"/>
          <w:szCs w:val="20"/>
        </w:rPr>
        <w:t xml:space="preserve"> </w:t>
      </w:r>
      <w:r w:rsidRPr="00B446CD">
        <w:rPr>
          <w:rStyle w:val="Hyperlink"/>
          <w:rFonts w:asciiTheme="minorHAnsi" w:hAnsiTheme="minorHAnsi" w:cstheme="minorHAnsi"/>
          <w:color w:val="auto"/>
          <w:sz w:val="20"/>
          <w:szCs w:val="20"/>
        </w:rPr>
        <w:t>Fair Work Commission (2018)</w:t>
      </w:r>
      <w:r w:rsidRPr="00B446CD">
        <w:rPr>
          <w:rStyle w:val="Hyperlink"/>
          <w:rFonts w:asciiTheme="minorHAnsi" w:hAnsiTheme="minorHAnsi" w:cstheme="minorHAnsi"/>
          <w:i/>
          <w:color w:val="auto"/>
          <w:sz w:val="20"/>
          <w:szCs w:val="20"/>
        </w:rPr>
        <w:t>, Decision, Annual Wage Review 2017–18</w:t>
      </w:r>
      <w:r w:rsidRPr="00B446CD">
        <w:rPr>
          <w:rStyle w:val="Hyperlink"/>
          <w:rFonts w:asciiTheme="minorHAnsi" w:hAnsiTheme="minorHAnsi" w:cstheme="minorHAnsi"/>
          <w:color w:val="auto"/>
          <w:sz w:val="20"/>
          <w:szCs w:val="20"/>
        </w:rPr>
        <w:t>.</w:t>
      </w:r>
    </w:p>
  </w:footnote>
  <w:footnote w:id="2">
    <w:p w:rsidR="005429C2" w:rsidRPr="00B446CD" w:rsidRDefault="005429C2" w:rsidP="00D56EE8">
      <w:pPr>
        <w:pStyle w:val="FootnoteText"/>
        <w:rPr>
          <w:rFonts w:asciiTheme="minorHAnsi" w:hAnsiTheme="minorHAnsi" w:cstheme="minorHAnsi"/>
          <w:sz w:val="20"/>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Australian Bureau of Statistics (ABS), </w:t>
      </w:r>
      <w:r w:rsidRPr="00B446CD">
        <w:rPr>
          <w:rFonts w:asciiTheme="minorHAnsi" w:hAnsiTheme="minorHAnsi" w:cstheme="minorHAnsi"/>
          <w:i/>
          <w:iCs/>
          <w:sz w:val="20"/>
        </w:rPr>
        <w:t>Employee earnings and hours, Australia series</w:t>
      </w:r>
      <w:r w:rsidRPr="00B446CD">
        <w:rPr>
          <w:rFonts w:asciiTheme="minorHAnsi" w:hAnsiTheme="minorHAnsi" w:cstheme="minorHAnsi"/>
          <w:iCs/>
          <w:sz w:val="20"/>
        </w:rPr>
        <w:t xml:space="preserve"> Cat no 6306.0</w:t>
      </w:r>
    </w:p>
  </w:footnote>
  <w:footnote w:id="3">
    <w:p w:rsidR="005429C2" w:rsidRPr="00B446CD" w:rsidRDefault="005429C2" w:rsidP="00DF26F2">
      <w:pPr>
        <w:pStyle w:val="FootnoteText"/>
        <w:rPr>
          <w:rFonts w:asciiTheme="minorHAnsi" w:hAnsiTheme="minorHAnsi" w:cstheme="minorHAnsi"/>
          <w:sz w:val="20"/>
          <w:lang w:val="en-US"/>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Davidson, P., Saunders, P., Bradbury, B. and Wong, M. (forthcoming)</w:t>
      </w:r>
      <w:r w:rsidRPr="00B446CD">
        <w:rPr>
          <w:rFonts w:asciiTheme="minorHAnsi" w:hAnsiTheme="minorHAnsi" w:cstheme="minorHAnsi"/>
          <w:i/>
          <w:sz w:val="20"/>
        </w:rPr>
        <w:t>, Poverty in Australia, 2020</w:t>
      </w:r>
      <w:r w:rsidRPr="00B446CD">
        <w:rPr>
          <w:rFonts w:asciiTheme="minorHAnsi" w:hAnsiTheme="minorHAnsi" w:cstheme="minorHAnsi"/>
          <w:sz w:val="20"/>
        </w:rPr>
        <w:t xml:space="preserve">. ACOSS/UNSW Poverty and Inequality Partnership Report No. 4, Sydney: ACOSS. </w:t>
      </w:r>
    </w:p>
  </w:footnote>
  <w:footnote w:id="4">
    <w:p w:rsidR="005429C2" w:rsidRPr="00B446CD" w:rsidRDefault="005429C2" w:rsidP="00DF26F2">
      <w:pPr>
        <w:pStyle w:val="FootnoteText"/>
        <w:rPr>
          <w:rFonts w:asciiTheme="minorHAnsi" w:hAnsiTheme="minorHAnsi"/>
          <w:sz w:val="20"/>
        </w:rPr>
      </w:pPr>
      <w:r w:rsidRPr="00B446CD">
        <w:rPr>
          <w:rStyle w:val="FootnoteReference"/>
          <w:rFonts w:asciiTheme="minorHAnsi" w:hAnsiTheme="minorHAnsi"/>
          <w:sz w:val="20"/>
        </w:rPr>
        <w:footnoteRef/>
      </w:r>
      <w:r w:rsidRPr="00B446CD">
        <w:rPr>
          <w:rFonts w:asciiTheme="minorHAnsi" w:hAnsiTheme="minorHAnsi"/>
          <w:sz w:val="20"/>
        </w:rPr>
        <w:t xml:space="preserve"> ACOSS &amp; UNSW (2016), </w:t>
      </w:r>
      <w:r w:rsidRPr="00B446CD">
        <w:rPr>
          <w:rFonts w:asciiTheme="minorHAnsi" w:hAnsiTheme="minorHAnsi"/>
          <w:i/>
          <w:sz w:val="20"/>
        </w:rPr>
        <w:t xml:space="preserve">Poverty in Australia, </w:t>
      </w:r>
      <w:r w:rsidRPr="00B446CD">
        <w:rPr>
          <w:rFonts w:asciiTheme="minorHAnsi" w:hAnsiTheme="minorHAnsi"/>
          <w:sz w:val="20"/>
        </w:rPr>
        <w:t>Sydney</w:t>
      </w:r>
      <w:r w:rsidRPr="00B446CD">
        <w:rPr>
          <w:rFonts w:asciiTheme="minorHAnsi" w:hAnsiTheme="minorHAnsi"/>
          <w:i/>
          <w:sz w:val="20"/>
        </w:rPr>
        <w:t>.</w:t>
      </w:r>
    </w:p>
  </w:footnote>
  <w:footnote w:id="5">
    <w:p w:rsidR="005429C2" w:rsidRPr="00B446CD" w:rsidRDefault="005429C2" w:rsidP="00D56EE8">
      <w:pPr>
        <w:pStyle w:val="FootnoteText"/>
        <w:rPr>
          <w:rFonts w:asciiTheme="minorHAnsi" w:hAnsiTheme="minorHAnsi" w:cstheme="minorHAnsi"/>
          <w:sz w:val="20"/>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ABS (2020), </w:t>
      </w:r>
      <w:r w:rsidRPr="00B446CD">
        <w:rPr>
          <w:rFonts w:asciiTheme="minorHAnsi" w:hAnsiTheme="minorHAnsi" w:cstheme="minorHAnsi"/>
          <w:i/>
          <w:sz w:val="20"/>
        </w:rPr>
        <w:t>National Accounts</w:t>
      </w:r>
      <w:r w:rsidRPr="00B446CD">
        <w:rPr>
          <w:rFonts w:asciiTheme="minorHAnsi" w:hAnsiTheme="minorHAnsi" w:cstheme="minorHAnsi"/>
          <w:sz w:val="20"/>
        </w:rPr>
        <w:t>, December quarter 2019.</w:t>
      </w:r>
    </w:p>
  </w:footnote>
  <w:footnote w:id="6">
    <w:p w:rsidR="005429C2" w:rsidRPr="00B446CD" w:rsidRDefault="005429C2" w:rsidP="00D56EE8">
      <w:pPr>
        <w:pStyle w:val="FootnoteText"/>
        <w:rPr>
          <w:rFonts w:asciiTheme="minorHAnsi" w:hAnsiTheme="minorHAnsi"/>
          <w:sz w:val="20"/>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ABS (2020), </w:t>
      </w:r>
      <w:r w:rsidRPr="00B446CD">
        <w:rPr>
          <w:rFonts w:asciiTheme="minorHAnsi" w:hAnsiTheme="minorHAnsi" w:cstheme="minorHAnsi"/>
          <w:i/>
          <w:iCs/>
          <w:sz w:val="20"/>
        </w:rPr>
        <w:t>Wage Price Index, Australia, September 2019</w:t>
      </w:r>
      <w:r w:rsidRPr="00B446CD">
        <w:rPr>
          <w:rFonts w:asciiTheme="minorHAnsi" w:hAnsiTheme="minorHAnsi" w:cstheme="minorHAnsi"/>
          <w:sz w:val="20"/>
        </w:rPr>
        <w:t xml:space="preserve">, ABS (2020), Consumer Price Index, December 2019. </w:t>
      </w:r>
    </w:p>
  </w:footnote>
  <w:footnote w:id="7">
    <w:p w:rsidR="005429C2" w:rsidRPr="00B446CD" w:rsidRDefault="005429C2" w:rsidP="00D56EE8">
      <w:pPr>
        <w:pStyle w:val="FootnoteText"/>
        <w:rPr>
          <w:rFonts w:asciiTheme="minorHAnsi" w:hAnsiTheme="minorHAnsi" w:cstheme="minorHAnsi"/>
          <w:sz w:val="20"/>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RBA (2019), </w:t>
      </w:r>
      <w:r w:rsidRPr="00B446CD">
        <w:rPr>
          <w:rFonts w:asciiTheme="minorHAnsi" w:hAnsiTheme="minorHAnsi" w:cstheme="minorHAnsi"/>
          <w:i/>
          <w:sz w:val="20"/>
        </w:rPr>
        <w:t>Statistics - demand and income</w:t>
      </w:r>
      <w:r w:rsidRPr="00B446CD">
        <w:rPr>
          <w:rFonts w:asciiTheme="minorHAnsi" w:hAnsiTheme="minorHAnsi" w:cstheme="minorHAnsi"/>
          <w:sz w:val="20"/>
        </w:rPr>
        <w:t>.</w:t>
      </w:r>
    </w:p>
  </w:footnote>
  <w:footnote w:id="8">
    <w:p w:rsidR="005429C2" w:rsidRPr="00B446CD" w:rsidRDefault="005429C2" w:rsidP="00E9069C">
      <w:pPr>
        <w:pStyle w:val="FootnoteText"/>
        <w:rPr>
          <w:rFonts w:asciiTheme="minorHAnsi" w:hAnsiTheme="minorHAnsi"/>
          <w:sz w:val="20"/>
        </w:rPr>
      </w:pPr>
      <w:r w:rsidRPr="00B446CD">
        <w:rPr>
          <w:rStyle w:val="FootnoteReference"/>
          <w:rFonts w:asciiTheme="minorHAnsi" w:hAnsiTheme="minorHAnsi"/>
          <w:sz w:val="20"/>
        </w:rPr>
        <w:footnoteRef/>
      </w:r>
      <w:r w:rsidRPr="00B446CD">
        <w:rPr>
          <w:rFonts w:asciiTheme="minorHAnsi" w:hAnsiTheme="minorHAnsi"/>
          <w:sz w:val="20"/>
        </w:rPr>
        <w:t xml:space="preserve"> </w:t>
      </w:r>
      <w:hyperlink r:id="rId1" w:history="1">
        <w:r w:rsidRPr="00B446CD">
          <w:rPr>
            <w:rFonts w:asciiTheme="minorHAnsi" w:hAnsiTheme="minorHAnsi"/>
            <w:color w:val="0000FF"/>
            <w:sz w:val="20"/>
            <w:u w:val="single"/>
            <w:lang w:val="en-US"/>
          </w:rPr>
          <w:t>https://treasury.gov.au/speech/opening-statement-march-2020-senate-estimates</w:t>
        </w:r>
      </w:hyperlink>
    </w:p>
  </w:footnote>
  <w:footnote w:id="9">
    <w:p w:rsidR="005429C2" w:rsidRPr="00B446CD" w:rsidRDefault="005429C2" w:rsidP="00D56EE8">
      <w:pPr>
        <w:pStyle w:val="FootnoteText"/>
        <w:rPr>
          <w:rFonts w:asciiTheme="minorHAnsi" w:hAnsiTheme="minorHAnsi" w:cstheme="minorHAnsi"/>
          <w:sz w:val="20"/>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ACOSS (2019), </w:t>
      </w:r>
      <w:hyperlink r:id="rId2" w:history="1">
        <w:r w:rsidRPr="00B446CD">
          <w:rPr>
            <w:rFonts w:asciiTheme="minorHAnsi" w:hAnsiTheme="minorHAnsi" w:cstheme="minorHAnsi"/>
            <w:i/>
            <w:sz w:val="20"/>
          </w:rPr>
          <w:t>Budget Priorities Statement, 2020</w:t>
        </w:r>
      </w:hyperlink>
      <w:r w:rsidRPr="00B446CD">
        <w:rPr>
          <w:rFonts w:asciiTheme="minorHAnsi" w:hAnsiTheme="minorHAnsi" w:cstheme="minorHAnsi"/>
          <w:i/>
          <w:sz w:val="20"/>
        </w:rPr>
        <w:t>-21.</w:t>
      </w:r>
    </w:p>
  </w:footnote>
  <w:footnote w:id="10">
    <w:p w:rsidR="005429C2" w:rsidRPr="00B446CD" w:rsidRDefault="005429C2" w:rsidP="00D56EE8">
      <w:pPr>
        <w:pStyle w:val="FootnoteText"/>
        <w:rPr>
          <w:rFonts w:asciiTheme="minorHAnsi" w:hAnsiTheme="minorHAnsi" w:cstheme="minorHAnsi"/>
          <w:sz w:val="20"/>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Whiteford, P et al (2019), </w:t>
      </w:r>
      <w:r w:rsidRPr="00B446CD">
        <w:rPr>
          <w:rFonts w:asciiTheme="minorHAnsi" w:hAnsiTheme="minorHAnsi" w:cstheme="minorHAnsi"/>
          <w:i/>
          <w:sz w:val="20"/>
        </w:rPr>
        <w:t>It’s not just Newstart: Single parents are $271 per fortnight worse o</w:t>
      </w:r>
      <w:r w:rsidRPr="00B446CD">
        <w:rPr>
          <w:rFonts w:asciiTheme="minorHAnsi" w:hAnsiTheme="minorHAnsi" w:cstheme="minorHAnsi"/>
          <w:sz w:val="20"/>
        </w:rPr>
        <w:t xml:space="preserve">ff, The Conversation, December 3, 2018. </w:t>
      </w:r>
    </w:p>
  </w:footnote>
  <w:footnote w:id="11">
    <w:p w:rsidR="005429C2" w:rsidRPr="00B446CD" w:rsidRDefault="005429C2" w:rsidP="00D56EE8">
      <w:pPr>
        <w:pStyle w:val="FootnoteText"/>
        <w:rPr>
          <w:rFonts w:asciiTheme="minorHAnsi" w:hAnsiTheme="minorHAnsi" w:cstheme="minorHAnsi"/>
          <w:sz w:val="20"/>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In the Commission’s modelling of changes in the disposable incomes of hypothetical families children relying on the NMW from 2013 to 2018, families with children (whether singles or couples) had smaller increases in household disposable income than those without children (Fair Work Commission (2019), </w:t>
      </w:r>
      <w:r w:rsidRPr="00B446CD">
        <w:rPr>
          <w:rFonts w:asciiTheme="minorHAnsi" w:hAnsiTheme="minorHAnsi" w:cstheme="minorHAnsi"/>
          <w:i/>
          <w:sz w:val="20"/>
        </w:rPr>
        <w:t>Statistical report—Annual Wage Review 2018–19</w:t>
      </w:r>
      <w:r w:rsidRPr="00B446CD">
        <w:rPr>
          <w:rFonts w:asciiTheme="minorHAnsi" w:hAnsiTheme="minorHAnsi" w:cstheme="minorHAnsi"/>
          <w:sz w:val="20"/>
        </w:rPr>
        <w:t>, Table 8.4). Federal Budget reductions in family payments and income support payments are likely to be a major reason for this.</w:t>
      </w:r>
    </w:p>
  </w:footnote>
  <w:footnote w:id="12">
    <w:p w:rsidR="005429C2" w:rsidRPr="00B446CD" w:rsidRDefault="005429C2" w:rsidP="00D56EE8">
      <w:pPr>
        <w:pStyle w:val="FootnoteText"/>
        <w:rPr>
          <w:sz w:val="20"/>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Davidson, P., Saunders, P., Bradbury, B. and Wong, M. (2018)</w:t>
      </w:r>
      <w:r w:rsidRPr="00B446CD">
        <w:rPr>
          <w:rFonts w:asciiTheme="minorHAnsi" w:hAnsiTheme="minorHAnsi" w:cstheme="minorHAnsi"/>
          <w:i/>
          <w:sz w:val="20"/>
        </w:rPr>
        <w:t xml:space="preserve">, </w:t>
      </w:r>
      <w:r w:rsidR="00B446CD" w:rsidRPr="00B446CD">
        <w:rPr>
          <w:rFonts w:asciiTheme="minorHAnsi" w:hAnsiTheme="minorHAnsi" w:cstheme="minorHAnsi"/>
          <w:i/>
          <w:sz w:val="20"/>
        </w:rPr>
        <w:t>Poverty in Australia</w:t>
      </w:r>
      <w:r w:rsidR="00B446CD" w:rsidRPr="00B446CD">
        <w:rPr>
          <w:rFonts w:asciiTheme="minorHAnsi" w:hAnsiTheme="minorHAnsi" w:cstheme="minorHAnsi"/>
          <w:sz w:val="20"/>
        </w:rPr>
        <w:t>. ACOSS/UNSW Poverty and Inequality Partnership Report No. 3, Sydney:ACOSS.</w:t>
      </w:r>
    </w:p>
  </w:footnote>
  <w:footnote w:id="13">
    <w:p w:rsidR="005429C2" w:rsidRPr="00B446CD" w:rsidRDefault="005429C2" w:rsidP="00D56EE8">
      <w:pPr>
        <w:pStyle w:val="FootnoteText"/>
        <w:rPr>
          <w:rFonts w:asciiTheme="minorHAnsi" w:hAnsiTheme="minorHAnsi" w:cstheme="minorHAnsi"/>
          <w:sz w:val="20"/>
          <w:lang w:val="en-US"/>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w:t>
      </w:r>
      <w:r w:rsidRPr="00B446CD">
        <w:rPr>
          <w:rFonts w:asciiTheme="minorHAnsi" w:hAnsiTheme="minorHAnsi" w:cstheme="minorHAnsi"/>
          <w:bCs w:val="0"/>
          <w:sz w:val="20"/>
        </w:rPr>
        <w:t>Productivity Commission (2015)</w:t>
      </w:r>
      <w:r w:rsidRPr="00B446CD">
        <w:rPr>
          <w:rFonts w:asciiTheme="minorHAnsi" w:hAnsiTheme="minorHAnsi" w:cstheme="minorHAnsi"/>
          <w:bCs w:val="0"/>
          <w:i/>
          <w:sz w:val="20"/>
        </w:rPr>
        <w:t>, Workplace Relations Framework, Productivity Commission Inquiry Report Volume 1</w:t>
      </w:r>
      <w:r w:rsidRPr="00B446CD">
        <w:rPr>
          <w:rFonts w:asciiTheme="minorHAnsi" w:hAnsiTheme="minorHAnsi" w:cstheme="minorHAnsi"/>
          <w:bCs w:val="0"/>
          <w:sz w:val="20"/>
        </w:rPr>
        <w:t>, page 201; Bishop J (2018),</w:t>
      </w:r>
      <w:r w:rsidRPr="00B446CD">
        <w:rPr>
          <w:rFonts w:asciiTheme="minorHAnsi" w:hAnsiTheme="minorHAnsi" w:cstheme="minorHAnsi"/>
          <w:sz w:val="20"/>
        </w:rPr>
        <w:t xml:space="preserve"> </w:t>
      </w:r>
      <w:r w:rsidRPr="00B446CD">
        <w:rPr>
          <w:rFonts w:asciiTheme="minorHAnsi" w:hAnsiTheme="minorHAnsi" w:cstheme="minorHAnsi"/>
          <w:i/>
          <w:sz w:val="20"/>
        </w:rPr>
        <w:t>The Effect of Minimum Wage Increases on Wages, Hours Worked and Job Loss,</w:t>
      </w:r>
      <w:r w:rsidRPr="00B446CD">
        <w:rPr>
          <w:rFonts w:asciiTheme="minorHAnsi" w:hAnsiTheme="minorHAnsi" w:cstheme="minorHAnsi"/>
          <w:sz w:val="20"/>
        </w:rPr>
        <w:t xml:space="preserve"> RBA Bulletin September 2018.</w:t>
      </w:r>
    </w:p>
  </w:footnote>
  <w:footnote w:id="14">
    <w:p w:rsidR="005429C2" w:rsidRPr="00B446CD" w:rsidRDefault="005429C2" w:rsidP="00B46E04">
      <w:pPr>
        <w:pStyle w:val="Default"/>
        <w:rPr>
          <w:rFonts w:asciiTheme="minorHAnsi" w:eastAsiaTheme="minorHAnsi" w:hAnsiTheme="minorHAnsi" w:cs="Humnst777 BT"/>
          <w:bCs/>
          <w:sz w:val="20"/>
          <w:szCs w:val="20"/>
        </w:rPr>
      </w:pPr>
      <w:r w:rsidRPr="00B446CD">
        <w:rPr>
          <w:rStyle w:val="FootnoteReference"/>
          <w:sz w:val="20"/>
          <w:szCs w:val="20"/>
        </w:rPr>
        <w:footnoteRef/>
      </w:r>
      <w:r w:rsidRPr="00B446CD">
        <w:rPr>
          <w:sz w:val="20"/>
          <w:szCs w:val="20"/>
        </w:rPr>
        <w:t xml:space="preserve"> </w:t>
      </w:r>
      <w:r w:rsidRPr="00B446CD">
        <w:rPr>
          <w:rFonts w:asciiTheme="minorHAnsi" w:eastAsiaTheme="minorHAnsi" w:hAnsiTheme="minorHAnsi" w:cs="Humnst777 BT"/>
          <w:bCs/>
          <w:sz w:val="20"/>
          <w:szCs w:val="20"/>
        </w:rPr>
        <w:t>Dube</w:t>
      </w:r>
      <w:r w:rsidRPr="00B446CD">
        <w:rPr>
          <w:rFonts w:asciiTheme="minorHAnsi" w:eastAsiaTheme="minorHAnsi" w:hAnsiTheme="minorHAnsi" w:cs="Humnst777 BT"/>
          <w:sz w:val="20"/>
          <w:szCs w:val="20"/>
          <w:lang w:eastAsia="en-US"/>
        </w:rPr>
        <w:t xml:space="preserve"> A (2019), </w:t>
      </w:r>
      <w:r w:rsidRPr="00B446CD">
        <w:rPr>
          <w:rFonts w:asciiTheme="minorHAnsi" w:eastAsiaTheme="minorHAnsi" w:hAnsiTheme="minorHAnsi" w:cs="Humnst777 BT"/>
          <w:sz w:val="20"/>
          <w:szCs w:val="20"/>
        </w:rPr>
        <w:t>Impacts of minimum wages:</w:t>
      </w:r>
      <w:r w:rsidRPr="00B446CD">
        <w:rPr>
          <w:rFonts w:asciiTheme="minorHAnsi" w:eastAsiaTheme="minorHAnsi" w:hAnsiTheme="minorHAnsi" w:cs="Humnst777 BT"/>
          <w:bCs/>
          <w:sz w:val="20"/>
          <w:szCs w:val="20"/>
        </w:rPr>
        <w:t xml:space="preserve"> </w:t>
      </w:r>
      <w:r w:rsidRPr="00B446CD">
        <w:rPr>
          <w:rFonts w:asciiTheme="minorHAnsi" w:eastAsiaTheme="minorHAnsi" w:hAnsiTheme="minorHAnsi" w:cs="Humnst777 BT"/>
          <w:sz w:val="20"/>
          <w:szCs w:val="20"/>
          <w:lang w:eastAsia="en-US"/>
        </w:rPr>
        <w:t xml:space="preserve"> review of the international evidence</w:t>
      </w:r>
      <w:r w:rsidRPr="00B446CD">
        <w:rPr>
          <w:rFonts w:asciiTheme="minorHAnsi" w:eastAsiaTheme="minorHAnsi" w:hAnsiTheme="minorHAnsi" w:cs="Humnst777 BT"/>
          <w:bCs/>
          <w:sz w:val="20"/>
          <w:szCs w:val="20"/>
        </w:rPr>
        <w:t>, University of Massachusetts Amherst, report for the Low Pay Commission:London.</w:t>
      </w:r>
    </w:p>
  </w:footnote>
  <w:footnote w:id="15">
    <w:p w:rsidR="005429C2" w:rsidRPr="00B446CD" w:rsidRDefault="005429C2" w:rsidP="00D56EE8">
      <w:pPr>
        <w:pStyle w:val="FootnoteText"/>
        <w:rPr>
          <w:sz w:val="20"/>
        </w:rPr>
      </w:pPr>
      <w:r w:rsidRPr="00B446CD">
        <w:rPr>
          <w:rStyle w:val="FootnoteReference"/>
          <w:rFonts w:asciiTheme="minorHAnsi" w:hAnsiTheme="minorHAnsi" w:cstheme="minorHAnsi"/>
          <w:sz w:val="20"/>
        </w:rPr>
        <w:footnoteRef/>
      </w:r>
      <w:r w:rsidRPr="00B446CD">
        <w:rPr>
          <w:rFonts w:asciiTheme="minorHAnsi" w:hAnsiTheme="minorHAnsi" w:cstheme="minorHAnsi"/>
          <w:sz w:val="20"/>
        </w:rPr>
        <w:t xml:space="preserve"> The RBA has revised downward its estimate of the non-accelerating inflation rate of unemployment (NAIRU) from 5% to around 4.5%. This reflects, among other factors, the high rate of underemployment, which sat at 8.</w:t>
      </w:r>
      <w:r w:rsidR="00B446CD" w:rsidRPr="00B446CD">
        <w:rPr>
          <w:rFonts w:asciiTheme="minorHAnsi" w:hAnsiTheme="minorHAnsi" w:cstheme="minorHAnsi"/>
          <w:sz w:val="20"/>
        </w:rPr>
        <w:t>5</w:t>
      </w:r>
      <w:r w:rsidRPr="00B446CD">
        <w:rPr>
          <w:rFonts w:asciiTheme="minorHAnsi" w:hAnsiTheme="minorHAnsi" w:cstheme="minorHAnsi"/>
          <w:sz w:val="20"/>
        </w:rPr>
        <w:t xml:space="preserve">% of the labour force in </w:t>
      </w:r>
      <w:r w:rsidR="00B446CD" w:rsidRPr="00B446CD">
        <w:rPr>
          <w:rFonts w:asciiTheme="minorHAnsi" w:hAnsiTheme="minorHAnsi" w:cstheme="minorHAnsi"/>
          <w:sz w:val="20"/>
        </w:rPr>
        <w:t>January 2020</w:t>
      </w:r>
      <w:r w:rsidRPr="00B446CD">
        <w:rPr>
          <w:rFonts w:asciiTheme="minorHAnsi" w:hAnsiTheme="minorHAnsi" w:cstheme="minorHAnsi"/>
          <w:sz w:val="20"/>
        </w:rPr>
        <w:t xml:space="preserve"> (ABS 20</w:t>
      </w:r>
      <w:r w:rsidR="00B446CD" w:rsidRPr="00B446CD">
        <w:rPr>
          <w:rFonts w:asciiTheme="minorHAnsi" w:hAnsiTheme="minorHAnsi" w:cstheme="minorHAnsi"/>
          <w:sz w:val="20"/>
        </w:rPr>
        <w:t>20</w:t>
      </w:r>
      <w:r w:rsidRPr="00B446CD">
        <w:rPr>
          <w:rFonts w:asciiTheme="minorHAnsi" w:hAnsiTheme="minorHAnsi" w:cstheme="minorHAnsi"/>
          <w:sz w:val="20"/>
        </w:rPr>
        <w:t>,</w:t>
      </w:r>
      <w:r w:rsidRPr="00B446CD">
        <w:rPr>
          <w:rFonts w:asciiTheme="minorHAnsi" w:hAnsiTheme="minorHAnsi" w:cstheme="minorHAnsi"/>
          <w:i/>
          <w:sz w:val="20"/>
        </w:rPr>
        <w:t xml:space="preserve"> Labour Force, Australia</w:t>
      </w:r>
      <w:r w:rsidRPr="00B446CD">
        <w:rPr>
          <w:rFonts w:asciiTheme="minorHAnsi" w:hAnsiTheme="minorHAnsi" w:cstheme="minorHAnsi"/>
          <w:sz w:val="20"/>
        </w:rPr>
        <w:t xml:space="preserve">, </w:t>
      </w:r>
      <w:r w:rsidR="00B446CD" w:rsidRPr="00B446CD">
        <w:rPr>
          <w:rFonts w:asciiTheme="minorHAnsi" w:hAnsiTheme="minorHAnsi" w:cstheme="minorHAnsi"/>
          <w:sz w:val="20"/>
        </w:rPr>
        <w:t>January 2020</w:t>
      </w:r>
      <w:r w:rsidRPr="00B446CD">
        <w:rPr>
          <w:rFonts w:asciiTheme="minorHAnsi" w:hAnsiTheme="minorHAnsi" w:cstheme="minorHAnsi"/>
          <w:sz w:val="20"/>
        </w:rPr>
        <w:t>).</w:t>
      </w:r>
    </w:p>
  </w:footnote>
  <w:footnote w:id="16">
    <w:p w:rsidR="005429C2" w:rsidRPr="004F4E77" w:rsidRDefault="005429C2" w:rsidP="00D56EE8">
      <w:pPr>
        <w:pStyle w:val="FootnoteText"/>
        <w:rPr>
          <w:rFonts w:asciiTheme="minorHAnsi" w:hAnsiTheme="minorHAnsi" w:cstheme="minorHAnsi"/>
        </w:rPr>
      </w:pPr>
      <w:r w:rsidRPr="004F4E77">
        <w:rPr>
          <w:rStyle w:val="FootnoteReference"/>
          <w:rFonts w:asciiTheme="minorHAnsi" w:hAnsiTheme="minorHAnsi" w:cstheme="minorHAnsi"/>
        </w:rPr>
        <w:footnoteRef/>
      </w:r>
      <w:r w:rsidRPr="004F4E77">
        <w:rPr>
          <w:rFonts w:asciiTheme="minorHAnsi" w:hAnsiTheme="minorHAnsi" w:cstheme="minorHAnsi"/>
        </w:rPr>
        <w:t xml:space="preserve"> ABS (20</w:t>
      </w:r>
      <w:r>
        <w:rPr>
          <w:rFonts w:asciiTheme="minorHAnsi" w:hAnsiTheme="minorHAnsi" w:cstheme="minorHAnsi"/>
        </w:rPr>
        <w:t>20</w:t>
      </w:r>
      <w:r w:rsidRPr="004F4E77">
        <w:rPr>
          <w:rFonts w:asciiTheme="minorHAnsi" w:hAnsiTheme="minorHAnsi" w:cstheme="minorHAnsi"/>
        </w:rPr>
        <w:t xml:space="preserve">), </w:t>
      </w:r>
      <w:r w:rsidRPr="004F4E77">
        <w:rPr>
          <w:rFonts w:asciiTheme="minorHAnsi" w:hAnsiTheme="minorHAnsi" w:cstheme="minorHAnsi"/>
          <w:i/>
        </w:rPr>
        <w:t>National Accounts</w:t>
      </w:r>
      <w:r w:rsidRPr="004F4E77">
        <w:rPr>
          <w:rFonts w:asciiTheme="minorHAnsi" w:hAnsiTheme="minorHAnsi" w:cstheme="minorHAnsi"/>
        </w:rPr>
        <w:t>, December quarter 201</w:t>
      </w:r>
      <w:r>
        <w:rPr>
          <w:rFonts w:asciiTheme="minorHAnsi" w:hAnsiTheme="minorHAnsi" w:cstheme="minorHAnsi"/>
        </w:rPr>
        <w:t>9</w:t>
      </w:r>
      <w:r w:rsidRPr="004F4E77">
        <w:rPr>
          <w:rFonts w:asciiTheme="minorHAnsi" w:hAnsiTheme="minorHAnsi" w:cstheme="minorHAnsi"/>
        </w:rPr>
        <w:t>.</w:t>
      </w:r>
    </w:p>
  </w:footnote>
  <w:footnote w:id="17">
    <w:p w:rsidR="005429C2" w:rsidRPr="004F4E77" w:rsidRDefault="005429C2" w:rsidP="00D56EE8">
      <w:pPr>
        <w:pStyle w:val="FootnoteText"/>
        <w:rPr>
          <w:rFonts w:asciiTheme="minorHAnsi" w:hAnsiTheme="minorHAnsi" w:cstheme="minorHAnsi"/>
        </w:rPr>
      </w:pPr>
      <w:r w:rsidRPr="004F4E77">
        <w:rPr>
          <w:rStyle w:val="FootnoteReference"/>
          <w:rFonts w:asciiTheme="minorHAnsi" w:hAnsiTheme="minorHAnsi" w:cstheme="minorHAnsi"/>
        </w:rPr>
        <w:footnoteRef/>
      </w:r>
      <w:r w:rsidRPr="004F4E77">
        <w:rPr>
          <w:rFonts w:asciiTheme="minorHAnsi" w:hAnsiTheme="minorHAnsi" w:cstheme="minorHAnsi"/>
        </w:rPr>
        <w:t xml:space="preserve"> Lowe P (2019), </w:t>
      </w:r>
      <w:r w:rsidRPr="004F4E77">
        <w:rPr>
          <w:rFonts w:asciiTheme="minorHAnsi" w:hAnsiTheme="minorHAnsi" w:cstheme="minorHAnsi"/>
          <w:i/>
        </w:rPr>
        <w:t>The Housing Market and the Economy</w:t>
      </w:r>
      <w:r w:rsidRPr="004F4E77">
        <w:rPr>
          <w:rFonts w:asciiTheme="minorHAnsi" w:hAnsiTheme="minorHAnsi" w:cstheme="minorHAnsi"/>
        </w:rPr>
        <w:t xml:space="preserve">, Address to the AFR Business Summit </w:t>
      </w:r>
    </w:p>
    <w:p w:rsidR="005429C2" w:rsidRPr="004F4E77" w:rsidRDefault="005429C2" w:rsidP="00D56EE8">
      <w:pPr>
        <w:pStyle w:val="FootnoteText"/>
        <w:rPr>
          <w:rFonts w:asciiTheme="minorHAnsi" w:hAnsiTheme="minorHAnsi" w:cstheme="minorHAnsi"/>
          <w:lang w:val="en-US"/>
        </w:rPr>
      </w:pPr>
      <w:r w:rsidRPr="004F4E77">
        <w:rPr>
          <w:rFonts w:asciiTheme="minorHAnsi" w:hAnsiTheme="minorHAnsi" w:cstheme="minorHAnsi"/>
        </w:rPr>
        <w:t>Sydney, 6 March 2019</w:t>
      </w:r>
    </w:p>
  </w:footnote>
  <w:footnote w:id="18">
    <w:p w:rsidR="005429C2" w:rsidRDefault="005429C2" w:rsidP="00D56EE8">
      <w:pPr>
        <w:pStyle w:val="FootnoteText"/>
      </w:pPr>
      <w:r w:rsidRPr="004F4E77">
        <w:rPr>
          <w:rStyle w:val="FootnoteReference"/>
          <w:rFonts w:asciiTheme="minorHAnsi" w:hAnsiTheme="minorHAnsi" w:cstheme="minorHAnsi"/>
        </w:rPr>
        <w:footnoteRef/>
      </w:r>
      <w:r w:rsidRPr="004F4E77">
        <w:rPr>
          <w:rFonts w:asciiTheme="minorHAnsi" w:hAnsiTheme="minorHAnsi" w:cstheme="minorHAnsi"/>
        </w:rPr>
        <w:t xml:space="preserve"> </w:t>
      </w:r>
      <w:r w:rsidRPr="004F4E77">
        <w:rPr>
          <w:rFonts w:asciiTheme="minorHAnsi" w:hAnsiTheme="minorHAnsi" w:cstheme="minorHAnsi"/>
          <w:szCs w:val="18"/>
        </w:rPr>
        <w:t xml:space="preserve">ABS, </w:t>
      </w:r>
      <w:r w:rsidRPr="004F4E77">
        <w:rPr>
          <w:rFonts w:asciiTheme="minorHAnsi" w:hAnsiTheme="minorHAnsi" w:cstheme="minorHAnsi"/>
          <w:i/>
          <w:iCs/>
          <w:szCs w:val="18"/>
        </w:rPr>
        <w:t xml:space="preserve">Wage Price Index, Australia, </w:t>
      </w:r>
      <w:r>
        <w:rPr>
          <w:rFonts w:asciiTheme="minorHAnsi" w:hAnsiTheme="minorHAnsi" w:cstheme="minorHAnsi"/>
          <w:i/>
          <w:iCs/>
          <w:szCs w:val="18"/>
        </w:rPr>
        <w:t>Dec</w:t>
      </w:r>
      <w:r w:rsidRPr="004F4E77">
        <w:rPr>
          <w:rFonts w:asciiTheme="minorHAnsi" w:hAnsiTheme="minorHAnsi" w:cstheme="minorHAnsi"/>
          <w:i/>
          <w:iCs/>
          <w:szCs w:val="18"/>
        </w:rPr>
        <w:t xml:space="preserve"> 201</w:t>
      </w:r>
      <w:r>
        <w:rPr>
          <w:rFonts w:asciiTheme="minorHAnsi" w:hAnsiTheme="minorHAnsi" w:cstheme="minorHAnsi"/>
          <w:i/>
          <w:iCs/>
          <w:szCs w:val="18"/>
        </w:rPr>
        <w:t>9</w:t>
      </w:r>
    </w:p>
  </w:footnote>
  <w:footnote w:id="19">
    <w:p w:rsidR="005429C2" w:rsidRPr="007620B2" w:rsidRDefault="005429C2" w:rsidP="00CF2F87">
      <w:pPr>
        <w:pStyle w:val="FootnoteText"/>
        <w:rPr>
          <w:rFonts w:asciiTheme="minorHAnsi" w:hAnsiTheme="minorHAnsi" w:cstheme="minorHAnsi"/>
        </w:rPr>
      </w:pPr>
      <w:r w:rsidRPr="007620B2">
        <w:rPr>
          <w:rStyle w:val="FootnoteReference"/>
          <w:rFonts w:asciiTheme="minorHAnsi" w:hAnsiTheme="minorHAnsi" w:cstheme="minorHAnsi"/>
        </w:rPr>
        <w:footnoteRef/>
      </w:r>
      <w:r w:rsidRPr="007620B2">
        <w:rPr>
          <w:rFonts w:asciiTheme="minorHAnsi" w:hAnsiTheme="minorHAnsi" w:cstheme="minorHAnsi"/>
        </w:rPr>
        <w:t xml:space="preserve"> RBA (2019), </w:t>
      </w:r>
      <w:r w:rsidRPr="007620B2">
        <w:rPr>
          <w:rFonts w:asciiTheme="minorHAnsi" w:hAnsiTheme="minorHAnsi" w:cstheme="minorHAnsi"/>
          <w:i/>
        </w:rPr>
        <w:t>Statistics - demand and income</w:t>
      </w:r>
      <w:r w:rsidRPr="007620B2">
        <w:rPr>
          <w:rFonts w:asciiTheme="minorHAnsi" w:hAnsiTheme="minorHAnsi" w:cstheme="minorHAnsi"/>
        </w:rPr>
        <w:t>.</w:t>
      </w:r>
    </w:p>
  </w:footnote>
  <w:footnote w:id="20">
    <w:p w:rsidR="005429C2" w:rsidRPr="000B3FCF" w:rsidRDefault="005429C2" w:rsidP="00D56EE8">
      <w:pPr>
        <w:pStyle w:val="FootnoteText"/>
        <w:rPr>
          <w:szCs w:val="18"/>
        </w:rPr>
      </w:pPr>
      <w:r w:rsidRPr="000B3FCF">
        <w:rPr>
          <w:rStyle w:val="FootnoteReference"/>
          <w:szCs w:val="18"/>
        </w:rPr>
        <w:footnoteRef/>
      </w:r>
      <w:r w:rsidRPr="000B3FCF">
        <w:rPr>
          <w:szCs w:val="18"/>
        </w:rPr>
        <w:t xml:space="preserve"> </w:t>
      </w:r>
      <w:r w:rsidR="00327C3C" w:rsidRPr="00B446CD">
        <w:rPr>
          <w:rFonts w:asciiTheme="minorHAnsi" w:hAnsiTheme="minorHAnsi" w:cstheme="minorHAnsi"/>
          <w:sz w:val="20"/>
        </w:rPr>
        <w:t>Fair Work Commission (2019),</w:t>
      </w:r>
      <w:r w:rsidR="00327C3C">
        <w:rPr>
          <w:rFonts w:asciiTheme="minorHAnsi" w:hAnsiTheme="minorHAnsi" w:cstheme="minorHAnsi"/>
          <w:sz w:val="20"/>
        </w:rPr>
        <w:t xml:space="preserve"> op cit.</w:t>
      </w:r>
    </w:p>
  </w:footnote>
  <w:footnote w:id="21">
    <w:p w:rsidR="00327C3C" w:rsidRPr="00327C3C" w:rsidRDefault="00327C3C">
      <w:pPr>
        <w:pStyle w:val="FootnoteText"/>
        <w:rPr>
          <w:rFonts w:asciiTheme="minorHAnsi" w:hAnsiTheme="minorHAnsi" w:cstheme="minorHAnsi"/>
          <w:sz w:val="20"/>
        </w:rPr>
      </w:pPr>
      <w:r>
        <w:rPr>
          <w:rStyle w:val="FootnoteReference"/>
        </w:rPr>
        <w:footnoteRef/>
      </w:r>
      <w:r>
        <w:t xml:space="preserve"> </w:t>
      </w:r>
      <w:r w:rsidRPr="00B446CD">
        <w:rPr>
          <w:rFonts w:asciiTheme="minorHAnsi" w:hAnsiTheme="minorHAnsi" w:cstheme="minorHAnsi"/>
          <w:sz w:val="20"/>
        </w:rPr>
        <w:t>Fair Work Commission (2019),</w:t>
      </w:r>
      <w:r>
        <w:rPr>
          <w:rFonts w:asciiTheme="minorHAnsi" w:hAnsiTheme="minorHAnsi" w:cstheme="minorHAnsi"/>
          <w:sz w:val="20"/>
        </w:rPr>
        <w:t xml:space="preserve"> op cit; </w:t>
      </w:r>
      <w:r w:rsidRPr="00327C3C">
        <w:rPr>
          <w:rFonts w:asciiTheme="minorHAnsi" w:hAnsiTheme="minorHAnsi" w:cstheme="minorHAnsi"/>
          <w:sz w:val="20"/>
        </w:rPr>
        <w:t>ABS, Employee Earnings and Hours, Australia, various, Catalogue No. 6306.0.</w:t>
      </w:r>
    </w:p>
  </w:footnote>
  <w:footnote w:id="22">
    <w:p w:rsidR="005429C2" w:rsidRPr="00327C3C" w:rsidRDefault="005429C2" w:rsidP="00D56EE8">
      <w:pPr>
        <w:pStyle w:val="FOOTNOTES"/>
        <w:rPr>
          <w:rFonts w:asciiTheme="minorHAnsi" w:hAnsiTheme="minorHAnsi"/>
        </w:rPr>
      </w:pPr>
      <w:r w:rsidRPr="00327C3C">
        <w:rPr>
          <w:rStyle w:val="FootnoteReference"/>
          <w:rFonts w:asciiTheme="minorHAnsi" w:hAnsiTheme="minorHAnsi"/>
        </w:rPr>
        <w:footnoteRef/>
      </w:r>
      <w:r w:rsidRPr="00327C3C">
        <w:rPr>
          <w:rFonts w:asciiTheme="minorHAnsi" w:hAnsiTheme="minorHAnsi"/>
        </w:rPr>
        <w:t xml:space="preserve"> Jiminez and Rozenbes (2017), </w:t>
      </w:r>
      <w:r w:rsidRPr="00327C3C">
        <w:rPr>
          <w:rFonts w:asciiTheme="minorHAnsi" w:hAnsiTheme="minorHAnsi"/>
          <w:i/>
        </w:rPr>
        <w:t xml:space="preserve">Award reliant workers in the household income distribution. </w:t>
      </w:r>
      <w:r w:rsidRPr="00327C3C">
        <w:rPr>
          <w:rFonts w:asciiTheme="minorHAnsi" w:hAnsiTheme="minorHAnsi"/>
        </w:rPr>
        <w:t>Fair Work Commission.</w:t>
      </w:r>
    </w:p>
  </w:footnote>
  <w:footnote w:id="23">
    <w:p w:rsidR="005429C2" w:rsidRPr="00327C3C" w:rsidRDefault="005429C2" w:rsidP="00D56EE8">
      <w:pPr>
        <w:pStyle w:val="FootnoteText"/>
        <w:rPr>
          <w:rFonts w:asciiTheme="minorHAnsi" w:hAnsiTheme="minorHAnsi"/>
          <w:sz w:val="20"/>
        </w:rPr>
      </w:pPr>
      <w:r w:rsidRPr="00327C3C">
        <w:rPr>
          <w:rStyle w:val="FootnoteReference"/>
          <w:rFonts w:asciiTheme="minorHAnsi" w:hAnsiTheme="minorHAnsi"/>
          <w:sz w:val="20"/>
        </w:rPr>
        <w:footnoteRef/>
      </w:r>
      <w:r w:rsidRPr="00327C3C">
        <w:rPr>
          <w:rFonts w:asciiTheme="minorHAnsi" w:hAnsiTheme="minorHAnsi"/>
          <w:sz w:val="20"/>
        </w:rPr>
        <w:t xml:space="preserve"> Yuen, et al (2018), </w:t>
      </w:r>
      <w:r w:rsidRPr="00327C3C">
        <w:rPr>
          <w:rFonts w:asciiTheme="minorHAnsi" w:hAnsiTheme="minorHAnsi"/>
          <w:i/>
          <w:sz w:val="20"/>
        </w:rPr>
        <w:t>ibid</w:t>
      </w:r>
      <w:r w:rsidRPr="00327C3C">
        <w:rPr>
          <w:rFonts w:asciiTheme="minorHAnsi" w:hAnsiTheme="minorHAnsi"/>
          <w:sz w:val="20"/>
        </w:rPr>
        <w:t>.</w:t>
      </w:r>
    </w:p>
  </w:footnote>
  <w:footnote w:id="24">
    <w:p w:rsidR="005429C2" w:rsidRPr="00327C3C" w:rsidRDefault="005429C2" w:rsidP="00CF2F87">
      <w:pPr>
        <w:pStyle w:val="FootnoteText"/>
        <w:rPr>
          <w:rFonts w:asciiTheme="minorHAnsi" w:hAnsiTheme="minorHAnsi" w:cstheme="minorHAnsi"/>
          <w:sz w:val="20"/>
          <w:lang w:val="en-US"/>
        </w:rPr>
      </w:pPr>
      <w:r w:rsidRPr="00327C3C">
        <w:rPr>
          <w:rStyle w:val="FootnoteReference"/>
          <w:rFonts w:asciiTheme="minorHAnsi" w:hAnsiTheme="minorHAnsi" w:cstheme="minorHAnsi"/>
          <w:sz w:val="20"/>
        </w:rPr>
        <w:footnoteRef/>
      </w:r>
      <w:r w:rsidRPr="00327C3C">
        <w:rPr>
          <w:rFonts w:asciiTheme="minorHAnsi" w:hAnsiTheme="minorHAnsi" w:cstheme="minorHAnsi"/>
          <w:sz w:val="20"/>
        </w:rPr>
        <w:t xml:space="preserve"> Davidson, P., Saunders, P., Bradbury, B. and Wong, M. (forthcoming)</w:t>
      </w:r>
      <w:r w:rsidRPr="00327C3C">
        <w:rPr>
          <w:rFonts w:asciiTheme="minorHAnsi" w:hAnsiTheme="minorHAnsi" w:cstheme="minorHAnsi"/>
          <w:i/>
          <w:sz w:val="20"/>
        </w:rPr>
        <w:t>, Poverty in Australia, 2020</w:t>
      </w:r>
      <w:r w:rsidRPr="00327C3C">
        <w:rPr>
          <w:rFonts w:asciiTheme="minorHAnsi" w:hAnsiTheme="minorHAnsi" w:cstheme="minorHAnsi"/>
          <w:sz w:val="20"/>
        </w:rPr>
        <w:t>. ACOSS/UNSW Poverty and Inequality Partnership Report No. 4, Sydney: ACOSS. The data source is the ABS Income and wealth survey (2017-18).</w:t>
      </w:r>
    </w:p>
  </w:footnote>
  <w:footnote w:id="25">
    <w:p w:rsidR="005429C2" w:rsidRPr="00327C3C" w:rsidRDefault="005429C2" w:rsidP="00D56EE8">
      <w:pPr>
        <w:pStyle w:val="FootnoteText"/>
        <w:rPr>
          <w:rFonts w:asciiTheme="minorHAnsi" w:hAnsiTheme="minorHAnsi"/>
          <w:sz w:val="20"/>
        </w:rPr>
      </w:pPr>
      <w:r w:rsidRPr="00327C3C">
        <w:rPr>
          <w:rStyle w:val="FootnoteReference"/>
          <w:rFonts w:asciiTheme="minorHAnsi" w:hAnsiTheme="minorHAnsi"/>
          <w:sz w:val="20"/>
        </w:rPr>
        <w:footnoteRef/>
      </w:r>
      <w:r w:rsidRPr="00327C3C">
        <w:rPr>
          <w:rFonts w:asciiTheme="minorHAnsi" w:hAnsiTheme="minorHAnsi"/>
          <w:sz w:val="20"/>
        </w:rPr>
        <w:t xml:space="preserve"> ACOSS &amp; UNSW (2016), </w:t>
      </w:r>
      <w:r w:rsidRPr="00327C3C">
        <w:rPr>
          <w:rFonts w:asciiTheme="minorHAnsi" w:hAnsiTheme="minorHAnsi"/>
          <w:i/>
          <w:sz w:val="20"/>
        </w:rPr>
        <w:t xml:space="preserve">Poverty in Australia, </w:t>
      </w:r>
      <w:r w:rsidRPr="00327C3C">
        <w:rPr>
          <w:rFonts w:asciiTheme="minorHAnsi" w:hAnsiTheme="minorHAnsi"/>
          <w:sz w:val="20"/>
        </w:rPr>
        <w:t>Sydney</w:t>
      </w:r>
      <w:r w:rsidRPr="00327C3C">
        <w:rPr>
          <w:rFonts w:asciiTheme="minorHAnsi" w:hAnsiTheme="minorHAnsi"/>
          <w:i/>
          <w:sz w:val="20"/>
        </w:rPr>
        <w:t>.</w:t>
      </w:r>
    </w:p>
  </w:footnote>
  <w:footnote w:id="26">
    <w:p w:rsidR="005429C2" w:rsidRPr="00327C3C" w:rsidRDefault="005429C2" w:rsidP="00D56EE8">
      <w:pPr>
        <w:pStyle w:val="FootnoteText"/>
        <w:rPr>
          <w:rFonts w:asciiTheme="minorHAnsi" w:hAnsiTheme="minorHAnsi" w:cstheme="minorHAnsi"/>
          <w:sz w:val="20"/>
        </w:rPr>
      </w:pPr>
      <w:r w:rsidRPr="00327C3C">
        <w:rPr>
          <w:rStyle w:val="FootnoteReference"/>
          <w:rFonts w:asciiTheme="minorHAnsi" w:hAnsiTheme="minorHAnsi" w:cstheme="minorHAnsi"/>
          <w:sz w:val="20"/>
        </w:rPr>
        <w:footnoteRef/>
      </w:r>
      <w:r w:rsidRPr="00327C3C">
        <w:rPr>
          <w:rFonts w:asciiTheme="minorHAnsi" w:hAnsiTheme="minorHAnsi" w:cstheme="minorHAnsi"/>
          <w:sz w:val="20"/>
        </w:rPr>
        <w:t xml:space="preserve"> Fair Work Commission (2020), </w:t>
      </w:r>
      <w:r w:rsidRPr="00327C3C">
        <w:rPr>
          <w:rFonts w:asciiTheme="minorHAnsi" w:hAnsiTheme="minorHAnsi" w:cstheme="minorHAnsi"/>
          <w:i/>
          <w:sz w:val="20"/>
        </w:rPr>
        <w:t>Statistical report – annual wage review.</w:t>
      </w:r>
    </w:p>
  </w:footnote>
  <w:footnote w:id="27">
    <w:p w:rsidR="005429C2" w:rsidRPr="00327C3C" w:rsidRDefault="005429C2" w:rsidP="00D56EE8">
      <w:pPr>
        <w:pStyle w:val="FootnoteText"/>
        <w:rPr>
          <w:rFonts w:asciiTheme="minorHAnsi" w:hAnsiTheme="minorHAnsi" w:cstheme="minorHAnsi"/>
          <w:sz w:val="20"/>
        </w:rPr>
      </w:pPr>
      <w:r w:rsidRPr="00327C3C">
        <w:rPr>
          <w:rStyle w:val="FootnoteReference"/>
          <w:rFonts w:asciiTheme="minorHAnsi" w:hAnsiTheme="minorHAnsi" w:cstheme="minorHAnsi"/>
          <w:sz w:val="20"/>
        </w:rPr>
        <w:footnoteRef/>
      </w:r>
      <w:r w:rsidRPr="00327C3C">
        <w:rPr>
          <w:rFonts w:asciiTheme="minorHAnsi" w:hAnsiTheme="minorHAnsi" w:cstheme="minorHAnsi"/>
          <w:sz w:val="20"/>
        </w:rPr>
        <w:t xml:space="preserve"> Fair Work Commission (2020), </w:t>
      </w:r>
      <w:r w:rsidRPr="00327C3C">
        <w:rPr>
          <w:rFonts w:asciiTheme="minorHAnsi" w:hAnsiTheme="minorHAnsi" w:cstheme="minorHAnsi"/>
          <w:i/>
          <w:sz w:val="20"/>
        </w:rPr>
        <w:t xml:space="preserve">ibid. ‘Low-paid’ </w:t>
      </w:r>
      <w:r w:rsidRPr="00327C3C">
        <w:rPr>
          <w:rFonts w:asciiTheme="minorHAnsi" w:hAnsiTheme="minorHAnsi" w:cstheme="minorHAnsi"/>
          <w:sz w:val="20"/>
        </w:rPr>
        <w:t>households refers to those in the bottom quintile of equivalised disposable household income for employee households.</w:t>
      </w:r>
    </w:p>
  </w:footnote>
  <w:footnote w:id="28">
    <w:p w:rsidR="005429C2" w:rsidRPr="00AC6411" w:rsidRDefault="005429C2" w:rsidP="00D56EE8">
      <w:pPr>
        <w:pStyle w:val="FootnoteText"/>
        <w:rPr>
          <w:rFonts w:asciiTheme="minorHAnsi" w:hAnsiTheme="minorHAnsi" w:cstheme="minorHAnsi"/>
          <w:sz w:val="20"/>
        </w:rPr>
      </w:pPr>
      <w:r w:rsidRPr="00AC6411">
        <w:rPr>
          <w:rStyle w:val="FootnoteReference"/>
          <w:rFonts w:asciiTheme="minorHAnsi" w:hAnsiTheme="minorHAnsi" w:cstheme="minorHAnsi"/>
          <w:sz w:val="20"/>
        </w:rPr>
        <w:footnoteRef/>
      </w:r>
      <w:r w:rsidRPr="00AC6411">
        <w:rPr>
          <w:rFonts w:asciiTheme="minorHAnsi" w:hAnsiTheme="minorHAnsi" w:cstheme="minorHAnsi"/>
          <w:sz w:val="20"/>
        </w:rPr>
        <w:t xml:space="preserve"> Yuen, et al (2017), op cit.</w:t>
      </w:r>
    </w:p>
  </w:footnote>
  <w:footnote w:id="29">
    <w:p w:rsidR="005429C2" w:rsidRPr="00AC6411" w:rsidRDefault="005429C2" w:rsidP="00D56EE8">
      <w:pPr>
        <w:rPr>
          <w:rFonts w:asciiTheme="minorHAnsi" w:hAnsiTheme="minorHAnsi" w:cstheme="minorHAnsi"/>
          <w:sz w:val="20"/>
          <w:szCs w:val="20"/>
        </w:rPr>
      </w:pPr>
      <w:r w:rsidRPr="00AC6411">
        <w:rPr>
          <w:rStyle w:val="FootnoteReference"/>
          <w:rFonts w:asciiTheme="minorHAnsi" w:hAnsiTheme="minorHAnsi" w:cstheme="minorHAnsi"/>
          <w:sz w:val="20"/>
          <w:szCs w:val="20"/>
        </w:rPr>
        <w:footnoteRef/>
      </w:r>
      <w:r w:rsidRPr="00AC6411">
        <w:rPr>
          <w:rFonts w:asciiTheme="minorHAnsi" w:hAnsiTheme="minorHAnsi" w:cstheme="minorHAnsi"/>
          <w:sz w:val="20"/>
          <w:szCs w:val="20"/>
        </w:rPr>
        <w:t xml:space="preserve"> Housing NSW (2019) </w:t>
      </w:r>
      <w:r w:rsidRPr="00AC6411">
        <w:rPr>
          <w:rFonts w:asciiTheme="minorHAnsi" w:hAnsiTheme="minorHAnsi" w:cstheme="minorHAnsi"/>
          <w:i/>
          <w:sz w:val="20"/>
          <w:szCs w:val="20"/>
        </w:rPr>
        <w:t>Rent and Sales Report, A</w:t>
      </w:r>
      <w:r w:rsidRPr="00AC6411">
        <w:rPr>
          <w:rFonts w:asciiTheme="minorHAnsi" w:hAnsiTheme="minorHAnsi" w:cstheme="minorHAnsi"/>
          <w:sz w:val="20"/>
          <w:szCs w:val="20"/>
        </w:rPr>
        <w:t xml:space="preserve">vailable: </w:t>
      </w:r>
      <w:r w:rsidRPr="00AC6411">
        <w:rPr>
          <w:rFonts w:asciiTheme="minorHAnsi" w:hAnsiTheme="minorHAnsi" w:cstheme="minorHAnsi"/>
          <w:sz w:val="20"/>
          <w:szCs w:val="20"/>
        </w:rPr>
        <w:br/>
      </w:r>
      <w:hyperlink r:id="rId3" w:history="1">
        <w:r w:rsidRPr="00AC6411">
          <w:rPr>
            <w:rStyle w:val="Hyperlink"/>
            <w:rFonts w:asciiTheme="minorHAnsi" w:hAnsiTheme="minorHAnsi"/>
            <w:sz w:val="20"/>
            <w:szCs w:val="20"/>
          </w:rPr>
          <w:t>https://www.facs.nsw.gov.au/download?file=770233</w:t>
        </w:r>
      </w:hyperlink>
      <w:r w:rsidRPr="00AC6411">
        <w:rPr>
          <w:rStyle w:val="Hyperlink"/>
          <w:rFonts w:asciiTheme="minorHAnsi" w:hAnsiTheme="minorHAnsi" w:cstheme="minorHAnsi"/>
          <w:sz w:val="20"/>
          <w:szCs w:val="20"/>
        </w:rPr>
        <w:t xml:space="preserve"> </w:t>
      </w:r>
      <w:r w:rsidRPr="00AC6411">
        <w:rPr>
          <w:rFonts w:asciiTheme="minorHAnsi" w:hAnsiTheme="minorHAnsi" w:cstheme="minorHAnsi"/>
          <w:sz w:val="20"/>
          <w:szCs w:val="20"/>
        </w:rPr>
        <w:t xml:space="preserve">; </w:t>
      </w:r>
      <w:r w:rsidRPr="00AC6411">
        <w:rPr>
          <w:rFonts w:asciiTheme="minorHAnsi" w:hAnsiTheme="minorHAnsi" w:cstheme="minorHAnsi"/>
          <w:sz w:val="20"/>
          <w:szCs w:val="20"/>
        </w:rPr>
        <w:br/>
        <w:t xml:space="preserve">Department of Human Services Victoria (2018) </w:t>
      </w:r>
      <w:r w:rsidRPr="00AC6411">
        <w:rPr>
          <w:rFonts w:asciiTheme="minorHAnsi" w:hAnsiTheme="minorHAnsi" w:cstheme="minorHAnsi"/>
          <w:i/>
          <w:sz w:val="20"/>
          <w:szCs w:val="20"/>
        </w:rPr>
        <w:t>Rental Report, September quarter 2018</w:t>
      </w:r>
      <w:r w:rsidRPr="00AC6411">
        <w:rPr>
          <w:rFonts w:asciiTheme="minorHAnsi" w:hAnsiTheme="minorHAnsi" w:cstheme="minorHAnsi"/>
          <w:sz w:val="20"/>
          <w:szCs w:val="20"/>
        </w:rPr>
        <w:t xml:space="preserve"> Available: </w:t>
      </w:r>
      <w:hyperlink r:id="rId4" w:history="1">
        <w:r w:rsidRPr="00AC6411">
          <w:rPr>
            <w:rStyle w:val="Hyperlink"/>
            <w:rFonts w:asciiTheme="minorHAnsi" w:hAnsiTheme="minorHAnsi" w:cstheme="minorHAnsi"/>
            <w:sz w:val="20"/>
            <w:szCs w:val="20"/>
          </w:rPr>
          <w:t>https://www.dhhs.vic.gov.au/sites/default/files/documents/201812/Rental%20Report%20September%202018.docx</w:t>
        </w:r>
      </w:hyperlink>
      <w:r w:rsidRPr="00AC6411">
        <w:rPr>
          <w:sz w:val="20"/>
          <w:szCs w:val="20"/>
        </w:rPr>
        <w:t xml:space="preserve"> </w:t>
      </w:r>
    </w:p>
  </w:footnote>
  <w:footnote w:id="30">
    <w:p w:rsidR="005429C2" w:rsidRPr="00AC6411" w:rsidRDefault="005429C2" w:rsidP="00D56EE8">
      <w:pPr>
        <w:pStyle w:val="Footnote1"/>
        <w:rPr>
          <w:rFonts w:asciiTheme="minorHAnsi" w:hAnsiTheme="minorHAnsi"/>
          <w:sz w:val="22"/>
          <w:szCs w:val="22"/>
        </w:rPr>
      </w:pPr>
      <w:r w:rsidRPr="00AC6411">
        <w:rPr>
          <w:rStyle w:val="FootnoteReference"/>
          <w:rFonts w:asciiTheme="minorHAnsi" w:hAnsiTheme="minorHAnsi"/>
          <w:sz w:val="22"/>
          <w:szCs w:val="22"/>
        </w:rPr>
        <w:footnoteRef/>
      </w:r>
      <w:r w:rsidRPr="00AC6411">
        <w:rPr>
          <w:rFonts w:asciiTheme="minorHAnsi" w:hAnsiTheme="minorHAnsi"/>
          <w:sz w:val="22"/>
          <w:szCs w:val="22"/>
        </w:rPr>
        <w:t xml:space="preserve"> Fair Work Commission (2019), </w:t>
      </w:r>
      <w:r w:rsidRPr="00AC6411">
        <w:rPr>
          <w:rFonts w:asciiTheme="minorHAnsi" w:hAnsiTheme="minorHAnsi"/>
          <w:i/>
          <w:sz w:val="22"/>
          <w:szCs w:val="22"/>
        </w:rPr>
        <w:t>Op.Cit; Table 8.4</w:t>
      </w:r>
      <w:r w:rsidRPr="00AC6411">
        <w:rPr>
          <w:rFonts w:asciiTheme="minorHAnsi" w:hAnsiTheme="minorHAnsi"/>
          <w:sz w:val="22"/>
          <w:szCs w:val="22"/>
        </w:rPr>
        <w:t>.</w:t>
      </w:r>
    </w:p>
  </w:footnote>
  <w:footnote w:id="31">
    <w:p w:rsidR="00AC6411" w:rsidRPr="00AC6411" w:rsidRDefault="00AC6411" w:rsidP="00AC6411">
      <w:pPr>
        <w:pStyle w:val="FootnoteText"/>
        <w:rPr>
          <w:rFonts w:asciiTheme="minorHAnsi" w:hAnsiTheme="minorHAnsi" w:cstheme="minorHAnsi"/>
          <w:sz w:val="20"/>
        </w:rPr>
      </w:pPr>
      <w:r w:rsidRPr="00AC6411">
        <w:rPr>
          <w:rStyle w:val="FootnoteReference"/>
          <w:rFonts w:asciiTheme="minorHAnsi" w:hAnsiTheme="minorHAnsi" w:cstheme="minorHAnsi"/>
          <w:sz w:val="20"/>
        </w:rPr>
        <w:footnoteRef/>
      </w:r>
      <w:r w:rsidRPr="00AC6411">
        <w:rPr>
          <w:rFonts w:asciiTheme="minorHAnsi" w:hAnsiTheme="minorHAnsi" w:cstheme="minorHAnsi"/>
          <w:sz w:val="20"/>
        </w:rPr>
        <w:t xml:space="preserve"> Whiteford, P et al (2019), </w:t>
      </w:r>
      <w:r w:rsidRPr="00AC6411">
        <w:rPr>
          <w:rFonts w:asciiTheme="minorHAnsi" w:hAnsiTheme="minorHAnsi" w:cstheme="minorHAnsi"/>
          <w:i/>
          <w:sz w:val="20"/>
        </w:rPr>
        <w:t>It’s not just Newstart: Single parents are $271 per fortnight worse o</w:t>
      </w:r>
      <w:r w:rsidRPr="00AC6411">
        <w:rPr>
          <w:rFonts w:asciiTheme="minorHAnsi" w:hAnsiTheme="minorHAnsi" w:cstheme="minorHAnsi"/>
          <w:sz w:val="20"/>
        </w:rPr>
        <w:t xml:space="preserve">ff, The Conversation, December 3, 2018. </w:t>
      </w:r>
    </w:p>
  </w:footnote>
  <w:footnote w:id="32">
    <w:p w:rsidR="005429C2" w:rsidRPr="00AC6411" w:rsidRDefault="005429C2" w:rsidP="00174041">
      <w:pPr>
        <w:pStyle w:val="FootnoteText"/>
        <w:rPr>
          <w:rFonts w:asciiTheme="minorHAnsi" w:hAnsiTheme="minorHAnsi" w:cstheme="minorHAnsi"/>
          <w:sz w:val="20"/>
        </w:rPr>
      </w:pPr>
      <w:r w:rsidRPr="00AC6411">
        <w:rPr>
          <w:rStyle w:val="FootnoteReference"/>
          <w:rFonts w:asciiTheme="minorHAnsi" w:hAnsiTheme="minorHAnsi" w:cstheme="minorHAnsi"/>
          <w:sz w:val="20"/>
        </w:rPr>
        <w:footnoteRef/>
      </w:r>
      <w:r w:rsidRPr="00AC6411">
        <w:rPr>
          <w:rFonts w:asciiTheme="minorHAnsi" w:hAnsiTheme="minorHAnsi" w:cstheme="minorHAnsi"/>
          <w:sz w:val="20"/>
        </w:rPr>
        <w:t xml:space="preserve"> Whiteford, P et al (2019), </w:t>
      </w:r>
      <w:r w:rsidRPr="00AC6411">
        <w:rPr>
          <w:rFonts w:asciiTheme="minorHAnsi" w:hAnsiTheme="minorHAnsi" w:cstheme="minorHAnsi"/>
          <w:i/>
          <w:sz w:val="20"/>
        </w:rPr>
        <w:t>It’s not just Newstart: Single parents are $271 per fortnight worse o</w:t>
      </w:r>
      <w:r w:rsidRPr="00AC6411">
        <w:rPr>
          <w:rFonts w:asciiTheme="minorHAnsi" w:hAnsiTheme="minorHAnsi" w:cstheme="minorHAnsi"/>
          <w:sz w:val="20"/>
        </w:rPr>
        <w:t xml:space="preserve">ff, The Conversation, December 3, 2018. </w:t>
      </w:r>
    </w:p>
  </w:footnote>
  <w:footnote w:id="33">
    <w:p w:rsidR="005429C2" w:rsidRPr="00AC6411" w:rsidRDefault="005429C2" w:rsidP="00D56EE8">
      <w:pPr>
        <w:pStyle w:val="Footnote1"/>
        <w:rPr>
          <w:rFonts w:asciiTheme="minorHAnsi" w:hAnsiTheme="minorHAnsi"/>
          <w:i/>
          <w:sz w:val="20"/>
          <w:szCs w:val="20"/>
        </w:rPr>
      </w:pPr>
      <w:r w:rsidRPr="00AC6411">
        <w:rPr>
          <w:rStyle w:val="FootnoteReference"/>
          <w:rFonts w:asciiTheme="minorHAnsi" w:hAnsiTheme="minorHAnsi"/>
          <w:sz w:val="20"/>
          <w:szCs w:val="20"/>
        </w:rPr>
        <w:footnoteRef/>
      </w:r>
      <w:r w:rsidRPr="00AC6411">
        <w:rPr>
          <w:rFonts w:asciiTheme="minorHAnsi" w:hAnsiTheme="minorHAnsi"/>
          <w:sz w:val="20"/>
          <w:szCs w:val="20"/>
        </w:rPr>
        <w:t xml:space="preserve"> Department of Human Services (2019) </w:t>
      </w:r>
      <w:hyperlink r:id="rId5" w:history="1">
        <w:r w:rsidRPr="00AC6411">
          <w:rPr>
            <w:rStyle w:val="Hyperlink"/>
            <w:rFonts w:asciiTheme="minorHAnsi" w:hAnsiTheme="minorHAnsi"/>
            <w:i/>
            <w:sz w:val="20"/>
            <w:szCs w:val="20"/>
          </w:rPr>
          <w:t>A Guide to Australian Government Payments</w:t>
        </w:r>
        <w:r w:rsidRPr="00AC6411">
          <w:rPr>
            <w:rStyle w:val="Hyperlink"/>
            <w:rFonts w:asciiTheme="minorHAnsi" w:hAnsiTheme="minorHAnsi"/>
            <w:sz w:val="20"/>
            <w:szCs w:val="20"/>
          </w:rPr>
          <w:t xml:space="preserve"> </w:t>
        </w:r>
      </w:hyperlink>
      <w:r w:rsidRPr="00AC6411">
        <w:rPr>
          <w:rFonts w:asciiTheme="minorHAnsi" w:hAnsiTheme="minorHAnsi"/>
          <w:sz w:val="20"/>
          <w:szCs w:val="20"/>
        </w:rPr>
        <w:t xml:space="preserve"> and </w:t>
      </w:r>
      <w:hyperlink r:id="rId6" w:history="1">
        <w:r w:rsidRPr="00AC6411">
          <w:rPr>
            <w:rStyle w:val="Hyperlink"/>
            <w:rFonts w:asciiTheme="minorHAnsi" w:hAnsiTheme="minorHAnsi"/>
            <w:i/>
            <w:sz w:val="20"/>
            <w:szCs w:val="20"/>
          </w:rPr>
          <w:t>History of National Increases</w:t>
        </w:r>
      </w:hyperlink>
      <w:r w:rsidRPr="00AC6411">
        <w:rPr>
          <w:rFonts w:asciiTheme="minorHAnsi" w:hAnsiTheme="minorHAnsi"/>
          <w:sz w:val="20"/>
          <w:szCs w:val="20"/>
        </w:rPr>
        <w:t xml:space="preserve"> </w:t>
      </w:r>
    </w:p>
  </w:footnote>
  <w:footnote w:id="34">
    <w:p w:rsidR="00AC6411" w:rsidRPr="00AC6411" w:rsidRDefault="00AC6411">
      <w:pPr>
        <w:pStyle w:val="FootnoteText"/>
        <w:rPr>
          <w:rFonts w:asciiTheme="minorHAnsi" w:hAnsiTheme="minorHAnsi"/>
          <w:sz w:val="20"/>
        </w:rPr>
      </w:pPr>
      <w:r w:rsidRPr="00AC6411">
        <w:rPr>
          <w:rStyle w:val="FootnoteReference"/>
          <w:rFonts w:asciiTheme="minorHAnsi" w:hAnsiTheme="minorHAnsi"/>
          <w:sz w:val="20"/>
        </w:rPr>
        <w:footnoteRef/>
      </w:r>
      <w:r w:rsidRPr="00AC6411">
        <w:rPr>
          <w:rFonts w:asciiTheme="minorHAnsi" w:hAnsiTheme="minorHAnsi"/>
          <w:sz w:val="20"/>
        </w:rPr>
        <w:t xml:space="preserve"> OECD 2017, </w:t>
      </w:r>
      <w:hyperlink r:id="rId7" w:history="1">
        <w:r w:rsidRPr="00AC6411">
          <w:rPr>
            <w:rStyle w:val="Hyperlink"/>
            <w:rFonts w:asciiTheme="minorHAnsi" w:hAnsiTheme="minorHAnsi"/>
            <w:sz w:val="20"/>
          </w:rPr>
          <w:t>http://data.oecd.org/inequality/poverty-rate.htm</w:t>
        </w:r>
      </w:hyperlink>
      <w:r w:rsidRPr="00AC6411">
        <w:rPr>
          <w:rFonts w:asciiTheme="minorHAnsi" w:hAnsiTheme="minorHAnsi"/>
          <w:sz w:val="20"/>
        </w:rPr>
        <w:t xml:space="preserve"> and </w:t>
      </w:r>
      <w:hyperlink r:id="rId8" w:history="1">
        <w:r w:rsidRPr="00AC6411">
          <w:rPr>
            <w:rStyle w:val="Hyperlink"/>
            <w:rFonts w:asciiTheme="minorHAnsi" w:hAnsiTheme="minorHAnsi"/>
            <w:sz w:val="20"/>
          </w:rPr>
          <w:t>https://data.oecd.org/earnwage/wage-levels.htm</w:t>
        </w:r>
      </w:hyperlink>
    </w:p>
  </w:footnote>
  <w:footnote w:id="35">
    <w:p w:rsidR="005429C2" w:rsidRPr="00307163" w:rsidRDefault="005429C2" w:rsidP="00D56EE8">
      <w:pPr>
        <w:pStyle w:val="Footnote1"/>
        <w:rPr>
          <w:sz w:val="18"/>
          <w:szCs w:val="18"/>
          <w:lang w:val="en-US"/>
        </w:rPr>
      </w:pPr>
      <w:r w:rsidRPr="00307163">
        <w:rPr>
          <w:rStyle w:val="FootnoteReference"/>
          <w:sz w:val="18"/>
          <w:szCs w:val="18"/>
        </w:rPr>
        <w:footnoteRef/>
      </w:r>
      <w:r w:rsidRPr="00307163">
        <w:rPr>
          <w:sz w:val="18"/>
          <w:szCs w:val="18"/>
        </w:rPr>
        <w:t xml:space="preserve"> Fair Work Commission (201</w:t>
      </w:r>
      <w:r>
        <w:rPr>
          <w:sz w:val="18"/>
          <w:szCs w:val="18"/>
        </w:rPr>
        <w:t>9</w:t>
      </w:r>
      <w:r w:rsidRPr="00307163">
        <w:rPr>
          <w:sz w:val="18"/>
          <w:szCs w:val="18"/>
        </w:rPr>
        <w:t xml:space="preserve">), </w:t>
      </w:r>
      <w:r>
        <w:rPr>
          <w:i/>
          <w:sz w:val="18"/>
          <w:szCs w:val="18"/>
        </w:rPr>
        <w:t>op cit</w:t>
      </w:r>
      <w:r>
        <w:rPr>
          <w:sz w:val="18"/>
          <w:szCs w:val="18"/>
        </w:rPr>
        <w:t xml:space="preserve">; </w:t>
      </w:r>
      <w:r w:rsidRPr="00307163">
        <w:rPr>
          <w:sz w:val="18"/>
          <w:szCs w:val="18"/>
          <w:lang w:val="en-US"/>
        </w:rPr>
        <w:t xml:space="preserve">Austen et al (2008), </w:t>
      </w:r>
      <w:r w:rsidRPr="00307163">
        <w:rPr>
          <w:i/>
          <w:sz w:val="18"/>
          <w:szCs w:val="18"/>
          <w:lang w:val="en-US"/>
        </w:rPr>
        <w:t>Gender pay differentials in low paid employment,</w:t>
      </w:r>
      <w:r w:rsidRPr="00307163">
        <w:rPr>
          <w:sz w:val="18"/>
          <w:szCs w:val="18"/>
          <w:lang w:val="en-US"/>
        </w:rPr>
        <w:t xml:space="preserve"> </w:t>
      </w:r>
      <w:r w:rsidRPr="00307163">
        <w:rPr>
          <w:i/>
          <w:sz w:val="18"/>
          <w:szCs w:val="18"/>
          <w:lang w:val="en-US"/>
        </w:rPr>
        <w:t>Women in social and economic research</w:t>
      </w:r>
      <w:r w:rsidRPr="00307163">
        <w:rPr>
          <w:sz w:val="18"/>
          <w:szCs w:val="18"/>
          <w:lang w:val="en-US"/>
        </w:rPr>
        <w:t>, commissioned by the Australian Fair Pay Commission.</w:t>
      </w:r>
    </w:p>
  </w:footnote>
  <w:footnote w:id="36">
    <w:p w:rsidR="005429C2" w:rsidRPr="00307163" w:rsidRDefault="005429C2" w:rsidP="00D56EE8">
      <w:pPr>
        <w:pStyle w:val="Footnote1"/>
        <w:rPr>
          <w:i/>
          <w:sz w:val="18"/>
          <w:szCs w:val="18"/>
        </w:rPr>
      </w:pPr>
      <w:r w:rsidRPr="00307163">
        <w:rPr>
          <w:rStyle w:val="FootnoteReference"/>
          <w:sz w:val="18"/>
          <w:szCs w:val="18"/>
        </w:rPr>
        <w:footnoteRef/>
      </w:r>
      <w:r w:rsidRPr="00307163">
        <w:rPr>
          <w:sz w:val="18"/>
          <w:szCs w:val="18"/>
        </w:rPr>
        <w:t xml:space="preserve"> Fair Work Commission (20</w:t>
      </w:r>
      <w:r>
        <w:rPr>
          <w:sz w:val="18"/>
          <w:szCs w:val="18"/>
        </w:rPr>
        <w:t>20</w:t>
      </w:r>
      <w:r w:rsidRPr="00307163">
        <w:rPr>
          <w:sz w:val="18"/>
          <w:szCs w:val="18"/>
        </w:rPr>
        <w:t xml:space="preserve">) </w:t>
      </w:r>
      <w:r w:rsidRPr="00307163">
        <w:rPr>
          <w:i/>
          <w:sz w:val="18"/>
          <w:szCs w:val="18"/>
        </w:rPr>
        <w:t xml:space="preserve">Op. Cit. </w:t>
      </w:r>
    </w:p>
  </w:footnote>
  <w:footnote w:id="37">
    <w:p w:rsidR="005429C2" w:rsidRPr="004368FC" w:rsidRDefault="005429C2" w:rsidP="00D56EE8">
      <w:pPr>
        <w:pStyle w:val="NormalWeb"/>
        <w:rPr>
          <w:rFonts w:cstheme="minorHAnsi"/>
          <w:sz w:val="18"/>
          <w:szCs w:val="18"/>
        </w:rPr>
      </w:pPr>
      <w:r>
        <w:rPr>
          <w:rStyle w:val="FootnoteReference"/>
        </w:rPr>
        <w:footnoteRef/>
      </w:r>
      <w:r>
        <w:t xml:space="preserve"> </w:t>
      </w:r>
      <w:r w:rsidRPr="00E842B1">
        <w:rPr>
          <w:rFonts w:cstheme="minorHAnsi"/>
          <w:sz w:val="18"/>
          <w:szCs w:val="18"/>
        </w:rPr>
        <w:t>Fair Work Australia</w:t>
      </w:r>
      <w:r>
        <w:t xml:space="preserve">, </w:t>
      </w:r>
      <w:r w:rsidRPr="00E842B1">
        <w:rPr>
          <w:rFonts w:cstheme="minorHAnsi"/>
          <w:sz w:val="18"/>
          <w:szCs w:val="18"/>
        </w:rPr>
        <w:t>Equal Remuneration Case</w:t>
      </w:r>
      <w:r>
        <w:rPr>
          <w:rFonts w:cstheme="minorHAnsi"/>
          <w:sz w:val="18"/>
          <w:szCs w:val="18"/>
        </w:rPr>
        <w:t xml:space="preserve">, </w:t>
      </w:r>
      <w:r w:rsidRPr="00E842B1">
        <w:rPr>
          <w:rFonts w:cstheme="minorHAnsi"/>
          <w:sz w:val="18"/>
          <w:szCs w:val="18"/>
        </w:rPr>
        <w:t>Australian Municipal, Administrative, Clerical and Services Union and others</w:t>
      </w:r>
      <w:r>
        <w:rPr>
          <w:rFonts w:cstheme="minorHAnsi"/>
          <w:sz w:val="18"/>
          <w:szCs w:val="18"/>
        </w:rPr>
        <w:t xml:space="preserve">, </w:t>
      </w:r>
      <w:r w:rsidRPr="00E842B1">
        <w:rPr>
          <w:rFonts w:cstheme="minorHAnsi"/>
          <w:sz w:val="18"/>
          <w:szCs w:val="18"/>
        </w:rPr>
        <w:t>SOCIAL, COMMUNITY, HOME CARE AND DISABILITY SERVICES INDUSTRY AWARD 2010</w:t>
      </w:r>
      <w:r>
        <w:rPr>
          <w:rFonts w:cstheme="minorHAnsi"/>
          <w:sz w:val="18"/>
          <w:szCs w:val="18"/>
        </w:rPr>
        <w:t xml:space="preserve"> </w:t>
      </w:r>
      <w:r w:rsidRPr="00E842B1">
        <w:rPr>
          <w:rFonts w:cstheme="minorHAnsi"/>
          <w:sz w:val="18"/>
          <w:szCs w:val="18"/>
        </w:rPr>
        <w:t>[</w:t>
      </w:r>
      <w:hyperlink r:id="rId9" w:tgtFrame="_top" w:history="1">
        <w:r w:rsidRPr="00E842B1">
          <w:rPr>
            <w:rFonts w:cstheme="minorHAnsi"/>
            <w:sz w:val="18"/>
            <w:szCs w:val="18"/>
          </w:rPr>
          <w:t>MA000100</w:t>
        </w:r>
      </w:hyperlink>
      <w:r w:rsidRPr="00E842B1">
        <w:rPr>
          <w:rFonts w:cstheme="minorHAnsi"/>
          <w:sz w:val="18"/>
          <w:szCs w:val="18"/>
        </w:rPr>
        <w:t>]</w:t>
      </w:r>
      <w:r>
        <w:rPr>
          <w:rFonts w:cstheme="minorHAnsi"/>
          <w:sz w:val="18"/>
          <w:szCs w:val="18"/>
        </w:rPr>
        <w:t>.</w:t>
      </w:r>
    </w:p>
  </w:footnote>
  <w:footnote w:id="38">
    <w:p w:rsidR="005429C2" w:rsidRPr="003E3D6F" w:rsidRDefault="005429C2">
      <w:pPr>
        <w:pStyle w:val="FootnoteText"/>
        <w:rPr>
          <w:szCs w:val="18"/>
        </w:rPr>
      </w:pPr>
      <w:r>
        <w:rPr>
          <w:rStyle w:val="FootnoteReference"/>
        </w:rPr>
        <w:footnoteRef/>
      </w:r>
      <w:r>
        <w:t xml:space="preserve"> </w:t>
      </w:r>
      <w:hyperlink r:id="rId10" w:history="1">
        <w:r w:rsidRPr="003E3D6F">
          <w:rPr>
            <w:rFonts w:ascii="Verdana" w:eastAsiaTheme="minorHAnsi" w:hAnsi="Verdana" w:cstheme="minorBidi"/>
            <w:bCs w:val="0"/>
            <w:color w:val="0000FF"/>
            <w:szCs w:val="18"/>
            <w:u w:val="single"/>
            <w:lang w:val="en-US"/>
          </w:rPr>
          <w:t>https://www.acoss.org.au/wp-content/uploads/2019/04/ERO-payments-updated-July-2019.pdf</w:t>
        </w:r>
      </w:hyperlink>
    </w:p>
  </w:footnote>
  <w:footnote w:id="39">
    <w:p w:rsidR="005429C2" w:rsidRDefault="005429C2" w:rsidP="00D56EE8">
      <w:pPr>
        <w:pStyle w:val="FootnoteText"/>
      </w:pPr>
      <w:r>
        <w:rPr>
          <w:rStyle w:val="FootnoteReference"/>
        </w:rPr>
        <w:footnoteRef/>
      </w:r>
      <w:r>
        <w:t xml:space="preserve"> ABS </w:t>
      </w:r>
      <w:r w:rsidRPr="00842669">
        <w:rPr>
          <w:i/>
        </w:rPr>
        <w:t>Labour Force, Australia</w:t>
      </w:r>
      <w:r>
        <w:t>.</w:t>
      </w:r>
    </w:p>
  </w:footnote>
  <w:footnote w:id="40">
    <w:p w:rsidR="005429C2" w:rsidRDefault="005429C2">
      <w:pPr>
        <w:pStyle w:val="FootnoteText"/>
      </w:pPr>
      <w:r>
        <w:rPr>
          <w:rStyle w:val="FootnoteReference"/>
        </w:rPr>
        <w:footnoteRef/>
      </w:r>
      <w:r>
        <w:t xml:space="preserve"> </w:t>
      </w:r>
      <w:r w:rsidRPr="00307163">
        <w:rPr>
          <w:szCs w:val="18"/>
        </w:rPr>
        <w:t>Fair Work Commission (20</w:t>
      </w:r>
      <w:r>
        <w:rPr>
          <w:szCs w:val="18"/>
        </w:rPr>
        <w:t>20</w:t>
      </w:r>
      <w:r w:rsidRPr="00307163">
        <w:rPr>
          <w:szCs w:val="18"/>
        </w:rPr>
        <w:t xml:space="preserve">) </w:t>
      </w:r>
      <w:r w:rsidRPr="00307163">
        <w:rPr>
          <w:i/>
          <w:szCs w:val="18"/>
        </w:rPr>
        <w:t>Op. Cit.</w:t>
      </w:r>
    </w:p>
  </w:footnote>
  <w:footnote w:id="41">
    <w:p w:rsidR="005429C2" w:rsidRPr="00091714" w:rsidRDefault="005429C2" w:rsidP="00D56EE8">
      <w:pPr>
        <w:pStyle w:val="Footnote1"/>
        <w:rPr>
          <w:sz w:val="18"/>
          <w:szCs w:val="18"/>
        </w:rPr>
      </w:pPr>
      <w:r w:rsidRPr="00091714">
        <w:rPr>
          <w:rStyle w:val="FootnoteReference"/>
          <w:sz w:val="18"/>
          <w:szCs w:val="18"/>
        </w:rPr>
        <w:footnoteRef/>
      </w:r>
      <w:r w:rsidRPr="00091714">
        <w:rPr>
          <w:sz w:val="18"/>
          <w:szCs w:val="18"/>
        </w:rPr>
        <w:t xml:space="preserve"> Bishop &amp; Cassidy (2017) </w:t>
      </w:r>
      <w:r w:rsidRPr="003E6E6C">
        <w:rPr>
          <w:i/>
          <w:sz w:val="18"/>
          <w:szCs w:val="18"/>
        </w:rPr>
        <w:t>Insights into Low Wage Growth in Australia</w:t>
      </w:r>
      <w:r w:rsidRPr="00091714">
        <w:rPr>
          <w:sz w:val="18"/>
          <w:szCs w:val="18"/>
        </w:rPr>
        <w:t xml:space="preserve"> RBA Bulletin March 2017;</w:t>
      </w:r>
      <w:r w:rsidRPr="00091714">
        <w:rPr>
          <w:sz w:val="18"/>
          <w:szCs w:val="18"/>
        </w:rPr>
        <w:br/>
        <w:t xml:space="preserve">Treasury </w:t>
      </w:r>
      <w:r>
        <w:rPr>
          <w:sz w:val="18"/>
          <w:szCs w:val="18"/>
        </w:rPr>
        <w:t xml:space="preserve">(2017) </w:t>
      </w:r>
      <w:hyperlink r:id="rId11" w:history="1">
        <w:r w:rsidRPr="003E6E6C">
          <w:rPr>
            <w:rStyle w:val="Hyperlink"/>
            <w:i/>
            <w:sz w:val="18"/>
            <w:szCs w:val="18"/>
          </w:rPr>
          <w:t>Analysis of wage growth</w:t>
        </w:r>
      </w:hyperlink>
    </w:p>
  </w:footnote>
  <w:footnote w:id="42">
    <w:p w:rsidR="005429C2" w:rsidRPr="00091714" w:rsidRDefault="005429C2" w:rsidP="00D56EE8">
      <w:pPr>
        <w:pStyle w:val="Footnote1"/>
        <w:rPr>
          <w:noProof/>
          <w:sz w:val="18"/>
          <w:szCs w:val="18"/>
        </w:rPr>
      </w:pPr>
      <w:r w:rsidRPr="00091714">
        <w:rPr>
          <w:rStyle w:val="FootnoteReference"/>
          <w:sz w:val="18"/>
          <w:szCs w:val="18"/>
        </w:rPr>
        <w:footnoteRef/>
      </w:r>
      <w:r w:rsidRPr="00091714">
        <w:rPr>
          <w:sz w:val="18"/>
          <w:szCs w:val="18"/>
        </w:rPr>
        <w:t xml:space="preserve"> </w:t>
      </w:r>
      <w:r w:rsidRPr="00091714">
        <w:rPr>
          <w:noProof/>
          <w:sz w:val="18"/>
          <w:szCs w:val="18"/>
        </w:rPr>
        <w:t>Blanchard (2017), Should We Reject the Natural Rate Hypothesis?, Peterson Institute for International Economics Working Paper 17:14</w:t>
      </w:r>
    </w:p>
  </w:footnote>
  <w:footnote w:id="43">
    <w:p w:rsidR="005429C2" w:rsidRPr="00CE3AF7" w:rsidRDefault="005429C2" w:rsidP="00D56EE8">
      <w:pPr>
        <w:pStyle w:val="Footnote1"/>
        <w:rPr>
          <w:noProof/>
          <w:sz w:val="18"/>
          <w:szCs w:val="18"/>
        </w:rPr>
      </w:pPr>
      <w:r w:rsidRPr="00091714">
        <w:rPr>
          <w:rStyle w:val="FootnoteReference"/>
          <w:sz w:val="18"/>
          <w:szCs w:val="18"/>
        </w:rPr>
        <w:footnoteRef/>
      </w:r>
      <w:r w:rsidRPr="00091714">
        <w:rPr>
          <w:sz w:val="18"/>
          <w:szCs w:val="18"/>
        </w:rPr>
        <w:t xml:space="preserve"> Cusbert</w:t>
      </w:r>
      <w:r w:rsidRPr="00091714">
        <w:rPr>
          <w:noProof/>
          <w:sz w:val="18"/>
          <w:szCs w:val="18"/>
        </w:rPr>
        <w:t xml:space="preserve"> (2017), Estimating the NAIRU and the Unemployme</w:t>
      </w:r>
      <w:r>
        <w:rPr>
          <w:noProof/>
          <w:sz w:val="18"/>
          <w:szCs w:val="18"/>
        </w:rPr>
        <w:t>nt Gap, RBA Bulletin, June 2017;</w:t>
      </w:r>
      <w:r>
        <w:rPr>
          <w:noProof/>
          <w:sz w:val="18"/>
          <w:szCs w:val="18"/>
        </w:rPr>
        <w:br/>
      </w:r>
      <w:r w:rsidRPr="00CE3AF7">
        <w:rPr>
          <w:sz w:val="18"/>
          <w:szCs w:val="18"/>
        </w:rPr>
        <w:t>Lowe P (2019), Testimony before the House of Representatives Standing Committee on Economics, Sydney, 22 February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C2" w:rsidRDefault="005429C2">
    <w:pPr>
      <w:pStyle w:val="Header"/>
    </w:pPr>
    <w:r>
      <w:rPr>
        <w:noProof/>
      </w:rPr>
      <w:drawing>
        <wp:anchor distT="0" distB="0" distL="114300" distR="114300" simplePos="0" relativeHeight="251659264" behindDoc="1" locked="1" layoutInCell="1" allowOverlap="1">
          <wp:simplePos x="0" y="0"/>
          <wp:positionH relativeFrom="column">
            <wp:posOffset>5972175</wp:posOffset>
          </wp:positionH>
          <wp:positionV relativeFrom="page">
            <wp:posOffset>46990</wp:posOffset>
          </wp:positionV>
          <wp:extent cx="820800" cy="820800"/>
          <wp:effectExtent l="0" t="0" r="0" b="0"/>
          <wp:wrapNone/>
          <wp:docPr id="84" name="Picture 8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simplePos x="0" y="0"/>
          <wp:positionH relativeFrom="page">
            <wp:posOffset>9525</wp:posOffset>
          </wp:positionH>
          <wp:positionV relativeFrom="page">
            <wp:posOffset>0</wp:posOffset>
          </wp:positionV>
          <wp:extent cx="7783195" cy="10072370"/>
          <wp:effectExtent l="0" t="0" r="8255" b="508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Background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3195" cy="10072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D0BC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36AF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3E0B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8E44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1A4E4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AA0D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44AF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1C14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24D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9825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90AF1"/>
    <w:multiLevelType w:val="hybridMultilevel"/>
    <w:tmpl w:val="05529E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312EF2"/>
    <w:multiLevelType w:val="hybridMultilevel"/>
    <w:tmpl w:val="4F98D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2B2787"/>
    <w:multiLevelType w:val="hybridMultilevel"/>
    <w:tmpl w:val="446A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6C1259"/>
    <w:multiLevelType w:val="hybridMultilevel"/>
    <w:tmpl w:val="261C6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63A87"/>
    <w:multiLevelType w:val="hybridMultilevel"/>
    <w:tmpl w:val="18141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471901"/>
    <w:multiLevelType w:val="hybridMultilevel"/>
    <w:tmpl w:val="D80A9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E3F7C"/>
    <w:multiLevelType w:val="hybridMultilevel"/>
    <w:tmpl w:val="5F42E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D7008"/>
    <w:multiLevelType w:val="hybridMultilevel"/>
    <w:tmpl w:val="AD4C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A7A58"/>
    <w:multiLevelType w:val="hybridMultilevel"/>
    <w:tmpl w:val="C752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28314F"/>
    <w:multiLevelType w:val="hybridMultilevel"/>
    <w:tmpl w:val="A9F2186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2064F"/>
    <w:multiLevelType w:val="hybridMultilevel"/>
    <w:tmpl w:val="2E20C688"/>
    <w:lvl w:ilvl="0" w:tplc="629ED2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F6400"/>
    <w:multiLevelType w:val="hybridMultilevel"/>
    <w:tmpl w:val="5D281B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B4B0C"/>
    <w:multiLevelType w:val="hybridMultilevel"/>
    <w:tmpl w:val="30D60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32181A"/>
    <w:multiLevelType w:val="multilevel"/>
    <w:tmpl w:val="FEBE557C"/>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color w:val="C0000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15069EE"/>
    <w:multiLevelType w:val="hybridMultilevel"/>
    <w:tmpl w:val="A86A9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83ABF"/>
    <w:multiLevelType w:val="hybridMultilevel"/>
    <w:tmpl w:val="BEFEA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84DA1"/>
    <w:multiLevelType w:val="hybridMultilevel"/>
    <w:tmpl w:val="A9349A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3ED6B15"/>
    <w:multiLevelType w:val="hybridMultilevel"/>
    <w:tmpl w:val="7F96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FA4274"/>
    <w:multiLevelType w:val="hybridMultilevel"/>
    <w:tmpl w:val="C4E665D4"/>
    <w:lvl w:ilvl="0" w:tplc="DC6A524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9B0C11"/>
    <w:multiLevelType w:val="hybridMultilevel"/>
    <w:tmpl w:val="1A940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114452"/>
    <w:multiLevelType w:val="hybridMultilevel"/>
    <w:tmpl w:val="9594CCE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E6CFD"/>
    <w:multiLevelType w:val="hybridMultilevel"/>
    <w:tmpl w:val="03B22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AC5C83"/>
    <w:multiLevelType w:val="hybridMultilevel"/>
    <w:tmpl w:val="26EEE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51708"/>
    <w:multiLevelType w:val="hybridMultilevel"/>
    <w:tmpl w:val="91FC14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1E4434F"/>
    <w:multiLevelType w:val="hybridMultilevel"/>
    <w:tmpl w:val="C756C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8A16CB"/>
    <w:multiLevelType w:val="hybridMultilevel"/>
    <w:tmpl w:val="56F219A6"/>
    <w:lvl w:ilvl="0" w:tplc="3BAA43F6">
      <w:start w:val="1"/>
      <w:numFmt w:val="bullet"/>
      <w:lvlText w:val="•"/>
      <w:lvlJc w:val="left"/>
      <w:pPr>
        <w:tabs>
          <w:tab w:val="num" w:pos="720"/>
        </w:tabs>
        <w:ind w:left="720" w:hanging="360"/>
      </w:pPr>
      <w:rPr>
        <w:rFonts w:ascii="Arial" w:hAnsi="Arial" w:hint="default"/>
      </w:rPr>
    </w:lvl>
    <w:lvl w:ilvl="1" w:tplc="9906293E" w:tentative="1">
      <w:start w:val="1"/>
      <w:numFmt w:val="bullet"/>
      <w:lvlText w:val="•"/>
      <w:lvlJc w:val="left"/>
      <w:pPr>
        <w:tabs>
          <w:tab w:val="num" w:pos="1440"/>
        </w:tabs>
        <w:ind w:left="1440" w:hanging="360"/>
      </w:pPr>
      <w:rPr>
        <w:rFonts w:ascii="Arial" w:hAnsi="Arial" w:hint="default"/>
      </w:rPr>
    </w:lvl>
    <w:lvl w:ilvl="2" w:tplc="B8B6CDDC" w:tentative="1">
      <w:start w:val="1"/>
      <w:numFmt w:val="bullet"/>
      <w:lvlText w:val="•"/>
      <w:lvlJc w:val="left"/>
      <w:pPr>
        <w:tabs>
          <w:tab w:val="num" w:pos="2160"/>
        </w:tabs>
        <w:ind w:left="2160" w:hanging="360"/>
      </w:pPr>
      <w:rPr>
        <w:rFonts w:ascii="Arial" w:hAnsi="Arial" w:hint="default"/>
      </w:rPr>
    </w:lvl>
    <w:lvl w:ilvl="3" w:tplc="F6E670D6" w:tentative="1">
      <w:start w:val="1"/>
      <w:numFmt w:val="bullet"/>
      <w:lvlText w:val="•"/>
      <w:lvlJc w:val="left"/>
      <w:pPr>
        <w:tabs>
          <w:tab w:val="num" w:pos="2880"/>
        </w:tabs>
        <w:ind w:left="2880" w:hanging="360"/>
      </w:pPr>
      <w:rPr>
        <w:rFonts w:ascii="Arial" w:hAnsi="Arial" w:hint="default"/>
      </w:rPr>
    </w:lvl>
    <w:lvl w:ilvl="4" w:tplc="289A2A58" w:tentative="1">
      <w:start w:val="1"/>
      <w:numFmt w:val="bullet"/>
      <w:lvlText w:val="•"/>
      <w:lvlJc w:val="left"/>
      <w:pPr>
        <w:tabs>
          <w:tab w:val="num" w:pos="3600"/>
        </w:tabs>
        <w:ind w:left="3600" w:hanging="360"/>
      </w:pPr>
      <w:rPr>
        <w:rFonts w:ascii="Arial" w:hAnsi="Arial" w:hint="default"/>
      </w:rPr>
    </w:lvl>
    <w:lvl w:ilvl="5" w:tplc="B6A0AB26" w:tentative="1">
      <w:start w:val="1"/>
      <w:numFmt w:val="bullet"/>
      <w:lvlText w:val="•"/>
      <w:lvlJc w:val="left"/>
      <w:pPr>
        <w:tabs>
          <w:tab w:val="num" w:pos="4320"/>
        </w:tabs>
        <w:ind w:left="4320" w:hanging="360"/>
      </w:pPr>
      <w:rPr>
        <w:rFonts w:ascii="Arial" w:hAnsi="Arial" w:hint="default"/>
      </w:rPr>
    </w:lvl>
    <w:lvl w:ilvl="6" w:tplc="6646296A" w:tentative="1">
      <w:start w:val="1"/>
      <w:numFmt w:val="bullet"/>
      <w:lvlText w:val="•"/>
      <w:lvlJc w:val="left"/>
      <w:pPr>
        <w:tabs>
          <w:tab w:val="num" w:pos="5040"/>
        </w:tabs>
        <w:ind w:left="5040" w:hanging="360"/>
      </w:pPr>
      <w:rPr>
        <w:rFonts w:ascii="Arial" w:hAnsi="Arial" w:hint="default"/>
      </w:rPr>
    </w:lvl>
    <w:lvl w:ilvl="7" w:tplc="4E3E18EC" w:tentative="1">
      <w:start w:val="1"/>
      <w:numFmt w:val="bullet"/>
      <w:lvlText w:val="•"/>
      <w:lvlJc w:val="left"/>
      <w:pPr>
        <w:tabs>
          <w:tab w:val="num" w:pos="5760"/>
        </w:tabs>
        <w:ind w:left="5760" w:hanging="360"/>
      </w:pPr>
      <w:rPr>
        <w:rFonts w:ascii="Arial" w:hAnsi="Arial" w:hint="default"/>
      </w:rPr>
    </w:lvl>
    <w:lvl w:ilvl="8" w:tplc="8EDE453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E637AD"/>
    <w:multiLevelType w:val="hybridMultilevel"/>
    <w:tmpl w:val="CCD2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891A58"/>
    <w:multiLevelType w:val="hybridMultilevel"/>
    <w:tmpl w:val="D54A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FE0558"/>
    <w:multiLevelType w:val="hybridMultilevel"/>
    <w:tmpl w:val="FF065284"/>
    <w:lvl w:ilvl="0" w:tplc="04090001">
      <w:start w:val="1"/>
      <w:numFmt w:val="bullet"/>
      <w:lvlText w:val=""/>
      <w:lvlJc w:val="left"/>
      <w:pPr>
        <w:tabs>
          <w:tab w:val="num" w:pos="720"/>
        </w:tabs>
        <w:ind w:left="720" w:hanging="360"/>
      </w:pPr>
      <w:rPr>
        <w:rFonts w:ascii="Symbol" w:hAnsi="Symbol" w:hint="default"/>
      </w:rPr>
    </w:lvl>
    <w:lvl w:ilvl="1" w:tplc="02ACFE72">
      <w:numFmt w:val="bullet"/>
      <w:lvlText w:val="-"/>
      <w:lvlJc w:val="left"/>
      <w:pPr>
        <w:ind w:left="1440" w:hanging="360"/>
      </w:pPr>
      <w:rPr>
        <w:rFonts w:ascii="Gill Sans MT" w:eastAsia="Times New Roman" w:hAnsi="Gill Sans MT"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BE1069"/>
    <w:multiLevelType w:val="hybridMultilevel"/>
    <w:tmpl w:val="DCA8CB64"/>
    <w:lvl w:ilvl="0" w:tplc="F7CE51C2">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BD267B4"/>
    <w:multiLevelType w:val="hybridMultilevel"/>
    <w:tmpl w:val="7FB26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475E1"/>
    <w:multiLevelType w:val="hybridMultilevel"/>
    <w:tmpl w:val="1C36C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8C0D26"/>
    <w:multiLevelType w:val="hybridMultilevel"/>
    <w:tmpl w:val="AF1EA3DC"/>
    <w:lvl w:ilvl="0" w:tplc="FE082F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95945"/>
    <w:multiLevelType w:val="hybridMultilevel"/>
    <w:tmpl w:val="09EE5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2"/>
  </w:num>
  <w:num w:numId="13">
    <w:abstractNumId w:val="29"/>
  </w:num>
  <w:num w:numId="14">
    <w:abstractNumId w:val="28"/>
  </w:num>
  <w:num w:numId="15">
    <w:abstractNumId w:val="22"/>
  </w:num>
  <w:num w:numId="16">
    <w:abstractNumId w:val="40"/>
  </w:num>
  <w:num w:numId="17">
    <w:abstractNumId w:val="34"/>
  </w:num>
  <w:num w:numId="18">
    <w:abstractNumId w:val="25"/>
  </w:num>
  <w:num w:numId="19">
    <w:abstractNumId w:val="38"/>
  </w:num>
  <w:num w:numId="20">
    <w:abstractNumId w:val="13"/>
  </w:num>
  <w:num w:numId="21">
    <w:abstractNumId w:val="11"/>
  </w:num>
  <w:num w:numId="22">
    <w:abstractNumId w:val="41"/>
  </w:num>
  <w:num w:numId="23">
    <w:abstractNumId w:val="17"/>
  </w:num>
  <w:num w:numId="24">
    <w:abstractNumId w:val="16"/>
  </w:num>
  <w:num w:numId="25">
    <w:abstractNumId w:val="14"/>
  </w:num>
  <w:num w:numId="26">
    <w:abstractNumId w:val="37"/>
  </w:num>
  <w:num w:numId="27">
    <w:abstractNumId w:val="19"/>
  </w:num>
  <w:num w:numId="28">
    <w:abstractNumId w:val="31"/>
  </w:num>
  <w:num w:numId="29">
    <w:abstractNumId w:val="43"/>
  </w:num>
  <w:num w:numId="30">
    <w:abstractNumId w:val="15"/>
  </w:num>
  <w:num w:numId="31">
    <w:abstractNumId w:val="12"/>
  </w:num>
  <w:num w:numId="32">
    <w:abstractNumId w:val="20"/>
  </w:num>
  <w:num w:numId="33">
    <w:abstractNumId w:val="33"/>
  </w:num>
  <w:num w:numId="34">
    <w:abstractNumId w:val="39"/>
  </w:num>
  <w:num w:numId="35">
    <w:abstractNumId w:val="27"/>
  </w:num>
  <w:num w:numId="36">
    <w:abstractNumId w:val="36"/>
  </w:num>
  <w:num w:numId="37">
    <w:abstractNumId w:val="18"/>
  </w:num>
  <w:num w:numId="38">
    <w:abstractNumId w:val="10"/>
  </w:num>
  <w:num w:numId="39">
    <w:abstractNumId w:val="21"/>
  </w:num>
  <w:num w:numId="40">
    <w:abstractNumId w:val="30"/>
  </w:num>
  <w:num w:numId="41">
    <w:abstractNumId w:val="35"/>
  </w:num>
  <w:num w:numId="42">
    <w:abstractNumId w:val="26"/>
  </w:num>
  <w:num w:numId="43">
    <w:abstractNumId w:val="2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E8"/>
    <w:rsid w:val="00067EDC"/>
    <w:rsid w:val="00081D24"/>
    <w:rsid w:val="00160C4F"/>
    <w:rsid w:val="00174041"/>
    <w:rsid w:val="00192DC1"/>
    <w:rsid w:val="00195719"/>
    <w:rsid w:val="001F4702"/>
    <w:rsid w:val="00216A89"/>
    <w:rsid w:val="002348D7"/>
    <w:rsid w:val="002C1DC0"/>
    <w:rsid w:val="002E172D"/>
    <w:rsid w:val="002E3C12"/>
    <w:rsid w:val="00327C3C"/>
    <w:rsid w:val="0033317A"/>
    <w:rsid w:val="00342678"/>
    <w:rsid w:val="003533D8"/>
    <w:rsid w:val="003E3D6F"/>
    <w:rsid w:val="00440F33"/>
    <w:rsid w:val="00451758"/>
    <w:rsid w:val="00460D6C"/>
    <w:rsid w:val="0047330D"/>
    <w:rsid w:val="004A5D38"/>
    <w:rsid w:val="004B3D7B"/>
    <w:rsid w:val="004B5458"/>
    <w:rsid w:val="005429C2"/>
    <w:rsid w:val="00550B04"/>
    <w:rsid w:val="00633C18"/>
    <w:rsid w:val="00636028"/>
    <w:rsid w:val="006554F1"/>
    <w:rsid w:val="006D6330"/>
    <w:rsid w:val="007851C3"/>
    <w:rsid w:val="007C02B3"/>
    <w:rsid w:val="00897803"/>
    <w:rsid w:val="00903AD8"/>
    <w:rsid w:val="00907B76"/>
    <w:rsid w:val="00924A6A"/>
    <w:rsid w:val="009555DA"/>
    <w:rsid w:val="009674A8"/>
    <w:rsid w:val="00AB2C07"/>
    <w:rsid w:val="00AC6411"/>
    <w:rsid w:val="00AF2299"/>
    <w:rsid w:val="00B24D0A"/>
    <w:rsid w:val="00B40076"/>
    <w:rsid w:val="00B446CD"/>
    <w:rsid w:val="00B46E04"/>
    <w:rsid w:val="00BB5D7A"/>
    <w:rsid w:val="00C32DB1"/>
    <w:rsid w:val="00C7630A"/>
    <w:rsid w:val="00C84431"/>
    <w:rsid w:val="00C953A6"/>
    <w:rsid w:val="00CF2F87"/>
    <w:rsid w:val="00D25C43"/>
    <w:rsid w:val="00D42039"/>
    <w:rsid w:val="00D56EE8"/>
    <w:rsid w:val="00DD3F05"/>
    <w:rsid w:val="00DF26F2"/>
    <w:rsid w:val="00E40F99"/>
    <w:rsid w:val="00E9069C"/>
    <w:rsid w:val="00E908F5"/>
    <w:rsid w:val="00F03627"/>
    <w:rsid w:val="00F637AE"/>
    <w:rsid w:val="00FA03E5"/>
    <w:rsid w:val="00FD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AAA240-C1D7-4FED-BC75-A3B34E06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2D"/>
    <w:rPr>
      <w:rFonts w:ascii="Verdana" w:hAnsi="Verdana"/>
      <w:color w:val="000000" w:themeColor="text1"/>
    </w:rPr>
  </w:style>
  <w:style w:type="paragraph" w:styleId="Heading1">
    <w:name w:val="heading 1"/>
    <w:basedOn w:val="Normal"/>
    <w:next w:val="Normal"/>
    <w:link w:val="Heading1Char"/>
    <w:qFormat/>
    <w:rsid w:val="009674A8"/>
    <w:pPr>
      <w:keepNext/>
      <w:keepLines/>
      <w:spacing w:before="240" w:after="0"/>
      <w:outlineLvl w:val="0"/>
    </w:pPr>
    <w:rPr>
      <w:rFonts w:ascii="Palatino Linotype" w:eastAsiaTheme="majorEastAsia" w:hAnsi="Palatino Linotype" w:cstheme="majorBidi"/>
      <w:color w:val="143156"/>
      <w:sz w:val="44"/>
      <w:szCs w:val="32"/>
    </w:rPr>
  </w:style>
  <w:style w:type="paragraph" w:styleId="Heading2">
    <w:name w:val="heading 2"/>
    <w:basedOn w:val="Normal"/>
    <w:next w:val="Normal"/>
    <w:link w:val="Heading2Char"/>
    <w:unhideWhenUsed/>
    <w:qFormat/>
    <w:rsid w:val="009674A8"/>
    <w:pPr>
      <w:keepNext/>
      <w:keepLines/>
      <w:spacing w:before="40" w:after="0"/>
      <w:outlineLvl w:val="1"/>
    </w:pPr>
    <w:rPr>
      <w:rFonts w:eastAsiaTheme="majorEastAsia" w:cstheme="majorBidi"/>
      <w:color w:val="143156"/>
      <w:sz w:val="36"/>
      <w:szCs w:val="26"/>
    </w:rPr>
  </w:style>
  <w:style w:type="paragraph" w:styleId="Heading3">
    <w:name w:val="heading 3"/>
    <w:basedOn w:val="Normal"/>
    <w:next w:val="Normal"/>
    <w:link w:val="Heading3Char"/>
    <w:unhideWhenUsed/>
    <w:qFormat/>
    <w:rsid w:val="009674A8"/>
    <w:pPr>
      <w:keepNext/>
      <w:keepLines/>
      <w:spacing w:before="40" w:after="0"/>
      <w:outlineLvl w:val="2"/>
    </w:pPr>
    <w:rPr>
      <w:rFonts w:eastAsiaTheme="majorEastAsia" w:cstheme="majorBidi"/>
      <w:color w:val="CE2028"/>
      <w:sz w:val="28"/>
      <w:szCs w:val="24"/>
    </w:rPr>
  </w:style>
  <w:style w:type="paragraph" w:styleId="Heading4">
    <w:name w:val="heading 4"/>
    <w:basedOn w:val="Normal"/>
    <w:next w:val="Normal"/>
    <w:link w:val="Heading4Char"/>
    <w:unhideWhenUsed/>
    <w:qFormat/>
    <w:rsid w:val="00D56E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56EE8"/>
    <w:pPr>
      <w:spacing w:before="240" w:after="60" w:line="240" w:lineRule="auto"/>
      <w:ind w:left="1008" w:hanging="1008"/>
      <w:outlineLvl w:val="4"/>
    </w:pPr>
    <w:rPr>
      <w:rFonts w:ascii="DINOT" w:eastAsia="Times New Roman" w:hAnsi="DINOT" w:cs="Times New Roman"/>
      <w:b/>
      <w:iCs/>
      <w:color w:val="auto"/>
      <w:lang w:val="en-AU"/>
    </w:rPr>
  </w:style>
  <w:style w:type="paragraph" w:styleId="Heading6">
    <w:name w:val="heading 6"/>
    <w:basedOn w:val="Normal"/>
    <w:next w:val="Normal"/>
    <w:link w:val="Heading6Char"/>
    <w:qFormat/>
    <w:rsid w:val="00D56EE8"/>
    <w:pPr>
      <w:spacing w:after="120" w:line="240" w:lineRule="auto"/>
      <w:ind w:left="1152" w:hanging="1152"/>
      <w:outlineLvl w:val="5"/>
    </w:pPr>
    <w:rPr>
      <w:rFonts w:ascii="DINOT" w:eastAsia="Times New Roman" w:hAnsi="DINOT" w:cs="Times New Roman"/>
      <w:b/>
      <w:bCs/>
      <w:color w:val="auto"/>
      <w:sz w:val="26"/>
      <w:szCs w:val="26"/>
      <w:lang w:val="en-AU"/>
    </w:rPr>
  </w:style>
  <w:style w:type="paragraph" w:styleId="Heading7">
    <w:name w:val="heading 7"/>
    <w:basedOn w:val="Normal"/>
    <w:next w:val="Normal"/>
    <w:link w:val="Heading7Char"/>
    <w:qFormat/>
    <w:rsid w:val="00D56EE8"/>
    <w:pPr>
      <w:spacing w:before="240" w:after="60" w:line="240" w:lineRule="auto"/>
      <w:ind w:left="1296" w:hanging="1296"/>
      <w:outlineLvl w:val="6"/>
    </w:pPr>
    <w:rPr>
      <w:rFonts w:ascii="DINOT" w:eastAsia="Times New Roman" w:hAnsi="DINOT" w:cs="Times New Roman"/>
      <w:bCs/>
      <w:color w:val="auto"/>
      <w:sz w:val="24"/>
      <w:szCs w:val="24"/>
      <w:lang w:val="en-AU"/>
    </w:rPr>
  </w:style>
  <w:style w:type="paragraph" w:styleId="Heading8">
    <w:name w:val="heading 8"/>
    <w:basedOn w:val="Normal"/>
    <w:next w:val="Normal"/>
    <w:link w:val="Heading8Char"/>
    <w:qFormat/>
    <w:rsid w:val="00D56EE8"/>
    <w:pPr>
      <w:spacing w:before="240" w:after="60" w:line="240" w:lineRule="auto"/>
      <w:ind w:left="1440" w:hanging="1440"/>
      <w:outlineLvl w:val="7"/>
    </w:pPr>
    <w:rPr>
      <w:rFonts w:ascii="DINOT" w:eastAsia="Times New Roman" w:hAnsi="DINOT" w:cs="Times New Roman"/>
      <w:bCs/>
      <w:i/>
      <w:iCs/>
      <w:color w:val="auto"/>
      <w:sz w:val="24"/>
      <w:szCs w:val="24"/>
      <w:lang w:val="en-AU"/>
    </w:rPr>
  </w:style>
  <w:style w:type="paragraph" w:styleId="Heading9">
    <w:name w:val="heading 9"/>
    <w:basedOn w:val="Normal"/>
    <w:next w:val="Normal"/>
    <w:link w:val="Heading9Char"/>
    <w:qFormat/>
    <w:rsid w:val="00D56EE8"/>
    <w:pPr>
      <w:spacing w:before="240" w:after="60" w:line="240" w:lineRule="auto"/>
      <w:ind w:left="1584" w:hanging="1584"/>
      <w:outlineLvl w:val="8"/>
    </w:pPr>
    <w:rPr>
      <w:rFonts w:ascii="Arial" w:eastAsia="Times New Roman" w:hAnsi="Arial" w:cs="Arial"/>
      <w:bCs/>
      <w:color w:val="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3627"/>
    <w:pPr>
      <w:tabs>
        <w:tab w:val="center" w:pos="4680"/>
        <w:tab w:val="right" w:pos="9360"/>
      </w:tabs>
      <w:spacing w:after="0" w:line="240" w:lineRule="auto"/>
    </w:pPr>
  </w:style>
  <w:style w:type="character" w:customStyle="1" w:styleId="HeaderChar">
    <w:name w:val="Header Char"/>
    <w:basedOn w:val="DefaultParagraphFont"/>
    <w:link w:val="Header"/>
    <w:rsid w:val="00F03627"/>
  </w:style>
  <w:style w:type="paragraph" w:styleId="Footer">
    <w:name w:val="footer"/>
    <w:basedOn w:val="Normal"/>
    <w:link w:val="FooterChar"/>
    <w:uiPriority w:val="99"/>
    <w:unhideWhenUsed/>
    <w:rsid w:val="00F0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627"/>
  </w:style>
  <w:style w:type="paragraph" w:styleId="Title">
    <w:name w:val="Title"/>
    <w:basedOn w:val="Heading1"/>
    <w:next w:val="Normal"/>
    <w:link w:val="TitleChar"/>
    <w:uiPriority w:val="10"/>
    <w:qFormat/>
    <w:rsid w:val="007C02B3"/>
    <w:pPr>
      <w:spacing w:line="240" w:lineRule="auto"/>
      <w:contextualSpacing/>
    </w:pPr>
    <w:rPr>
      <w:spacing w:val="-10"/>
      <w:kern w:val="28"/>
      <w:sz w:val="56"/>
      <w:szCs w:val="56"/>
    </w:rPr>
  </w:style>
  <w:style w:type="character" w:customStyle="1" w:styleId="TitleChar">
    <w:name w:val="Title Char"/>
    <w:basedOn w:val="DefaultParagraphFont"/>
    <w:link w:val="Title"/>
    <w:uiPriority w:val="10"/>
    <w:rsid w:val="009674A8"/>
    <w:rPr>
      <w:rFonts w:ascii="Palatino Linotype" w:eastAsiaTheme="majorEastAsia" w:hAnsi="Palatino Linotype" w:cstheme="majorBidi"/>
      <w:color w:val="143156"/>
      <w:spacing w:val="-10"/>
      <w:kern w:val="28"/>
      <w:sz w:val="56"/>
      <w:szCs w:val="56"/>
    </w:rPr>
  </w:style>
  <w:style w:type="character" w:customStyle="1" w:styleId="Heading1Char">
    <w:name w:val="Heading 1 Char"/>
    <w:basedOn w:val="DefaultParagraphFont"/>
    <w:link w:val="Heading1"/>
    <w:rsid w:val="009674A8"/>
    <w:rPr>
      <w:rFonts w:ascii="Palatino Linotype" w:eastAsiaTheme="majorEastAsia" w:hAnsi="Palatino Linotype" w:cstheme="majorBidi"/>
      <w:color w:val="143156"/>
      <w:sz w:val="44"/>
      <w:szCs w:val="32"/>
    </w:rPr>
  </w:style>
  <w:style w:type="paragraph" w:styleId="TOC1">
    <w:name w:val="toc 1"/>
    <w:basedOn w:val="Normal"/>
    <w:next w:val="Normal"/>
    <w:autoRedefine/>
    <w:uiPriority w:val="39"/>
    <w:unhideWhenUsed/>
    <w:rsid w:val="00AF2299"/>
    <w:pPr>
      <w:spacing w:after="100"/>
    </w:pPr>
  </w:style>
  <w:style w:type="character" w:styleId="Hyperlink">
    <w:name w:val="Hyperlink"/>
    <w:basedOn w:val="DefaultParagraphFont"/>
    <w:uiPriority w:val="99"/>
    <w:unhideWhenUsed/>
    <w:rsid w:val="00AF2299"/>
    <w:rPr>
      <w:color w:val="0563C1" w:themeColor="hyperlink"/>
      <w:u w:val="single"/>
    </w:rPr>
  </w:style>
  <w:style w:type="character" w:customStyle="1" w:styleId="Heading2Char">
    <w:name w:val="Heading 2 Char"/>
    <w:basedOn w:val="DefaultParagraphFont"/>
    <w:link w:val="Heading2"/>
    <w:rsid w:val="009674A8"/>
    <w:rPr>
      <w:rFonts w:ascii="Verdana" w:eastAsiaTheme="majorEastAsia" w:hAnsi="Verdana" w:cstheme="majorBidi"/>
      <w:color w:val="143156"/>
      <w:sz w:val="36"/>
      <w:szCs w:val="26"/>
    </w:rPr>
  </w:style>
  <w:style w:type="paragraph" w:styleId="TOC2">
    <w:name w:val="toc 2"/>
    <w:basedOn w:val="Normal"/>
    <w:next w:val="Normal"/>
    <w:autoRedefine/>
    <w:uiPriority w:val="39"/>
    <w:unhideWhenUsed/>
    <w:rsid w:val="00AF2299"/>
    <w:pPr>
      <w:spacing w:after="100"/>
      <w:ind w:left="220"/>
    </w:pPr>
  </w:style>
  <w:style w:type="paragraph" w:styleId="Subtitle">
    <w:name w:val="Subtitle"/>
    <w:basedOn w:val="Title"/>
    <w:next w:val="Normal"/>
    <w:link w:val="SubtitleChar"/>
    <w:qFormat/>
    <w:rsid w:val="009674A8"/>
    <w:pPr>
      <w:numPr>
        <w:ilvl w:val="1"/>
      </w:numPr>
    </w:pPr>
    <w:rPr>
      <w:rFonts w:eastAsiaTheme="minorEastAsia"/>
      <w:spacing w:val="15"/>
      <w:sz w:val="48"/>
    </w:rPr>
  </w:style>
  <w:style w:type="character" w:customStyle="1" w:styleId="SubtitleChar">
    <w:name w:val="Subtitle Char"/>
    <w:basedOn w:val="DefaultParagraphFont"/>
    <w:link w:val="Subtitle"/>
    <w:rsid w:val="009674A8"/>
    <w:rPr>
      <w:rFonts w:ascii="Palatino Linotype" w:eastAsiaTheme="minorEastAsia" w:hAnsi="Palatino Linotype" w:cstheme="majorBidi"/>
      <w:color w:val="143156"/>
      <w:spacing w:val="15"/>
      <w:kern w:val="28"/>
      <w:sz w:val="48"/>
      <w:szCs w:val="56"/>
    </w:rPr>
  </w:style>
  <w:style w:type="character" w:customStyle="1" w:styleId="Heading3Char">
    <w:name w:val="Heading 3 Char"/>
    <w:basedOn w:val="DefaultParagraphFont"/>
    <w:link w:val="Heading3"/>
    <w:rsid w:val="009674A8"/>
    <w:rPr>
      <w:rFonts w:ascii="Verdana" w:eastAsiaTheme="majorEastAsia" w:hAnsi="Verdana" w:cstheme="majorBidi"/>
      <w:color w:val="CE2028"/>
      <w:sz w:val="28"/>
      <w:szCs w:val="24"/>
    </w:rPr>
  </w:style>
  <w:style w:type="character" w:styleId="SubtleEmphasis">
    <w:name w:val="Subtle Emphasis"/>
    <w:basedOn w:val="SubtitleChar"/>
    <w:uiPriority w:val="19"/>
    <w:qFormat/>
    <w:rsid w:val="002E3C12"/>
    <w:rPr>
      <w:rFonts w:ascii="Palatino Linotype" w:eastAsiaTheme="minorEastAsia" w:hAnsi="Palatino Linotype" w:cstheme="majorBidi"/>
      <w:i w:val="0"/>
      <w:iCs/>
      <w:color w:val="143156"/>
      <w:spacing w:val="15"/>
      <w:kern w:val="28"/>
      <w:sz w:val="36"/>
      <w:szCs w:val="56"/>
    </w:rPr>
  </w:style>
  <w:style w:type="paragraph" w:customStyle="1" w:styleId="Reference">
    <w:name w:val="Reference"/>
    <w:basedOn w:val="Normal"/>
    <w:qFormat/>
    <w:rsid w:val="009674A8"/>
    <w:pPr>
      <w:tabs>
        <w:tab w:val="left" w:pos="567"/>
      </w:tabs>
      <w:ind w:right="-23"/>
    </w:pPr>
    <w:rPr>
      <w:color w:val="CE2028"/>
    </w:rPr>
  </w:style>
  <w:style w:type="character" w:customStyle="1" w:styleId="Heading4Char">
    <w:name w:val="Heading 4 Char"/>
    <w:basedOn w:val="DefaultParagraphFont"/>
    <w:link w:val="Heading4"/>
    <w:rsid w:val="00D56EE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D56EE8"/>
    <w:rPr>
      <w:rFonts w:ascii="DINOT" w:eastAsia="Times New Roman" w:hAnsi="DINOT" w:cs="Times New Roman"/>
      <w:b/>
      <w:iCs/>
      <w:lang w:val="en-AU"/>
    </w:rPr>
  </w:style>
  <w:style w:type="character" w:customStyle="1" w:styleId="Heading6Char">
    <w:name w:val="Heading 6 Char"/>
    <w:basedOn w:val="DefaultParagraphFont"/>
    <w:link w:val="Heading6"/>
    <w:rsid w:val="00D56EE8"/>
    <w:rPr>
      <w:rFonts w:ascii="DINOT" w:eastAsia="Times New Roman" w:hAnsi="DINOT" w:cs="Times New Roman"/>
      <w:b/>
      <w:bCs/>
      <w:sz w:val="26"/>
      <w:szCs w:val="26"/>
      <w:lang w:val="en-AU"/>
    </w:rPr>
  </w:style>
  <w:style w:type="character" w:customStyle="1" w:styleId="Heading7Char">
    <w:name w:val="Heading 7 Char"/>
    <w:basedOn w:val="DefaultParagraphFont"/>
    <w:link w:val="Heading7"/>
    <w:rsid w:val="00D56EE8"/>
    <w:rPr>
      <w:rFonts w:ascii="DINOT" w:eastAsia="Times New Roman" w:hAnsi="DINOT" w:cs="Times New Roman"/>
      <w:bCs/>
      <w:sz w:val="24"/>
      <w:szCs w:val="24"/>
      <w:lang w:val="en-AU"/>
    </w:rPr>
  </w:style>
  <w:style w:type="character" w:customStyle="1" w:styleId="Heading8Char">
    <w:name w:val="Heading 8 Char"/>
    <w:basedOn w:val="DefaultParagraphFont"/>
    <w:link w:val="Heading8"/>
    <w:rsid w:val="00D56EE8"/>
    <w:rPr>
      <w:rFonts w:ascii="DINOT" w:eastAsia="Times New Roman" w:hAnsi="DINOT" w:cs="Times New Roman"/>
      <w:bCs/>
      <w:i/>
      <w:iCs/>
      <w:sz w:val="24"/>
      <w:szCs w:val="24"/>
      <w:lang w:val="en-AU"/>
    </w:rPr>
  </w:style>
  <w:style w:type="character" w:customStyle="1" w:styleId="Heading9Char">
    <w:name w:val="Heading 9 Char"/>
    <w:basedOn w:val="DefaultParagraphFont"/>
    <w:link w:val="Heading9"/>
    <w:rsid w:val="00D56EE8"/>
    <w:rPr>
      <w:rFonts w:ascii="Arial" w:eastAsia="Times New Roman" w:hAnsi="Arial" w:cs="Arial"/>
      <w:bCs/>
      <w:lang w:val="en-AU"/>
    </w:rPr>
  </w:style>
  <w:style w:type="character" w:styleId="FollowedHyperlink">
    <w:name w:val="FollowedHyperlink"/>
    <w:rsid w:val="00D56EE8"/>
    <w:rPr>
      <w:color w:val="0000FF"/>
      <w:u w:val="single"/>
    </w:rPr>
  </w:style>
  <w:style w:type="paragraph" w:styleId="BalloonText">
    <w:name w:val="Balloon Text"/>
    <w:basedOn w:val="Normal"/>
    <w:link w:val="BalloonTextChar"/>
    <w:semiHidden/>
    <w:rsid w:val="00D56EE8"/>
    <w:pPr>
      <w:spacing w:after="0" w:line="240" w:lineRule="auto"/>
    </w:pPr>
    <w:rPr>
      <w:rFonts w:ascii="Tahoma" w:eastAsia="Times New Roman" w:hAnsi="Tahoma" w:cs="Tahoma"/>
      <w:bCs/>
      <w:color w:val="auto"/>
      <w:sz w:val="16"/>
      <w:szCs w:val="16"/>
      <w:lang w:val="en-AU"/>
    </w:rPr>
  </w:style>
  <w:style w:type="character" w:customStyle="1" w:styleId="BalloonTextChar">
    <w:name w:val="Balloon Text Char"/>
    <w:basedOn w:val="DefaultParagraphFont"/>
    <w:link w:val="BalloonText"/>
    <w:semiHidden/>
    <w:rsid w:val="00D56EE8"/>
    <w:rPr>
      <w:rFonts w:ascii="Tahoma" w:eastAsia="Times New Roman" w:hAnsi="Tahoma" w:cs="Tahoma"/>
      <w:bCs/>
      <w:sz w:val="16"/>
      <w:szCs w:val="16"/>
      <w:lang w:val="en-AU"/>
    </w:rPr>
  </w:style>
  <w:style w:type="paragraph" w:styleId="BlockText">
    <w:name w:val="Block Text"/>
    <w:basedOn w:val="Normal"/>
    <w:rsid w:val="00D56EE8"/>
    <w:pPr>
      <w:spacing w:after="120" w:line="240" w:lineRule="auto"/>
      <w:ind w:left="1440" w:right="1440"/>
    </w:pPr>
    <w:rPr>
      <w:rFonts w:ascii="DINOT" w:eastAsia="Times New Roman" w:hAnsi="DINOT" w:cs="Times New Roman"/>
      <w:bCs/>
      <w:color w:val="auto"/>
      <w:sz w:val="24"/>
      <w:szCs w:val="24"/>
      <w:lang w:val="en-AU"/>
    </w:rPr>
  </w:style>
  <w:style w:type="paragraph" w:styleId="BodyText">
    <w:name w:val="Body Text"/>
    <w:basedOn w:val="Normal"/>
    <w:link w:val="BodyTextChar"/>
    <w:rsid w:val="00D56EE8"/>
    <w:pPr>
      <w:spacing w:after="120" w:line="240" w:lineRule="auto"/>
    </w:pPr>
    <w:rPr>
      <w:rFonts w:ascii="DINOT" w:eastAsia="Times New Roman" w:hAnsi="DINOT" w:cs="Times New Roman"/>
      <w:bCs/>
      <w:color w:val="auto"/>
      <w:sz w:val="24"/>
      <w:szCs w:val="24"/>
      <w:lang w:val="en-AU"/>
    </w:rPr>
  </w:style>
  <w:style w:type="character" w:customStyle="1" w:styleId="BodyTextChar">
    <w:name w:val="Body Text Char"/>
    <w:basedOn w:val="DefaultParagraphFont"/>
    <w:link w:val="BodyText"/>
    <w:rsid w:val="00D56EE8"/>
    <w:rPr>
      <w:rFonts w:ascii="DINOT" w:eastAsia="Times New Roman" w:hAnsi="DINOT" w:cs="Times New Roman"/>
      <w:bCs/>
      <w:sz w:val="24"/>
      <w:szCs w:val="24"/>
      <w:lang w:val="en-AU"/>
    </w:rPr>
  </w:style>
  <w:style w:type="paragraph" w:styleId="BodyText2">
    <w:name w:val="Body Text 2"/>
    <w:basedOn w:val="Normal"/>
    <w:link w:val="BodyText2Char"/>
    <w:rsid w:val="00D56EE8"/>
    <w:pPr>
      <w:spacing w:after="120" w:line="480" w:lineRule="auto"/>
    </w:pPr>
    <w:rPr>
      <w:rFonts w:ascii="DINOT" w:eastAsia="Times New Roman" w:hAnsi="DINOT" w:cs="Times New Roman"/>
      <w:bCs/>
      <w:color w:val="auto"/>
      <w:sz w:val="24"/>
      <w:szCs w:val="24"/>
      <w:lang w:val="en-AU"/>
    </w:rPr>
  </w:style>
  <w:style w:type="character" w:customStyle="1" w:styleId="BodyText2Char">
    <w:name w:val="Body Text 2 Char"/>
    <w:basedOn w:val="DefaultParagraphFont"/>
    <w:link w:val="BodyText2"/>
    <w:rsid w:val="00D56EE8"/>
    <w:rPr>
      <w:rFonts w:ascii="DINOT" w:eastAsia="Times New Roman" w:hAnsi="DINOT" w:cs="Times New Roman"/>
      <w:bCs/>
      <w:sz w:val="24"/>
      <w:szCs w:val="24"/>
      <w:lang w:val="en-AU"/>
    </w:rPr>
  </w:style>
  <w:style w:type="paragraph" w:styleId="BodyText3">
    <w:name w:val="Body Text 3"/>
    <w:basedOn w:val="Normal"/>
    <w:link w:val="BodyText3Char"/>
    <w:rsid w:val="00D56EE8"/>
    <w:pPr>
      <w:spacing w:after="120" w:line="240" w:lineRule="auto"/>
    </w:pPr>
    <w:rPr>
      <w:rFonts w:ascii="DINOT" w:eastAsia="Times New Roman" w:hAnsi="DINOT" w:cs="Times New Roman"/>
      <w:bCs/>
      <w:color w:val="auto"/>
      <w:sz w:val="16"/>
      <w:szCs w:val="16"/>
      <w:lang w:val="en-AU"/>
    </w:rPr>
  </w:style>
  <w:style w:type="character" w:customStyle="1" w:styleId="BodyText3Char">
    <w:name w:val="Body Text 3 Char"/>
    <w:basedOn w:val="DefaultParagraphFont"/>
    <w:link w:val="BodyText3"/>
    <w:rsid w:val="00D56EE8"/>
    <w:rPr>
      <w:rFonts w:ascii="DINOT" w:eastAsia="Times New Roman" w:hAnsi="DINOT" w:cs="Times New Roman"/>
      <w:bCs/>
      <w:sz w:val="16"/>
      <w:szCs w:val="16"/>
      <w:lang w:val="en-AU"/>
    </w:rPr>
  </w:style>
  <w:style w:type="paragraph" w:styleId="BodyTextFirstIndent">
    <w:name w:val="Body Text First Indent"/>
    <w:basedOn w:val="BodyText"/>
    <w:link w:val="BodyTextFirstIndentChar"/>
    <w:rsid w:val="00D56EE8"/>
    <w:pPr>
      <w:ind w:firstLine="210"/>
    </w:pPr>
  </w:style>
  <w:style w:type="character" w:customStyle="1" w:styleId="BodyTextFirstIndentChar">
    <w:name w:val="Body Text First Indent Char"/>
    <w:basedOn w:val="BodyTextChar"/>
    <w:link w:val="BodyTextFirstIndent"/>
    <w:rsid w:val="00D56EE8"/>
    <w:rPr>
      <w:rFonts w:ascii="DINOT" w:eastAsia="Times New Roman" w:hAnsi="DINOT" w:cs="Times New Roman"/>
      <w:bCs/>
      <w:sz w:val="24"/>
      <w:szCs w:val="24"/>
      <w:lang w:val="en-AU"/>
    </w:rPr>
  </w:style>
  <w:style w:type="paragraph" w:styleId="BodyTextIndent">
    <w:name w:val="Body Text Indent"/>
    <w:basedOn w:val="Normal"/>
    <w:link w:val="BodyTextIndentChar"/>
    <w:rsid w:val="00D56EE8"/>
    <w:pPr>
      <w:spacing w:after="120" w:line="240" w:lineRule="auto"/>
      <w:ind w:left="283"/>
    </w:pPr>
    <w:rPr>
      <w:rFonts w:ascii="DINOT" w:eastAsia="Times New Roman" w:hAnsi="DINOT" w:cs="Times New Roman"/>
      <w:bCs/>
      <w:color w:val="auto"/>
      <w:sz w:val="24"/>
      <w:szCs w:val="24"/>
      <w:lang w:val="en-AU"/>
    </w:rPr>
  </w:style>
  <w:style w:type="character" w:customStyle="1" w:styleId="BodyTextIndentChar">
    <w:name w:val="Body Text Indent Char"/>
    <w:basedOn w:val="DefaultParagraphFont"/>
    <w:link w:val="BodyTextIndent"/>
    <w:rsid w:val="00D56EE8"/>
    <w:rPr>
      <w:rFonts w:ascii="DINOT" w:eastAsia="Times New Roman" w:hAnsi="DINOT" w:cs="Times New Roman"/>
      <w:bCs/>
      <w:sz w:val="24"/>
      <w:szCs w:val="24"/>
      <w:lang w:val="en-AU"/>
    </w:rPr>
  </w:style>
  <w:style w:type="paragraph" w:styleId="BodyTextFirstIndent2">
    <w:name w:val="Body Text First Indent 2"/>
    <w:basedOn w:val="BodyTextIndent"/>
    <w:link w:val="BodyTextFirstIndent2Char"/>
    <w:rsid w:val="00D56EE8"/>
    <w:pPr>
      <w:ind w:firstLine="210"/>
    </w:pPr>
  </w:style>
  <w:style w:type="character" w:customStyle="1" w:styleId="BodyTextFirstIndent2Char">
    <w:name w:val="Body Text First Indent 2 Char"/>
    <w:basedOn w:val="BodyTextIndentChar"/>
    <w:link w:val="BodyTextFirstIndent2"/>
    <w:rsid w:val="00D56EE8"/>
    <w:rPr>
      <w:rFonts w:ascii="DINOT" w:eastAsia="Times New Roman" w:hAnsi="DINOT" w:cs="Times New Roman"/>
      <w:bCs/>
      <w:sz w:val="24"/>
      <w:szCs w:val="24"/>
      <w:lang w:val="en-AU"/>
    </w:rPr>
  </w:style>
  <w:style w:type="paragraph" w:styleId="BodyTextIndent2">
    <w:name w:val="Body Text Indent 2"/>
    <w:basedOn w:val="Normal"/>
    <w:link w:val="BodyTextIndent2Char"/>
    <w:rsid w:val="00D56EE8"/>
    <w:pPr>
      <w:spacing w:after="120" w:line="480" w:lineRule="auto"/>
      <w:ind w:left="283"/>
    </w:pPr>
    <w:rPr>
      <w:rFonts w:ascii="DINOT" w:eastAsia="Times New Roman" w:hAnsi="DINOT" w:cs="Times New Roman"/>
      <w:bCs/>
      <w:color w:val="auto"/>
      <w:sz w:val="24"/>
      <w:szCs w:val="24"/>
      <w:lang w:val="en-AU"/>
    </w:rPr>
  </w:style>
  <w:style w:type="character" w:customStyle="1" w:styleId="BodyTextIndent2Char">
    <w:name w:val="Body Text Indent 2 Char"/>
    <w:basedOn w:val="DefaultParagraphFont"/>
    <w:link w:val="BodyTextIndent2"/>
    <w:rsid w:val="00D56EE8"/>
    <w:rPr>
      <w:rFonts w:ascii="DINOT" w:eastAsia="Times New Roman" w:hAnsi="DINOT" w:cs="Times New Roman"/>
      <w:bCs/>
      <w:sz w:val="24"/>
      <w:szCs w:val="24"/>
      <w:lang w:val="en-AU"/>
    </w:rPr>
  </w:style>
  <w:style w:type="paragraph" w:styleId="BodyTextIndent3">
    <w:name w:val="Body Text Indent 3"/>
    <w:basedOn w:val="Normal"/>
    <w:link w:val="BodyTextIndent3Char"/>
    <w:rsid w:val="00D56EE8"/>
    <w:pPr>
      <w:spacing w:after="120" w:line="240" w:lineRule="auto"/>
      <w:ind w:left="283"/>
    </w:pPr>
    <w:rPr>
      <w:rFonts w:ascii="DINOT" w:eastAsia="Times New Roman" w:hAnsi="DINOT" w:cs="Times New Roman"/>
      <w:bCs/>
      <w:color w:val="auto"/>
      <w:sz w:val="16"/>
      <w:szCs w:val="16"/>
      <w:lang w:val="en-AU"/>
    </w:rPr>
  </w:style>
  <w:style w:type="character" w:customStyle="1" w:styleId="BodyTextIndent3Char">
    <w:name w:val="Body Text Indent 3 Char"/>
    <w:basedOn w:val="DefaultParagraphFont"/>
    <w:link w:val="BodyTextIndent3"/>
    <w:rsid w:val="00D56EE8"/>
    <w:rPr>
      <w:rFonts w:ascii="DINOT" w:eastAsia="Times New Roman" w:hAnsi="DINOT" w:cs="Times New Roman"/>
      <w:bCs/>
      <w:sz w:val="16"/>
      <w:szCs w:val="16"/>
      <w:lang w:val="en-AU"/>
    </w:rPr>
  </w:style>
  <w:style w:type="paragraph" w:styleId="Caption">
    <w:name w:val="caption"/>
    <w:basedOn w:val="Normal"/>
    <w:next w:val="Normal"/>
    <w:qFormat/>
    <w:rsid w:val="00D56EE8"/>
    <w:pPr>
      <w:spacing w:after="0" w:line="240" w:lineRule="auto"/>
      <w:jc w:val="center"/>
    </w:pPr>
    <w:rPr>
      <w:rFonts w:ascii="DINOT" w:eastAsia="Times New Roman" w:hAnsi="DINOT" w:cs="Times New Roman"/>
      <w:b/>
      <w:color w:val="auto"/>
      <w:sz w:val="24"/>
      <w:szCs w:val="24"/>
      <w:lang w:val="en-AU"/>
    </w:rPr>
  </w:style>
  <w:style w:type="paragraph" w:styleId="Closing">
    <w:name w:val="Closing"/>
    <w:basedOn w:val="Normal"/>
    <w:link w:val="ClosingChar"/>
    <w:rsid w:val="00D56EE8"/>
    <w:pPr>
      <w:spacing w:after="0" w:line="240" w:lineRule="auto"/>
      <w:ind w:left="4252"/>
    </w:pPr>
    <w:rPr>
      <w:rFonts w:ascii="DINOT" w:eastAsia="Times New Roman" w:hAnsi="DINOT" w:cs="Times New Roman"/>
      <w:bCs/>
      <w:color w:val="auto"/>
      <w:sz w:val="24"/>
      <w:szCs w:val="24"/>
      <w:lang w:val="en-AU"/>
    </w:rPr>
  </w:style>
  <w:style w:type="character" w:customStyle="1" w:styleId="ClosingChar">
    <w:name w:val="Closing Char"/>
    <w:basedOn w:val="DefaultParagraphFont"/>
    <w:link w:val="Closing"/>
    <w:rsid w:val="00D56EE8"/>
    <w:rPr>
      <w:rFonts w:ascii="DINOT" w:eastAsia="Times New Roman" w:hAnsi="DINOT" w:cs="Times New Roman"/>
      <w:bCs/>
      <w:sz w:val="24"/>
      <w:szCs w:val="24"/>
      <w:lang w:val="en-AU"/>
    </w:rPr>
  </w:style>
  <w:style w:type="paragraph" w:styleId="CommentText">
    <w:name w:val="annotation text"/>
    <w:basedOn w:val="Normal"/>
    <w:link w:val="CommentTextChar"/>
    <w:uiPriority w:val="99"/>
    <w:semiHidden/>
    <w:rsid w:val="00D56EE8"/>
    <w:pPr>
      <w:spacing w:after="0" w:line="240" w:lineRule="auto"/>
    </w:pPr>
    <w:rPr>
      <w:rFonts w:ascii="DINOT" w:eastAsia="Times New Roman" w:hAnsi="DINOT" w:cs="Times New Roman"/>
      <w:bCs/>
      <w:color w:val="auto"/>
      <w:sz w:val="20"/>
      <w:szCs w:val="20"/>
      <w:lang w:val="en-AU"/>
    </w:rPr>
  </w:style>
  <w:style w:type="character" w:customStyle="1" w:styleId="CommentTextChar">
    <w:name w:val="Comment Text Char"/>
    <w:basedOn w:val="DefaultParagraphFont"/>
    <w:link w:val="CommentText"/>
    <w:uiPriority w:val="99"/>
    <w:semiHidden/>
    <w:rsid w:val="00D56EE8"/>
    <w:rPr>
      <w:rFonts w:ascii="DINOT" w:eastAsia="Times New Roman" w:hAnsi="DINOT" w:cs="Times New Roman"/>
      <w:bCs/>
      <w:sz w:val="20"/>
      <w:szCs w:val="20"/>
      <w:lang w:val="en-AU"/>
    </w:rPr>
  </w:style>
  <w:style w:type="paragraph" w:styleId="CommentSubject">
    <w:name w:val="annotation subject"/>
    <w:basedOn w:val="CommentText"/>
    <w:next w:val="CommentText"/>
    <w:link w:val="CommentSubjectChar"/>
    <w:semiHidden/>
    <w:rsid w:val="00D56EE8"/>
    <w:rPr>
      <w:b/>
      <w:bCs w:val="0"/>
    </w:rPr>
  </w:style>
  <w:style w:type="character" w:customStyle="1" w:styleId="CommentSubjectChar">
    <w:name w:val="Comment Subject Char"/>
    <w:basedOn w:val="CommentTextChar"/>
    <w:link w:val="CommentSubject"/>
    <w:semiHidden/>
    <w:rsid w:val="00D56EE8"/>
    <w:rPr>
      <w:rFonts w:ascii="DINOT" w:eastAsia="Times New Roman" w:hAnsi="DINOT" w:cs="Times New Roman"/>
      <w:b/>
      <w:bCs w:val="0"/>
      <w:sz w:val="20"/>
      <w:szCs w:val="20"/>
      <w:lang w:val="en-AU"/>
    </w:rPr>
  </w:style>
  <w:style w:type="paragraph" w:styleId="Date">
    <w:name w:val="Date"/>
    <w:basedOn w:val="Normal"/>
    <w:next w:val="Normal"/>
    <w:link w:val="DateChar"/>
    <w:rsid w:val="00D56EE8"/>
    <w:pPr>
      <w:spacing w:after="0" w:line="240" w:lineRule="auto"/>
    </w:pPr>
    <w:rPr>
      <w:rFonts w:ascii="DINOT" w:eastAsia="Times New Roman" w:hAnsi="DINOT" w:cs="Times New Roman"/>
      <w:bCs/>
      <w:color w:val="auto"/>
      <w:sz w:val="24"/>
      <w:szCs w:val="24"/>
      <w:lang w:val="en-AU"/>
    </w:rPr>
  </w:style>
  <w:style w:type="character" w:customStyle="1" w:styleId="DateChar">
    <w:name w:val="Date Char"/>
    <w:basedOn w:val="DefaultParagraphFont"/>
    <w:link w:val="Date"/>
    <w:rsid w:val="00D56EE8"/>
    <w:rPr>
      <w:rFonts w:ascii="DINOT" w:eastAsia="Times New Roman" w:hAnsi="DINOT" w:cs="Times New Roman"/>
      <w:bCs/>
      <w:sz w:val="24"/>
      <w:szCs w:val="24"/>
      <w:lang w:val="en-AU"/>
    </w:rPr>
  </w:style>
  <w:style w:type="paragraph" w:styleId="DocumentMap">
    <w:name w:val="Document Map"/>
    <w:basedOn w:val="Normal"/>
    <w:link w:val="DocumentMapChar"/>
    <w:semiHidden/>
    <w:rsid w:val="00D56EE8"/>
    <w:pPr>
      <w:shd w:val="clear" w:color="auto" w:fill="000080"/>
      <w:spacing w:after="0" w:line="240" w:lineRule="auto"/>
    </w:pPr>
    <w:rPr>
      <w:rFonts w:ascii="Tahoma" w:eastAsia="Times New Roman" w:hAnsi="Tahoma" w:cs="Tahoma"/>
      <w:bCs/>
      <w:color w:val="auto"/>
      <w:sz w:val="20"/>
      <w:szCs w:val="20"/>
      <w:lang w:val="en-AU"/>
    </w:rPr>
  </w:style>
  <w:style w:type="character" w:customStyle="1" w:styleId="DocumentMapChar">
    <w:name w:val="Document Map Char"/>
    <w:basedOn w:val="DefaultParagraphFont"/>
    <w:link w:val="DocumentMap"/>
    <w:semiHidden/>
    <w:rsid w:val="00D56EE8"/>
    <w:rPr>
      <w:rFonts w:ascii="Tahoma" w:eastAsia="Times New Roman" w:hAnsi="Tahoma" w:cs="Tahoma"/>
      <w:bCs/>
      <w:sz w:val="20"/>
      <w:szCs w:val="20"/>
      <w:shd w:val="clear" w:color="auto" w:fill="000080"/>
      <w:lang w:val="en-AU"/>
    </w:rPr>
  </w:style>
  <w:style w:type="paragraph" w:styleId="E-mailSignature">
    <w:name w:val="E-mail Signature"/>
    <w:basedOn w:val="Normal"/>
    <w:link w:val="E-mailSignatureChar"/>
    <w:rsid w:val="00D56EE8"/>
    <w:pPr>
      <w:spacing w:after="0" w:line="240" w:lineRule="auto"/>
    </w:pPr>
    <w:rPr>
      <w:rFonts w:ascii="DINOT" w:eastAsia="Times New Roman" w:hAnsi="DINOT" w:cs="Times New Roman"/>
      <w:bCs/>
      <w:color w:val="auto"/>
      <w:sz w:val="24"/>
      <w:szCs w:val="24"/>
      <w:lang w:val="en-AU"/>
    </w:rPr>
  </w:style>
  <w:style w:type="character" w:customStyle="1" w:styleId="E-mailSignatureChar">
    <w:name w:val="E-mail Signature Char"/>
    <w:basedOn w:val="DefaultParagraphFont"/>
    <w:link w:val="E-mailSignature"/>
    <w:rsid w:val="00D56EE8"/>
    <w:rPr>
      <w:rFonts w:ascii="DINOT" w:eastAsia="Times New Roman" w:hAnsi="DINOT" w:cs="Times New Roman"/>
      <w:bCs/>
      <w:sz w:val="24"/>
      <w:szCs w:val="24"/>
      <w:lang w:val="en-AU"/>
    </w:rPr>
  </w:style>
  <w:style w:type="paragraph" w:styleId="EndnoteText">
    <w:name w:val="endnote text"/>
    <w:basedOn w:val="Normal"/>
    <w:link w:val="EndnoteTextChar"/>
    <w:semiHidden/>
    <w:rsid w:val="00D56EE8"/>
    <w:pPr>
      <w:spacing w:after="0" w:line="240" w:lineRule="auto"/>
    </w:pPr>
    <w:rPr>
      <w:rFonts w:ascii="DINOT" w:eastAsia="Times New Roman" w:hAnsi="DINOT" w:cs="Times New Roman"/>
      <w:bCs/>
      <w:color w:val="auto"/>
      <w:sz w:val="20"/>
      <w:szCs w:val="20"/>
      <w:lang w:val="en-AU"/>
    </w:rPr>
  </w:style>
  <w:style w:type="character" w:customStyle="1" w:styleId="EndnoteTextChar">
    <w:name w:val="Endnote Text Char"/>
    <w:basedOn w:val="DefaultParagraphFont"/>
    <w:link w:val="EndnoteText"/>
    <w:semiHidden/>
    <w:rsid w:val="00D56EE8"/>
    <w:rPr>
      <w:rFonts w:ascii="DINOT" w:eastAsia="Times New Roman" w:hAnsi="DINOT" w:cs="Times New Roman"/>
      <w:bCs/>
      <w:sz w:val="20"/>
      <w:szCs w:val="20"/>
      <w:lang w:val="en-AU"/>
    </w:rPr>
  </w:style>
  <w:style w:type="paragraph" w:styleId="EnvelopeAddress">
    <w:name w:val="envelope address"/>
    <w:basedOn w:val="Normal"/>
    <w:rsid w:val="00D56EE8"/>
    <w:pPr>
      <w:framePr w:w="7920" w:h="1980" w:hRule="exact" w:hSpace="180" w:wrap="auto" w:hAnchor="page" w:xAlign="center" w:yAlign="bottom"/>
      <w:spacing w:after="0" w:line="240" w:lineRule="auto"/>
      <w:ind w:left="2880"/>
    </w:pPr>
    <w:rPr>
      <w:rFonts w:ascii="Arial" w:eastAsia="Times New Roman" w:hAnsi="Arial" w:cs="Arial"/>
      <w:bCs/>
      <w:color w:val="auto"/>
      <w:sz w:val="24"/>
      <w:szCs w:val="24"/>
      <w:lang w:val="en-AU"/>
    </w:rPr>
  </w:style>
  <w:style w:type="paragraph" w:styleId="EnvelopeReturn">
    <w:name w:val="envelope return"/>
    <w:basedOn w:val="Normal"/>
    <w:rsid w:val="00D56EE8"/>
    <w:pPr>
      <w:spacing w:after="0" w:line="240" w:lineRule="auto"/>
    </w:pPr>
    <w:rPr>
      <w:rFonts w:ascii="Arial" w:eastAsia="Times New Roman" w:hAnsi="Arial" w:cs="Arial"/>
      <w:bCs/>
      <w:color w:val="auto"/>
      <w:sz w:val="20"/>
      <w:szCs w:val="20"/>
      <w:lang w:val="en-AU"/>
    </w:rPr>
  </w:style>
  <w:style w:type="paragraph" w:styleId="FootnoteText">
    <w:name w:val="footnote text"/>
    <w:aliases w:val="Footnote Text Char Char Char,Footnote Text Char Char,Footnote Text Char1,Footnote Text Char2 Char,Footnote Text Char1 Char Char1,Footnote Text Char Char Char Char1,Footnote Text Char Char1 Char1,Footnote Text Char1 Char"/>
    <w:basedOn w:val="Normal"/>
    <w:link w:val="FootnoteTextChar"/>
    <w:uiPriority w:val="99"/>
    <w:rsid w:val="00D56EE8"/>
    <w:pPr>
      <w:spacing w:after="0" w:line="240" w:lineRule="auto"/>
    </w:pPr>
    <w:rPr>
      <w:rFonts w:ascii="DINOT" w:eastAsia="Times New Roman" w:hAnsi="DINOT" w:cs="Times New Roman"/>
      <w:bCs/>
      <w:color w:val="auto"/>
      <w:sz w:val="18"/>
      <w:szCs w:val="20"/>
      <w:lang w:val="en-AU"/>
    </w:rPr>
  </w:style>
  <w:style w:type="character" w:customStyle="1" w:styleId="FootnoteTextChar">
    <w:name w:val="Footnote Text Char"/>
    <w:aliases w:val="Footnote Text Char Char Char Char,Footnote Text Char Char Char1,Footnote Text Char1 Char1,Footnote Text Char2 Char Char,Footnote Text Char1 Char Char1 Char,Footnote Text Char Char Char Char1 Char,Footnote Text Char Char1 Char1 Char"/>
    <w:basedOn w:val="DefaultParagraphFont"/>
    <w:link w:val="FootnoteText"/>
    <w:uiPriority w:val="99"/>
    <w:rsid w:val="00D56EE8"/>
    <w:rPr>
      <w:rFonts w:ascii="DINOT" w:eastAsia="Times New Roman" w:hAnsi="DINOT" w:cs="Times New Roman"/>
      <w:bCs/>
      <w:sz w:val="18"/>
      <w:szCs w:val="20"/>
      <w:lang w:val="en-AU"/>
    </w:rPr>
  </w:style>
  <w:style w:type="paragraph" w:styleId="HTMLAddress">
    <w:name w:val="HTML Address"/>
    <w:basedOn w:val="Normal"/>
    <w:link w:val="HTMLAddressChar"/>
    <w:rsid w:val="00D56EE8"/>
    <w:pPr>
      <w:spacing w:after="0" w:line="240" w:lineRule="auto"/>
    </w:pPr>
    <w:rPr>
      <w:rFonts w:ascii="DINOT" w:eastAsia="Times New Roman" w:hAnsi="DINOT" w:cs="Times New Roman"/>
      <w:bCs/>
      <w:i/>
      <w:iCs/>
      <w:color w:val="auto"/>
      <w:sz w:val="24"/>
      <w:szCs w:val="24"/>
      <w:lang w:val="en-AU"/>
    </w:rPr>
  </w:style>
  <w:style w:type="character" w:customStyle="1" w:styleId="HTMLAddressChar">
    <w:name w:val="HTML Address Char"/>
    <w:basedOn w:val="DefaultParagraphFont"/>
    <w:link w:val="HTMLAddress"/>
    <w:rsid w:val="00D56EE8"/>
    <w:rPr>
      <w:rFonts w:ascii="DINOT" w:eastAsia="Times New Roman" w:hAnsi="DINOT" w:cs="Times New Roman"/>
      <w:bCs/>
      <w:i/>
      <w:iCs/>
      <w:sz w:val="24"/>
      <w:szCs w:val="24"/>
      <w:lang w:val="en-AU"/>
    </w:rPr>
  </w:style>
  <w:style w:type="paragraph" w:styleId="HTMLPreformatted">
    <w:name w:val="HTML Preformatted"/>
    <w:basedOn w:val="Normal"/>
    <w:link w:val="HTMLPreformattedChar"/>
    <w:rsid w:val="00D56EE8"/>
    <w:pPr>
      <w:spacing w:after="0" w:line="240" w:lineRule="auto"/>
    </w:pPr>
    <w:rPr>
      <w:rFonts w:ascii="Courier New" w:eastAsia="Times New Roman" w:hAnsi="Courier New" w:cs="Courier New"/>
      <w:bCs/>
      <w:color w:val="auto"/>
      <w:sz w:val="20"/>
      <w:szCs w:val="20"/>
      <w:lang w:val="en-AU"/>
    </w:rPr>
  </w:style>
  <w:style w:type="character" w:customStyle="1" w:styleId="HTMLPreformattedChar">
    <w:name w:val="HTML Preformatted Char"/>
    <w:basedOn w:val="DefaultParagraphFont"/>
    <w:link w:val="HTMLPreformatted"/>
    <w:rsid w:val="00D56EE8"/>
    <w:rPr>
      <w:rFonts w:ascii="Courier New" w:eastAsia="Times New Roman" w:hAnsi="Courier New" w:cs="Courier New"/>
      <w:bCs/>
      <w:sz w:val="20"/>
      <w:szCs w:val="20"/>
      <w:lang w:val="en-AU"/>
    </w:rPr>
  </w:style>
  <w:style w:type="paragraph" w:styleId="Index1">
    <w:name w:val="index 1"/>
    <w:basedOn w:val="Normal"/>
    <w:next w:val="Normal"/>
    <w:autoRedefine/>
    <w:semiHidden/>
    <w:rsid w:val="00D56EE8"/>
    <w:pPr>
      <w:spacing w:after="0" w:line="240" w:lineRule="auto"/>
      <w:ind w:left="240" w:hanging="240"/>
    </w:pPr>
    <w:rPr>
      <w:rFonts w:ascii="DINOT" w:eastAsia="Times New Roman" w:hAnsi="DINOT" w:cs="Times New Roman"/>
      <w:bCs/>
      <w:color w:val="auto"/>
      <w:sz w:val="24"/>
      <w:szCs w:val="24"/>
      <w:lang w:val="en-AU"/>
    </w:rPr>
  </w:style>
  <w:style w:type="paragraph" w:styleId="Index2">
    <w:name w:val="index 2"/>
    <w:basedOn w:val="Normal"/>
    <w:next w:val="Normal"/>
    <w:autoRedefine/>
    <w:semiHidden/>
    <w:rsid w:val="00D56EE8"/>
    <w:pPr>
      <w:spacing w:after="0" w:line="240" w:lineRule="auto"/>
      <w:ind w:left="480" w:hanging="240"/>
    </w:pPr>
    <w:rPr>
      <w:rFonts w:ascii="DINOT" w:eastAsia="Times New Roman" w:hAnsi="DINOT" w:cs="Times New Roman"/>
      <w:bCs/>
      <w:color w:val="auto"/>
      <w:sz w:val="24"/>
      <w:szCs w:val="24"/>
      <w:lang w:val="en-AU"/>
    </w:rPr>
  </w:style>
  <w:style w:type="paragraph" w:styleId="Index3">
    <w:name w:val="index 3"/>
    <w:basedOn w:val="Normal"/>
    <w:next w:val="Normal"/>
    <w:autoRedefine/>
    <w:semiHidden/>
    <w:rsid w:val="00D56EE8"/>
    <w:pPr>
      <w:spacing w:after="0" w:line="240" w:lineRule="auto"/>
      <w:ind w:left="720" w:hanging="240"/>
    </w:pPr>
    <w:rPr>
      <w:rFonts w:ascii="DINOT" w:eastAsia="Times New Roman" w:hAnsi="DINOT" w:cs="Times New Roman"/>
      <w:bCs/>
      <w:color w:val="auto"/>
      <w:sz w:val="24"/>
      <w:szCs w:val="24"/>
      <w:lang w:val="en-AU"/>
    </w:rPr>
  </w:style>
  <w:style w:type="paragraph" w:styleId="Index4">
    <w:name w:val="index 4"/>
    <w:basedOn w:val="Normal"/>
    <w:next w:val="Normal"/>
    <w:autoRedefine/>
    <w:semiHidden/>
    <w:rsid w:val="00D56EE8"/>
    <w:pPr>
      <w:spacing w:after="0" w:line="240" w:lineRule="auto"/>
      <w:ind w:left="960" w:hanging="240"/>
    </w:pPr>
    <w:rPr>
      <w:rFonts w:ascii="DINOT" w:eastAsia="Times New Roman" w:hAnsi="DINOT" w:cs="Times New Roman"/>
      <w:bCs/>
      <w:color w:val="auto"/>
      <w:sz w:val="24"/>
      <w:szCs w:val="24"/>
      <w:lang w:val="en-AU"/>
    </w:rPr>
  </w:style>
  <w:style w:type="paragraph" w:styleId="Index5">
    <w:name w:val="index 5"/>
    <w:basedOn w:val="Normal"/>
    <w:next w:val="Normal"/>
    <w:autoRedefine/>
    <w:semiHidden/>
    <w:rsid w:val="00D56EE8"/>
    <w:pPr>
      <w:spacing w:after="0" w:line="240" w:lineRule="auto"/>
      <w:ind w:left="1200" w:hanging="240"/>
    </w:pPr>
    <w:rPr>
      <w:rFonts w:ascii="DINOT" w:eastAsia="Times New Roman" w:hAnsi="DINOT" w:cs="Times New Roman"/>
      <w:bCs/>
      <w:color w:val="auto"/>
      <w:sz w:val="24"/>
      <w:szCs w:val="24"/>
      <w:lang w:val="en-AU"/>
    </w:rPr>
  </w:style>
  <w:style w:type="paragraph" w:styleId="Index6">
    <w:name w:val="index 6"/>
    <w:basedOn w:val="Normal"/>
    <w:next w:val="Normal"/>
    <w:autoRedefine/>
    <w:semiHidden/>
    <w:rsid w:val="00D56EE8"/>
    <w:pPr>
      <w:spacing w:after="0" w:line="240" w:lineRule="auto"/>
      <w:ind w:left="1440" w:hanging="240"/>
    </w:pPr>
    <w:rPr>
      <w:rFonts w:ascii="DINOT" w:eastAsia="Times New Roman" w:hAnsi="DINOT" w:cs="Times New Roman"/>
      <w:bCs/>
      <w:color w:val="auto"/>
      <w:sz w:val="24"/>
      <w:szCs w:val="24"/>
      <w:lang w:val="en-AU"/>
    </w:rPr>
  </w:style>
  <w:style w:type="paragraph" w:styleId="Index7">
    <w:name w:val="index 7"/>
    <w:basedOn w:val="Normal"/>
    <w:next w:val="Normal"/>
    <w:autoRedefine/>
    <w:semiHidden/>
    <w:rsid w:val="00D56EE8"/>
    <w:pPr>
      <w:spacing w:after="0" w:line="240" w:lineRule="auto"/>
      <w:ind w:left="1680" w:hanging="240"/>
    </w:pPr>
    <w:rPr>
      <w:rFonts w:ascii="DINOT" w:eastAsia="Times New Roman" w:hAnsi="DINOT" w:cs="Times New Roman"/>
      <w:bCs/>
      <w:color w:val="auto"/>
      <w:sz w:val="24"/>
      <w:szCs w:val="24"/>
      <w:lang w:val="en-AU"/>
    </w:rPr>
  </w:style>
  <w:style w:type="paragraph" w:styleId="Index8">
    <w:name w:val="index 8"/>
    <w:basedOn w:val="Normal"/>
    <w:next w:val="Normal"/>
    <w:autoRedefine/>
    <w:semiHidden/>
    <w:rsid w:val="00D56EE8"/>
    <w:pPr>
      <w:spacing w:after="0" w:line="240" w:lineRule="auto"/>
      <w:ind w:left="1920" w:hanging="240"/>
    </w:pPr>
    <w:rPr>
      <w:rFonts w:ascii="DINOT" w:eastAsia="Times New Roman" w:hAnsi="DINOT" w:cs="Times New Roman"/>
      <w:bCs/>
      <w:color w:val="auto"/>
      <w:sz w:val="24"/>
      <w:szCs w:val="24"/>
      <w:lang w:val="en-AU"/>
    </w:rPr>
  </w:style>
  <w:style w:type="paragraph" w:styleId="Index9">
    <w:name w:val="index 9"/>
    <w:basedOn w:val="Normal"/>
    <w:next w:val="Normal"/>
    <w:autoRedefine/>
    <w:semiHidden/>
    <w:rsid w:val="00D56EE8"/>
    <w:pPr>
      <w:spacing w:after="0" w:line="240" w:lineRule="auto"/>
      <w:ind w:left="2160" w:hanging="240"/>
    </w:pPr>
    <w:rPr>
      <w:rFonts w:ascii="DINOT" w:eastAsia="Times New Roman" w:hAnsi="DINOT" w:cs="Times New Roman"/>
      <w:bCs/>
      <w:color w:val="auto"/>
      <w:sz w:val="24"/>
      <w:szCs w:val="24"/>
      <w:lang w:val="en-AU"/>
    </w:rPr>
  </w:style>
  <w:style w:type="paragraph" w:styleId="IndexHeading">
    <w:name w:val="index heading"/>
    <w:basedOn w:val="Normal"/>
    <w:next w:val="Index1"/>
    <w:semiHidden/>
    <w:rsid w:val="00D56EE8"/>
    <w:pPr>
      <w:spacing w:after="0" w:line="240" w:lineRule="auto"/>
    </w:pPr>
    <w:rPr>
      <w:rFonts w:ascii="Arial" w:eastAsia="Times New Roman" w:hAnsi="Arial" w:cs="Arial"/>
      <w:b/>
      <w:color w:val="auto"/>
      <w:sz w:val="24"/>
      <w:szCs w:val="24"/>
      <w:lang w:val="en-AU"/>
    </w:rPr>
  </w:style>
  <w:style w:type="paragraph" w:styleId="List">
    <w:name w:val="List"/>
    <w:basedOn w:val="Normal"/>
    <w:rsid w:val="00D56EE8"/>
    <w:pPr>
      <w:spacing w:after="0" w:line="240" w:lineRule="auto"/>
      <w:ind w:left="283" w:hanging="283"/>
    </w:pPr>
    <w:rPr>
      <w:rFonts w:ascii="DINOT" w:eastAsia="Times New Roman" w:hAnsi="DINOT" w:cs="Times New Roman"/>
      <w:bCs/>
      <w:color w:val="auto"/>
      <w:sz w:val="24"/>
      <w:szCs w:val="24"/>
      <w:lang w:val="en-AU"/>
    </w:rPr>
  </w:style>
  <w:style w:type="paragraph" w:styleId="List2">
    <w:name w:val="List 2"/>
    <w:basedOn w:val="Normal"/>
    <w:rsid w:val="00D56EE8"/>
    <w:pPr>
      <w:spacing w:after="0" w:line="240" w:lineRule="auto"/>
      <w:ind w:left="566" w:hanging="283"/>
    </w:pPr>
    <w:rPr>
      <w:rFonts w:ascii="DINOT" w:eastAsia="Times New Roman" w:hAnsi="DINOT" w:cs="Times New Roman"/>
      <w:bCs/>
      <w:color w:val="auto"/>
      <w:sz w:val="24"/>
      <w:szCs w:val="24"/>
      <w:lang w:val="en-AU"/>
    </w:rPr>
  </w:style>
  <w:style w:type="paragraph" w:styleId="List3">
    <w:name w:val="List 3"/>
    <w:basedOn w:val="Normal"/>
    <w:rsid w:val="00D56EE8"/>
    <w:pPr>
      <w:spacing w:after="0" w:line="240" w:lineRule="auto"/>
      <w:ind w:left="849" w:hanging="283"/>
    </w:pPr>
    <w:rPr>
      <w:rFonts w:ascii="DINOT" w:eastAsia="Times New Roman" w:hAnsi="DINOT" w:cs="Times New Roman"/>
      <w:bCs/>
      <w:color w:val="auto"/>
      <w:sz w:val="24"/>
      <w:szCs w:val="24"/>
      <w:lang w:val="en-AU"/>
    </w:rPr>
  </w:style>
  <w:style w:type="paragraph" w:styleId="List4">
    <w:name w:val="List 4"/>
    <w:basedOn w:val="Normal"/>
    <w:rsid w:val="00D56EE8"/>
    <w:pPr>
      <w:spacing w:after="0" w:line="240" w:lineRule="auto"/>
      <w:ind w:left="1132" w:hanging="283"/>
    </w:pPr>
    <w:rPr>
      <w:rFonts w:ascii="DINOT" w:eastAsia="Times New Roman" w:hAnsi="DINOT" w:cs="Times New Roman"/>
      <w:bCs/>
      <w:color w:val="auto"/>
      <w:sz w:val="24"/>
      <w:szCs w:val="24"/>
      <w:lang w:val="en-AU"/>
    </w:rPr>
  </w:style>
  <w:style w:type="paragraph" w:styleId="List5">
    <w:name w:val="List 5"/>
    <w:basedOn w:val="Normal"/>
    <w:rsid w:val="00D56EE8"/>
    <w:pPr>
      <w:spacing w:after="0" w:line="240" w:lineRule="auto"/>
      <w:ind w:left="1415" w:hanging="283"/>
    </w:pPr>
    <w:rPr>
      <w:rFonts w:ascii="DINOT" w:eastAsia="Times New Roman" w:hAnsi="DINOT" w:cs="Times New Roman"/>
      <w:bCs/>
      <w:color w:val="auto"/>
      <w:sz w:val="24"/>
      <w:szCs w:val="24"/>
      <w:lang w:val="en-AU"/>
    </w:rPr>
  </w:style>
  <w:style w:type="paragraph" w:styleId="ListBullet">
    <w:name w:val="List Bullet"/>
    <w:basedOn w:val="Normal"/>
    <w:rsid w:val="00D56EE8"/>
    <w:pPr>
      <w:numPr>
        <w:numId w:val="1"/>
      </w:numPr>
      <w:spacing w:after="0" w:line="240" w:lineRule="auto"/>
    </w:pPr>
    <w:rPr>
      <w:rFonts w:ascii="DINOT" w:eastAsia="Times New Roman" w:hAnsi="DINOT" w:cs="Times New Roman"/>
      <w:bCs/>
      <w:color w:val="auto"/>
      <w:sz w:val="24"/>
      <w:szCs w:val="24"/>
      <w:lang w:val="en-AU"/>
    </w:rPr>
  </w:style>
  <w:style w:type="paragraph" w:styleId="ListBullet2">
    <w:name w:val="List Bullet 2"/>
    <w:basedOn w:val="Normal"/>
    <w:rsid w:val="00D56EE8"/>
    <w:pPr>
      <w:numPr>
        <w:numId w:val="2"/>
      </w:numPr>
      <w:spacing w:after="0" w:line="240" w:lineRule="auto"/>
    </w:pPr>
    <w:rPr>
      <w:rFonts w:ascii="DINOT" w:eastAsia="Times New Roman" w:hAnsi="DINOT" w:cs="Times New Roman"/>
      <w:bCs/>
      <w:color w:val="auto"/>
      <w:sz w:val="24"/>
      <w:szCs w:val="24"/>
      <w:lang w:val="en-AU"/>
    </w:rPr>
  </w:style>
  <w:style w:type="paragraph" w:styleId="ListBullet3">
    <w:name w:val="List Bullet 3"/>
    <w:basedOn w:val="Normal"/>
    <w:rsid w:val="00D56EE8"/>
    <w:pPr>
      <w:numPr>
        <w:numId w:val="3"/>
      </w:numPr>
      <w:spacing w:after="0" w:line="240" w:lineRule="auto"/>
    </w:pPr>
    <w:rPr>
      <w:rFonts w:ascii="DINOT" w:eastAsia="Times New Roman" w:hAnsi="DINOT" w:cs="Times New Roman"/>
      <w:bCs/>
      <w:color w:val="auto"/>
      <w:sz w:val="24"/>
      <w:szCs w:val="24"/>
      <w:lang w:val="en-AU"/>
    </w:rPr>
  </w:style>
  <w:style w:type="paragraph" w:styleId="ListBullet4">
    <w:name w:val="List Bullet 4"/>
    <w:basedOn w:val="Normal"/>
    <w:rsid w:val="00D56EE8"/>
    <w:pPr>
      <w:numPr>
        <w:numId w:val="4"/>
      </w:numPr>
      <w:spacing w:after="0" w:line="240" w:lineRule="auto"/>
    </w:pPr>
    <w:rPr>
      <w:rFonts w:ascii="DINOT" w:eastAsia="Times New Roman" w:hAnsi="DINOT" w:cs="Times New Roman"/>
      <w:bCs/>
      <w:color w:val="auto"/>
      <w:sz w:val="24"/>
      <w:szCs w:val="24"/>
      <w:lang w:val="en-AU"/>
    </w:rPr>
  </w:style>
  <w:style w:type="paragraph" w:styleId="ListBullet5">
    <w:name w:val="List Bullet 5"/>
    <w:basedOn w:val="Normal"/>
    <w:rsid w:val="00D56EE8"/>
    <w:pPr>
      <w:numPr>
        <w:numId w:val="5"/>
      </w:numPr>
      <w:spacing w:after="0" w:line="240" w:lineRule="auto"/>
    </w:pPr>
    <w:rPr>
      <w:rFonts w:ascii="DINOT" w:eastAsia="Times New Roman" w:hAnsi="DINOT" w:cs="Times New Roman"/>
      <w:bCs/>
      <w:color w:val="auto"/>
      <w:sz w:val="24"/>
      <w:szCs w:val="24"/>
      <w:lang w:val="en-AU"/>
    </w:rPr>
  </w:style>
  <w:style w:type="paragraph" w:styleId="ListContinue">
    <w:name w:val="List Continue"/>
    <w:basedOn w:val="Normal"/>
    <w:rsid w:val="00D56EE8"/>
    <w:pPr>
      <w:spacing w:after="120" w:line="240" w:lineRule="auto"/>
      <w:ind w:left="283"/>
    </w:pPr>
    <w:rPr>
      <w:rFonts w:ascii="DINOT" w:eastAsia="Times New Roman" w:hAnsi="DINOT" w:cs="Times New Roman"/>
      <w:bCs/>
      <w:color w:val="auto"/>
      <w:sz w:val="24"/>
      <w:szCs w:val="24"/>
      <w:lang w:val="en-AU"/>
    </w:rPr>
  </w:style>
  <w:style w:type="paragraph" w:styleId="ListContinue2">
    <w:name w:val="List Continue 2"/>
    <w:basedOn w:val="Normal"/>
    <w:rsid w:val="00D56EE8"/>
    <w:pPr>
      <w:spacing w:after="120" w:line="240" w:lineRule="auto"/>
      <w:ind w:left="566"/>
    </w:pPr>
    <w:rPr>
      <w:rFonts w:ascii="DINOT" w:eastAsia="Times New Roman" w:hAnsi="DINOT" w:cs="Times New Roman"/>
      <w:bCs/>
      <w:color w:val="auto"/>
      <w:sz w:val="24"/>
      <w:szCs w:val="24"/>
      <w:lang w:val="en-AU"/>
    </w:rPr>
  </w:style>
  <w:style w:type="paragraph" w:styleId="ListContinue3">
    <w:name w:val="List Continue 3"/>
    <w:basedOn w:val="Normal"/>
    <w:rsid w:val="00D56EE8"/>
    <w:pPr>
      <w:spacing w:after="120" w:line="240" w:lineRule="auto"/>
      <w:ind w:left="849"/>
    </w:pPr>
    <w:rPr>
      <w:rFonts w:ascii="DINOT" w:eastAsia="Times New Roman" w:hAnsi="DINOT" w:cs="Times New Roman"/>
      <w:bCs/>
      <w:color w:val="auto"/>
      <w:sz w:val="24"/>
      <w:szCs w:val="24"/>
      <w:lang w:val="en-AU"/>
    </w:rPr>
  </w:style>
  <w:style w:type="paragraph" w:styleId="ListContinue4">
    <w:name w:val="List Continue 4"/>
    <w:basedOn w:val="Normal"/>
    <w:rsid w:val="00D56EE8"/>
    <w:pPr>
      <w:spacing w:after="120" w:line="240" w:lineRule="auto"/>
      <w:ind w:left="1132"/>
    </w:pPr>
    <w:rPr>
      <w:rFonts w:ascii="DINOT" w:eastAsia="Times New Roman" w:hAnsi="DINOT" w:cs="Times New Roman"/>
      <w:bCs/>
      <w:color w:val="auto"/>
      <w:sz w:val="24"/>
      <w:szCs w:val="24"/>
      <w:lang w:val="en-AU"/>
    </w:rPr>
  </w:style>
  <w:style w:type="paragraph" w:styleId="ListContinue5">
    <w:name w:val="List Continue 5"/>
    <w:basedOn w:val="Normal"/>
    <w:rsid w:val="00D56EE8"/>
    <w:pPr>
      <w:spacing w:after="120" w:line="240" w:lineRule="auto"/>
      <w:ind w:left="1415"/>
    </w:pPr>
    <w:rPr>
      <w:rFonts w:ascii="DINOT" w:eastAsia="Times New Roman" w:hAnsi="DINOT" w:cs="Times New Roman"/>
      <w:bCs/>
      <w:color w:val="auto"/>
      <w:sz w:val="24"/>
      <w:szCs w:val="24"/>
      <w:lang w:val="en-AU"/>
    </w:rPr>
  </w:style>
  <w:style w:type="paragraph" w:styleId="ListNumber">
    <w:name w:val="List Number"/>
    <w:basedOn w:val="Normal"/>
    <w:rsid w:val="00D56EE8"/>
    <w:pPr>
      <w:numPr>
        <w:numId w:val="6"/>
      </w:numPr>
      <w:spacing w:after="0" w:line="240" w:lineRule="auto"/>
    </w:pPr>
    <w:rPr>
      <w:rFonts w:ascii="DINOT" w:eastAsia="Times New Roman" w:hAnsi="DINOT" w:cs="Times New Roman"/>
      <w:bCs/>
      <w:color w:val="auto"/>
      <w:sz w:val="24"/>
      <w:szCs w:val="24"/>
      <w:lang w:val="en-AU"/>
    </w:rPr>
  </w:style>
  <w:style w:type="paragraph" w:styleId="ListNumber2">
    <w:name w:val="List Number 2"/>
    <w:basedOn w:val="Normal"/>
    <w:rsid w:val="00D56EE8"/>
    <w:pPr>
      <w:numPr>
        <w:numId w:val="7"/>
      </w:numPr>
      <w:spacing w:after="0" w:line="240" w:lineRule="auto"/>
    </w:pPr>
    <w:rPr>
      <w:rFonts w:ascii="DINOT" w:eastAsia="Times New Roman" w:hAnsi="DINOT" w:cs="Times New Roman"/>
      <w:bCs/>
      <w:color w:val="auto"/>
      <w:sz w:val="24"/>
      <w:szCs w:val="24"/>
      <w:lang w:val="en-AU"/>
    </w:rPr>
  </w:style>
  <w:style w:type="paragraph" w:styleId="ListNumber3">
    <w:name w:val="List Number 3"/>
    <w:basedOn w:val="Normal"/>
    <w:rsid w:val="00D56EE8"/>
    <w:pPr>
      <w:numPr>
        <w:numId w:val="8"/>
      </w:numPr>
      <w:spacing w:after="0" w:line="240" w:lineRule="auto"/>
    </w:pPr>
    <w:rPr>
      <w:rFonts w:ascii="DINOT" w:eastAsia="Times New Roman" w:hAnsi="DINOT" w:cs="Times New Roman"/>
      <w:bCs/>
      <w:color w:val="auto"/>
      <w:sz w:val="24"/>
      <w:szCs w:val="24"/>
      <w:lang w:val="en-AU"/>
    </w:rPr>
  </w:style>
  <w:style w:type="paragraph" w:styleId="ListNumber4">
    <w:name w:val="List Number 4"/>
    <w:basedOn w:val="Normal"/>
    <w:rsid w:val="00D56EE8"/>
    <w:pPr>
      <w:numPr>
        <w:numId w:val="9"/>
      </w:numPr>
      <w:spacing w:after="0" w:line="240" w:lineRule="auto"/>
    </w:pPr>
    <w:rPr>
      <w:rFonts w:ascii="DINOT" w:eastAsia="Times New Roman" w:hAnsi="DINOT" w:cs="Times New Roman"/>
      <w:bCs/>
      <w:color w:val="auto"/>
      <w:sz w:val="24"/>
      <w:szCs w:val="24"/>
      <w:lang w:val="en-AU"/>
    </w:rPr>
  </w:style>
  <w:style w:type="paragraph" w:styleId="ListNumber5">
    <w:name w:val="List Number 5"/>
    <w:basedOn w:val="Normal"/>
    <w:rsid w:val="00D56EE8"/>
    <w:pPr>
      <w:numPr>
        <w:numId w:val="10"/>
      </w:numPr>
      <w:spacing w:after="0" w:line="240" w:lineRule="auto"/>
    </w:pPr>
    <w:rPr>
      <w:rFonts w:ascii="DINOT" w:eastAsia="Times New Roman" w:hAnsi="DINOT" w:cs="Times New Roman"/>
      <w:bCs/>
      <w:color w:val="auto"/>
      <w:sz w:val="24"/>
      <w:szCs w:val="24"/>
      <w:lang w:val="en-AU"/>
    </w:rPr>
  </w:style>
  <w:style w:type="paragraph" w:styleId="MacroText">
    <w:name w:val="macro"/>
    <w:link w:val="MacroTextChar"/>
    <w:semiHidden/>
    <w:rsid w:val="00D56EE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noProof/>
      <w:sz w:val="20"/>
      <w:szCs w:val="20"/>
      <w:lang w:val="en-AU"/>
    </w:rPr>
  </w:style>
  <w:style w:type="character" w:customStyle="1" w:styleId="MacroTextChar">
    <w:name w:val="Macro Text Char"/>
    <w:basedOn w:val="DefaultParagraphFont"/>
    <w:link w:val="MacroText"/>
    <w:semiHidden/>
    <w:rsid w:val="00D56EE8"/>
    <w:rPr>
      <w:rFonts w:ascii="Courier New" w:eastAsia="Times New Roman" w:hAnsi="Courier New" w:cs="Courier New"/>
      <w:noProof/>
      <w:sz w:val="20"/>
      <w:szCs w:val="20"/>
      <w:lang w:val="en-AU"/>
    </w:rPr>
  </w:style>
  <w:style w:type="paragraph" w:styleId="MessageHeader">
    <w:name w:val="Message Header"/>
    <w:basedOn w:val="Normal"/>
    <w:link w:val="MessageHeaderChar"/>
    <w:rsid w:val="00D56E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Cs/>
      <w:color w:val="auto"/>
      <w:sz w:val="24"/>
      <w:szCs w:val="24"/>
      <w:lang w:val="en-AU"/>
    </w:rPr>
  </w:style>
  <w:style w:type="character" w:customStyle="1" w:styleId="MessageHeaderChar">
    <w:name w:val="Message Header Char"/>
    <w:basedOn w:val="DefaultParagraphFont"/>
    <w:link w:val="MessageHeader"/>
    <w:rsid w:val="00D56EE8"/>
    <w:rPr>
      <w:rFonts w:ascii="Arial" w:eastAsia="Times New Roman" w:hAnsi="Arial" w:cs="Arial"/>
      <w:bCs/>
      <w:sz w:val="24"/>
      <w:szCs w:val="24"/>
      <w:shd w:val="pct20" w:color="auto" w:fill="auto"/>
      <w:lang w:val="en-AU"/>
    </w:rPr>
  </w:style>
  <w:style w:type="paragraph" w:styleId="NormalWeb">
    <w:name w:val="Normal (Web)"/>
    <w:basedOn w:val="Normal"/>
    <w:uiPriority w:val="99"/>
    <w:rsid w:val="00D56EE8"/>
    <w:pPr>
      <w:spacing w:after="0" w:line="240" w:lineRule="auto"/>
    </w:pPr>
    <w:rPr>
      <w:rFonts w:ascii="DINOT" w:eastAsia="Times New Roman" w:hAnsi="DINOT" w:cs="Times New Roman"/>
      <w:bCs/>
      <w:color w:val="auto"/>
      <w:sz w:val="24"/>
      <w:szCs w:val="24"/>
      <w:lang w:val="en-AU"/>
    </w:rPr>
  </w:style>
  <w:style w:type="paragraph" w:styleId="NormalIndent">
    <w:name w:val="Normal Indent"/>
    <w:basedOn w:val="Normal"/>
    <w:rsid w:val="00D56EE8"/>
    <w:pPr>
      <w:spacing w:after="0" w:line="240" w:lineRule="auto"/>
      <w:ind w:left="720"/>
    </w:pPr>
    <w:rPr>
      <w:rFonts w:ascii="DINOT" w:eastAsia="Times New Roman" w:hAnsi="DINOT" w:cs="Times New Roman"/>
      <w:bCs/>
      <w:color w:val="auto"/>
      <w:sz w:val="24"/>
      <w:szCs w:val="24"/>
      <w:lang w:val="en-AU"/>
    </w:rPr>
  </w:style>
  <w:style w:type="paragraph" w:styleId="NoteHeading">
    <w:name w:val="Note Heading"/>
    <w:basedOn w:val="Normal"/>
    <w:next w:val="Normal"/>
    <w:link w:val="NoteHeadingChar"/>
    <w:rsid w:val="00D56EE8"/>
    <w:pPr>
      <w:spacing w:after="0" w:line="240" w:lineRule="auto"/>
    </w:pPr>
    <w:rPr>
      <w:rFonts w:ascii="DINOT" w:eastAsia="Times New Roman" w:hAnsi="DINOT" w:cs="Times New Roman"/>
      <w:bCs/>
      <w:color w:val="auto"/>
      <w:sz w:val="24"/>
      <w:szCs w:val="24"/>
      <w:lang w:val="en-AU"/>
    </w:rPr>
  </w:style>
  <w:style w:type="character" w:customStyle="1" w:styleId="NoteHeadingChar">
    <w:name w:val="Note Heading Char"/>
    <w:basedOn w:val="DefaultParagraphFont"/>
    <w:link w:val="NoteHeading"/>
    <w:rsid w:val="00D56EE8"/>
    <w:rPr>
      <w:rFonts w:ascii="DINOT" w:eastAsia="Times New Roman" w:hAnsi="DINOT" w:cs="Times New Roman"/>
      <w:bCs/>
      <w:sz w:val="24"/>
      <w:szCs w:val="24"/>
      <w:lang w:val="en-AU"/>
    </w:rPr>
  </w:style>
  <w:style w:type="paragraph" w:styleId="PlainText">
    <w:name w:val="Plain Text"/>
    <w:basedOn w:val="Normal"/>
    <w:link w:val="PlainTextChar"/>
    <w:uiPriority w:val="99"/>
    <w:rsid w:val="00D56EE8"/>
    <w:pPr>
      <w:spacing w:after="0" w:line="240" w:lineRule="auto"/>
    </w:pPr>
    <w:rPr>
      <w:rFonts w:ascii="Courier New" w:eastAsia="Times New Roman" w:hAnsi="Courier New" w:cs="Courier New"/>
      <w:bCs/>
      <w:color w:val="auto"/>
      <w:sz w:val="20"/>
      <w:szCs w:val="20"/>
      <w:lang w:val="en-AU"/>
    </w:rPr>
  </w:style>
  <w:style w:type="character" w:customStyle="1" w:styleId="PlainTextChar">
    <w:name w:val="Plain Text Char"/>
    <w:basedOn w:val="DefaultParagraphFont"/>
    <w:link w:val="PlainText"/>
    <w:uiPriority w:val="99"/>
    <w:rsid w:val="00D56EE8"/>
    <w:rPr>
      <w:rFonts w:ascii="Courier New" w:eastAsia="Times New Roman" w:hAnsi="Courier New" w:cs="Courier New"/>
      <w:bCs/>
      <w:sz w:val="20"/>
      <w:szCs w:val="20"/>
      <w:lang w:val="en-AU"/>
    </w:rPr>
  </w:style>
  <w:style w:type="paragraph" w:styleId="Salutation">
    <w:name w:val="Salutation"/>
    <w:basedOn w:val="Normal"/>
    <w:next w:val="Normal"/>
    <w:link w:val="SalutationChar"/>
    <w:rsid w:val="00D56EE8"/>
    <w:pPr>
      <w:spacing w:after="0" w:line="240" w:lineRule="auto"/>
    </w:pPr>
    <w:rPr>
      <w:rFonts w:ascii="DINOT" w:eastAsia="Times New Roman" w:hAnsi="DINOT" w:cs="Times New Roman"/>
      <w:bCs/>
      <w:color w:val="auto"/>
      <w:sz w:val="24"/>
      <w:szCs w:val="24"/>
      <w:lang w:val="en-AU"/>
    </w:rPr>
  </w:style>
  <w:style w:type="character" w:customStyle="1" w:styleId="SalutationChar">
    <w:name w:val="Salutation Char"/>
    <w:basedOn w:val="DefaultParagraphFont"/>
    <w:link w:val="Salutation"/>
    <w:rsid w:val="00D56EE8"/>
    <w:rPr>
      <w:rFonts w:ascii="DINOT" w:eastAsia="Times New Roman" w:hAnsi="DINOT" w:cs="Times New Roman"/>
      <w:bCs/>
      <w:sz w:val="24"/>
      <w:szCs w:val="24"/>
      <w:lang w:val="en-AU"/>
    </w:rPr>
  </w:style>
  <w:style w:type="paragraph" w:styleId="Signature">
    <w:name w:val="Signature"/>
    <w:basedOn w:val="Normal"/>
    <w:link w:val="SignatureChar"/>
    <w:rsid w:val="00D56EE8"/>
    <w:pPr>
      <w:spacing w:after="0" w:line="240" w:lineRule="auto"/>
      <w:ind w:left="4252"/>
    </w:pPr>
    <w:rPr>
      <w:rFonts w:ascii="DINOT" w:eastAsia="Times New Roman" w:hAnsi="DINOT" w:cs="Times New Roman"/>
      <w:bCs/>
      <w:color w:val="auto"/>
      <w:sz w:val="24"/>
      <w:szCs w:val="24"/>
      <w:lang w:val="en-AU"/>
    </w:rPr>
  </w:style>
  <w:style w:type="character" w:customStyle="1" w:styleId="SignatureChar">
    <w:name w:val="Signature Char"/>
    <w:basedOn w:val="DefaultParagraphFont"/>
    <w:link w:val="Signature"/>
    <w:rsid w:val="00D56EE8"/>
    <w:rPr>
      <w:rFonts w:ascii="DINOT" w:eastAsia="Times New Roman" w:hAnsi="DINOT" w:cs="Times New Roman"/>
      <w:bCs/>
      <w:sz w:val="24"/>
      <w:szCs w:val="24"/>
      <w:lang w:val="en-AU"/>
    </w:rPr>
  </w:style>
  <w:style w:type="paragraph" w:styleId="TableofAuthorities">
    <w:name w:val="table of authorities"/>
    <w:basedOn w:val="Normal"/>
    <w:next w:val="Normal"/>
    <w:semiHidden/>
    <w:rsid w:val="00D56EE8"/>
    <w:pPr>
      <w:spacing w:after="0" w:line="240" w:lineRule="auto"/>
      <w:ind w:left="240" w:hanging="240"/>
    </w:pPr>
    <w:rPr>
      <w:rFonts w:ascii="DINOT" w:eastAsia="Times New Roman" w:hAnsi="DINOT" w:cs="Times New Roman"/>
      <w:bCs/>
      <w:color w:val="auto"/>
      <w:sz w:val="24"/>
      <w:szCs w:val="24"/>
      <w:lang w:val="en-AU"/>
    </w:rPr>
  </w:style>
  <w:style w:type="paragraph" w:styleId="TableofFigures">
    <w:name w:val="table of figures"/>
    <w:basedOn w:val="Normal"/>
    <w:next w:val="Normal"/>
    <w:semiHidden/>
    <w:rsid w:val="00D56EE8"/>
    <w:pPr>
      <w:spacing w:after="0" w:line="240" w:lineRule="auto"/>
    </w:pPr>
    <w:rPr>
      <w:rFonts w:ascii="DINOT" w:eastAsia="Times New Roman" w:hAnsi="DINOT" w:cs="Times New Roman"/>
      <w:bCs/>
      <w:color w:val="auto"/>
      <w:sz w:val="24"/>
      <w:szCs w:val="24"/>
      <w:lang w:val="en-AU"/>
    </w:rPr>
  </w:style>
  <w:style w:type="paragraph" w:styleId="TOAHeading">
    <w:name w:val="toa heading"/>
    <w:basedOn w:val="Normal"/>
    <w:next w:val="Normal"/>
    <w:semiHidden/>
    <w:rsid w:val="00D56EE8"/>
    <w:pPr>
      <w:spacing w:before="120" w:after="0" w:line="240" w:lineRule="auto"/>
    </w:pPr>
    <w:rPr>
      <w:rFonts w:ascii="Arial" w:eastAsia="Times New Roman" w:hAnsi="Arial" w:cs="Arial"/>
      <w:b/>
      <w:color w:val="auto"/>
      <w:sz w:val="24"/>
      <w:szCs w:val="24"/>
      <w:lang w:val="en-AU"/>
    </w:rPr>
  </w:style>
  <w:style w:type="paragraph" w:styleId="TOC3">
    <w:name w:val="toc 3"/>
    <w:basedOn w:val="Normal"/>
    <w:next w:val="Normal"/>
    <w:autoRedefine/>
    <w:uiPriority w:val="39"/>
    <w:rsid w:val="00D56EE8"/>
    <w:pPr>
      <w:spacing w:after="0" w:line="240" w:lineRule="auto"/>
      <w:ind w:left="480"/>
    </w:pPr>
    <w:rPr>
      <w:rFonts w:ascii="DINOT" w:eastAsia="Times New Roman" w:hAnsi="DINOT" w:cs="Times New Roman"/>
      <w:bCs/>
      <w:color w:val="auto"/>
      <w:sz w:val="24"/>
      <w:szCs w:val="24"/>
      <w:lang w:val="en-AU"/>
    </w:rPr>
  </w:style>
  <w:style w:type="paragraph" w:styleId="TOC4">
    <w:name w:val="toc 4"/>
    <w:basedOn w:val="Normal"/>
    <w:next w:val="Normal"/>
    <w:autoRedefine/>
    <w:rsid w:val="00D56EE8"/>
    <w:pPr>
      <w:tabs>
        <w:tab w:val="left" w:pos="1440"/>
        <w:tab w:val="left" w:pos="8190"/>
        <w:tab w:val="right" w:leader="dot" w:pos="8633"/>
      </w:tabs>
      <w:spacing w:after="120" w:line="240" w:lineRule="auto"/>
      <w:ind w:left="450"/>
    </w:pPr>
    <w:rPr>
      <w:rFonts w:ascii="DINOT" w:eastAsia="Times New Roman" w:hAnsi="DINOT" w:cs="Times New Roman"/>
      <w:bCs/>
      <w:color w:val="auto"/>
      <w:sz w:val="24"/>
      <w:szCs w:val="24"/>
      <w:lang w:val="en-AU"/>
    </w:rPr>
  </w:style>
  <w:style w:type="paragraph" w:styleId="TOC5">
    <w:name w:val="toc 5"/>
    <w:basedOn w:val="Normal"/>
    <w:next w:val="Normal"/>
    <w:autoRedefine/>
    <w:semiHidden/>
    <w:rsid w:val="00D56EE8"/>
    <w:pPr>
      <w:spacing w:after="0" w:line="240" w:lineRule="auto"/>
      <w:ind w:left="960"/>
    </w:pPr>
    <w:rPr>
      <w:rFonts w:ascii="DINOT" w:eastAsia="Times New Roman" w:hAnsi="DINOT" w:cs="Times New Roman"/>
      <w:bCs/>
      <w:color w:val="auto"/>
      <w:sz w:val="24"/>
      <w:szCs w:val="24"/>
      <w:lang w:val="en-AU"/>
    </w:rPr>
  </w:style>
  <w:style w:type="paragraph" w:styleId="TOC6">
    <w:name w:val="toc 6"/>
    <w:basedOn w:val="Normal"/>
    <w:next w:val="Normal"/>
    <w:autoRedefine/>
    <w:semiHidden/>
    <w:rsid w:val="00D56EE8"/>
    <w:pPr>
      <w:spacing w:after="0" w:line="240" w:lineRule="auto"/>
      <w:ind w:left="1200"/>
    </w:pPr>
    <w:rPr>
      <w:rFonts w:ascii="DINOT" w:eastAsia="Times New Roman" w:hAnsi="DINOT" w:cs="Times New Roman"/>
      <w:bCs/>
      <w:color w:val="auto"/>
      <w:sz w:val="24"/>
      <w:szCs w:val="24"/>
      <w:lang w:val="en-AU"/>
    </w:rPr>
  </w:style>
  <w:style w:type="paragraph" w:styleId="TOC7">
    <w:name w:val="toc 7"/>
    <w:basedOn w:val="Normal"/>
    <w:next w:val="Normal"/>
    <w:autoRedefine/>
    <w:semiHidden/>
    <w:rsid w:val="00D56EE8"/>
    <w:pPr>
      <w:spacing w:after="0" w:line="240" w:lineRule="auto"/>
      <w:ind w:left="1440"/>
    </w:pPr>
    <w:rPr>
      <w:rFonts w:ascii="DINOT" w:eastAsia="Times New Roman" w:hAnsi="DINOT" w:cs="Times New Roman"/>
      <w:bCs/>
      <w:color w:val="auto"/>
      <w:sz w:val="24"/>
      <w:szCs w:val="24"/>
      <w:lang w:val="en-AU"/>
    </w:rPr>
  </w:style>
  <w:style w:type="paragraph" w:styleId="TOC8">
    <w:name w:val="toc 8"/>
    <w:basedOn w:val="Normal"/>
    <w:next w:val="Normal"/>
    <w:autoRedefine/>
    <w:semiHidden/>
    <w:rsid w:val="00D56EE8"/>
    <w:pPr>
      <w:spacing w:after="0" w:line="240" w:lineRule="auto"/>
      <w:ind w:left="1680"/>
    </w:pPr>
    <w:rPr>
      <w:rFonts w:ascii="DINOT" w:eastAsia="Times New Roman" w:hAnsi="DINOT" w:cs="Times New Roman"/>
      <w:bCs/>
      <w:color w:val="auto"/>
      <w:sz w:val="24"/>
      <w:szCs w:val="24"/>
      <w:lang w:val="en-AU"/>
    </w:rPr>
  </w:style>
  <w:style w:type="paragraph" w:styleId="TOC9">
    <w:name w:val="toc 9"/>
    <w:basedOn w:val="Normal"/>
    <w:next w:val="Normal"/>
    <w:autoRedefine/>
    <w:semiHidden/>
    <w:rsid w:val="00D56EE8"/>
    <w:pPr>
      <w:spacing w:after="0" w:line="240" w:lineRule="auto"/>
      <w:ind w:left="1920"/>
    </w:pPr>
    <w:rPr>
      <w:rFonts w:ascii="DINOT" w:eastAsia="Times New Roman" w:hAnsi="DINOT" w:cs="Times New Roman"/>
      <w:bCs/>
      <w:color w:val="auto"/>
      <w:sz w:val="24"/>
      <w:szCs w:val="24"/>
      <w:lang w:val="en-AU"/>
    </w:rPr>
  </w:style>
  <w:style w:type="character" w:styleId="PageNumber">
    <w:name w:val="page number"/>
    <w:basedOn w:val="DefaultParagraphFont"/>
    <w:rsid w:val="00D56EE8"/>
  </w:style>
  <w:style w:type="paragraph" w:styleId="ListParagraph">
    <w:name w:val="List Paragraph"/>
    <w:basedOn w:val="Normal"/>
    <w:uiPriority w:val="34"/>
    <w:qFormat/>
    <w:rsid w:val="00D56EE8"/>
    <w:pPr>
      <w:spacing w:after="0" w:line="240" w:lineRule="auto"/>
      <w:ind w:left="720"/>
    </w:pPr>
    <w:rPr>
      <w:rFonts w:ascii="DINOT" w:eastAsia="Times New Roman" w:hAnsi="DINOT" w:cs="Times New Roman"/>
      <w:bCs/>
      <w:color w:val="auto"/>
      <w:sz w:val="24"/>
      <w:szCs w:val="24"/>
      <w:lang w:val="en-AU"/>
    </w:rPr>
  </w:style>
  <w:style w:type="table" w:styleId="LightShading-Accent1">
    <w:name w:val="Light Shading Accent 1"/>
    <w:basedOn w:val="TableNormal"/>
    <w:uiPriority w:val="60"/>
    <w:rsid w:val="00D56EE8"/>
    <w:pPr>
      <w:spacing w:after="0" w:line="240" w:lineRule="auto"/>
    </w:pPr>
    <w:rPr>
      <w:rFonts w:ascii="Times New Roman" w:eastAsia="Times New Roman" w:hAnsi="Times New Roman" w:cs="Times New Roman"/>
      <w:color w:val="365F91"/>
      <w:sz w:val="20"/>
      <w:szCs w:val="20"/>
      <w:lang w:val="en-AU"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rsid w:val="00D56EE8"/>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6EE8"/>
    <w:pPr>
      <w:autoSpaceDE w:val="0"/>
      <w:autoSpaceDN w:val="0"/>
      <w:adjustRightInd w:val="0"/>
      <w:spacing w:after="0" w:line="240" w:lineRule="auto"/>
    </w:pPr>
    <w:rPr>
      <w:rFonts w:ascii="Calibri" w:eastAsia="Times New Roman" w:hAnsi="Calibri" w:cs="Calibri"/>
      <w:color w:val="000000"/>
      <w:sz w:val="24"/>
      <w:szCs w:val="24"/>
      <w:lang w:val="en-AU" w:eastAsia="en-AU"/>
    </w:rPr>
  </w:style>
  <w:style w:type="table" w:customStyle="1" w:styleId="TableGrid1">
    <w:name w:val="Table Grid1"/>
    <w:basedOn w:val="TableNormal"/>
    <w:next w:val="TableGrid"/>
    <w:rsid w:val="00D56E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D56EE8"/>
    <w:pPr>
      <w:spacing w:after="0" w:line="240" w:lineRule="auto"/>
    </w:pPr>
    <w:rPr>
      <w:rFonts w:ascii="Times New Roman" w:eastAsia="Times New Roman" w:hAnsi="Times New Roman" w:cs="Times New Roman"/>
      <w:color w:val="31849B"/>
      <w:sz w:val="20"/>
      <w:szCs w:val="20"/>
      <w:lang w:val="en-AU"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uiPriority w:val="99"/>
    <w:rsid w:val="00D56EE8"/>
    <w:rPr>
      <w:sz w:val="16"/>
      <w:szCs w:val="16"/>
    </w:rPr>
  </w:style>
  <w:style w:type="paragraph" w:customStyle="1" w:styleId="Footercoverpage">
    <w:name w:val="Footer cover page"/>
    <w:basedOn w:val="Footer"/>
    <w:link w:val="FootercoverpageChar"/>
    <w:qFormat/>
    <w:rsid w:val="00D56EE8"/>
    <w:pPr>
      <w:tabs>
        <w:tab w:val="clear" w:pos="4680"/>
        <w:tab w:val="clear" w:pos="9360"/>
        <w:tab w:val="center" w:pos="4320"/>
        <w:tab w:val="right" w:pos="8640"/>
      </w:tabs>
      <w:ind w:left="-600"/>
    </w:pPr>
    <w:rPr>
      <w:rFonts w:ascii="Arial Narrow" w:eastAsia="Times New Roman" w:hAnsi="Arial Narrow" w:cs="Arial"/>
      <w:bCs/>
      <w:color w:val="333333"/>
      <w:sz w:val="28"/>
      <w:szCs w:val="20"/>
      <w:lang w:val="en-AU"/>
    </w:rPr>
  </w:style>
  <w:style w:type="character" w:customStyle="1" w:styleId="FootercoverpageChar">
    <w:name w:val="Footer cover page Char"/>
    <w:link w:val="Footercoverpage"/>
    <w:rsid w:val="00D56EE8"/>
    <w:rPr>
      <w:rFonts w:ascii="Arial Narrow" w:eastAsia="Times New Roman" w:hAnsi="Arial Narrow" w:cs="Arial"/>
      <w:bCs/>
      <w:color w:val="333333"/>
      <w:sz w:val="28"/>
      <w:szCs w:val="20"/>
      <w:lang w:val="en-AU"/>
    </w:rPr>
  </w:style>
  <w:style w:type="paragraph" w:customStyle="1" w:styleId="Footer1">
    <w:name w:val="Footer1"/>
    <w:basedOn w:val="Footer"/>
    <w:qFormat/>
    <w:rsid w:val="00D56EE8"/>
    <w:pPr>
      <w:tabs>
        <w:tab w:val="clear" w:pos="4680"/>
        <w:tab w:val="clear" w:pos="9360"/>
        <w:tab w:val="center" w:pos="4320"/>
        <w:tab w:val="right" w:pos="8640"/>
      </w:tabs>
      <w:ind w:left="-851"/>
    </w:pPr>
    <w:rPr>
      <w:rFonts w:ascii="DINOT" w:eastAsia="Times New Roman" w:hAnsi="DINOT" w:cs="Calibri"/>
      <w:bCs/>
      <w:color w:val="auto"/>
      <w:sz w:val="20"/>
      <w:szCs w:val="20"/>
      <w:lang w:val="en-AU"/>
    </w:rPr>
  </w:style>
  <w:style w:type="paragraph" w:customStyle="1" w:styleId="Tableheader">
    <w:name w:val="Table header"/>
    <w:basedOn w:val="Normal"/>
    <w:next w:val="Normal"/>
    <w:rsid w:val="00D56EE8"/>
    <w:pPr>
      <w:keepNext/>
      <w:keepLines/>
      <w:tabs>
        <w:tab w:val="left" w:pos="1701"/>
        <w:tab w:val="center" w:pos="4248"/>
        <w:tab w:val="center" w:pos="5832"/>
        <w:tab w:val="center" w:pos="7344"/>
        <w:tab w:val="center" w:pos="8928"/>
      </w:tabs>
      <w:spacing w:before="60" w:after="60" w:line="240" w:lineRule="auto"/>
      <w:ind w:right="170"/>
      <w:jc w:val="right"/>
    </w:pPr>
    <w:rPr>
      <w:rFonts w:ascii="Arial" w:eastAsia="Times New Roman" w:hAnsi="Arial" w:cs="Times New Roman"/>
      <w:b/>
      <w:bCs/>
      <w:color w:val="auto"/>
      <w:sz w:val="16"/>
      <w:szCs w:val="24"/>
      <w:lang w:val="en-AU"/>
    </w:rPr>
  </w:style>
  <w:style w:type="paragraph" w:customStyle="1" w:styleId="tablenums">
    <w:name w:val="table nums"/>
    <w:basedOn w:val="Normal"/>
    <w:rsid w:val="00D56EE8"/>
    <w:pPr>
      <w:keepNext/>
      <w:keepLines/>
      <w:tabs>
        <w:tab w:val="left" w:pos="1701"/>
        <w:tab w:val="center" w:pos="4248"/>
        <w:tab w:val="center" w:pos="5832"/>
        <w:tab w:val="center" w:pos="7344"/>
        <w:tab w:val="center" w:pos="8928"/>
      </w:tabs>
      <w:spacing w:before="60" w:after="60" w:line="240" w:lineRule="auto"/>
      <w:ind w:right="170"/>
      <w:jc w:val="right"/>
    </w:pPr>
    <w:rPr>
      <w:rFonts w:ascii="Arial" w:eastAsia="Times New Roman" w:hAnsi="Arial" w:cs="Times New Roman"/>
      <w:bCs/>
      <w:color w:val="auto"/>
      <w:sz w:val="16"/>
      <w:szCs w:val="24"/>
      <w:lang w:val="en-AU"/>
    </w:rPr>
  </w:style>
  <w:style w:type="paragraph" w:customStyle="1" w:styleId="table">
    <w:name w:val="table"/>
    <w:basedOn w:val="Normal"/>
    <w:rsid w:val="00D56EE8"/>
    <w:pPr>
      <w:keepNext/>
      <w:keepLines/>
      <w:tabs>
        <w:tab w:val="left" w:pos="1701"/>
        <w:tab w:val="center" w:pos="4248"/>
        <w:tab w:val="center" w:pos="5832"/>
        <w:tab w:val="center" w:pos="7344"/>
        <w:tab w:val="center" w:pos="8928"/>
      </w:tabs>
      <w:spacing w:before="80" w:after="80" w:line="240" w:lineRule="auto"/>
    </w:pPr>
    <w:rPr>
      <w:rFonts w:ascii="Arial" w:eastAsia="Times New Roman" w:hAnsi="Arial" w:cs="Times New Roman"/>
      <w:bCs/>
      <w:color w:val="auto"/>
      <w:sz w:val="16"/>
      <w:szCs w:val="20"/>
      <w:lang w:val="en-AU"/>
    </w:rPr>
  </w:style>
  <w:style w:type="table" w:customStyle="1" w:styleId="GridTable1Light-Accent21">
    <w:name w:val="Grid Table 1 Light - Accent 21"/>
    <w:basedOn w:val="TableNormal"/>
    <w:uiPriority w:val="46"/>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StyleHeading3Arial16ptBold">
    <w:name w:val="Style Heading 3 + Arial 16 pt Bold"/>
    <w:basedOn w:val="Heading3"/>
    <w:link w:val="StyleHeading3Arial16ptBoldChar"/>
    <w:autoRedefine/>
    <w:rsid w:val="00D56EE8"/>
    <w:pPr>
      <w:keepNext w:val="0"/>
      <w:keepLines w:val="0"/>
      <w:widowControl w:val="0"/>
      <w:autoSpaceDE w:val="0"/>
      <w:autoSpaceDN w:val="0"/>
      <w:adjustRightInd w:val="0"/>
      <w:spacing w:before="0" w:line="240" w:lineRule="auto"/>
    </w:pPr>
    <w:rPr>
      <w:rFonts w:ascii="Arial Bold" w:eastAsia="Times New Roman" w:hAnsi="Arial Bold" w:cs="Times New Roman"/>
      <w:color w:val="auto"/>
      <w:sz w:val="24"/>
    </w:rPr>
  </w:style>
  <w:style w:type="character" w:customStyle="1" w:styleId="StyleHeading3Arial16ptBoldChar">
    <w:name w:val="Style Heading 3 + Arial 16 pt Bold Char"/>
    <w:link w:val="StyleHeading3Arial16ptBold"/>
    <w:rsid w:val="00D56EE8"/>
    <w:rPr>
      <w:rFonts w:ascii="Arial Bold" w:eastAsia="Times New Roman" w:hAnsi="Arial Bold" w:cs="Times New Roman"/>
      <w:sz w:val="24"/>
      <w:szCs w:val="24"/>
    </w:rPr>
  </w:style>
  <w:style w:type="character" w:styleId="FootnoteReference">
    <w:name w:val="footnote reference"/>
    <w:basedOn w:val="DefaultParagraphFont"/>
    <w:uiPriority w:val="99"/>
    <w:unhideWhenUsed/>
    <w:rsid w:val="00D56EE8"/>
    <w:rPr>
      <w:vertAlign w:val="superscript"/>
    </w:rPr>
  </w:style>
  <w:style w:type="paragraph" w:styleId="NoSpacing">
    <w:name w:val="No Spacing"/>
    <w:uiPriority w:val="1"/>
    <w:qFormat/>
    <w:rsid w:val="00D56EE8"/>
    <w:pPr>
      <w:spacing w:after="0" w:line="240" w:lineRule="auto"/>
    </w:pPr>
    <w:rPr>
      <w:lang w:val="en-AU"/>
    </w:rPr>
  </w:style>
  <w:style w:type="paragraph" w:customStyle="1" w:styleId="Tableheading">
    <w:name w:val="Table heading"/>
    <w:basedOn w:val="Normal"/>
    <w:qFormat/>
    <w:rsid w:val="00D56EE8"/>
    <w:pPr>
      <w:spacing w:after="0" w:line="240" w:lineRule="auto"/>
      <w:jc w:val="center"/>
    </w:pPr>
    <w:rPr>
      <w:rFonts w:ascii="Chalet-ParisNineteenSixty" w:eastAsia="Times New Roman" w:hAnsi="Chalet-ParisNineteenSixty" w:cs="Arial"/>
      <w:b/>
      <w:bCs/>
      <w:color w:val="auto"/>
      <w:sz w:val="24"/>
      <w:szCs w:val="24"/>
      <w:lang w:val="en-AU"/>
    </w:rPr>
  </w:style>
  <w:style w:type="paragraph" w:customStyle="1" w:styleId="Source">
    <w:name w:val="Source"/>
    <w:basedOn w:val="Caption"/>
    <w:link w:val="SourceChar"/>
    <w:qFormat/>
    <w:rsid w:val="00D56EE8"/>
    <w:pPr>
      <w:ind w:left="-180" w:firstLine="900"/>
    </w:pPr>
    <w:rPr>
      <w:rFonts w:cs="Arial"/>
      <w:b w:val="0"/>
      <w:sz w:val="20"/>
    </w:rPr>
  </w:style>
  <w:style w:type="table" w:customStyle="1" w:styleId="GridTable1Light-Accent22">
    <w:name w:val="Grid Table 1 Light - Accent 22"/>
    <w:basedOn w:val="TableNormal"/>
    <w:uiPriority w:val="46"/>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Tabletext">
    <w:name w:val="Table text"/>
    <w:basedOn w:val="Normal"/>
    <w:qFormat/>
    <w:rsid w:val="00D56EE8"/>
    <w:pPr>
      <w:spacing w:after="0" w:line="240" w:lineRule="auto"/>
    </w:pPr>
    <w:rPr>
      <w:rFonts w:ascii="Myriad Pro" w:eastAsia="Times New Roman" w:hAnsi="Myriad Pro" w:cs="Arial"/>
      <w:bCs/>
      <w:color w:val="auto"/>
      <w:sz w:val="20"/>
      <w:szCs w:val="20"/>
      <w:lang w:val="en-AU"/>
    </w:rPr>
  </w:style>
  <w:style w:type="paragraph" w:styleId="TOCHeading">
    <w:name w:val="TOC Heading"/>
    <w:basedOn w:val="Heading1"/>
    <w:next w:val="Normal"/>
    <w:uiPriority w:val="39"/>
    <w:unhideWhenUsed/>
    <w:qFormat/>
    <w:rsid w:val="00D56EE8"/>
    <w:pPr>
      <w:spacing w:before="0"/>
      <w:outlineLvl w:val="9"/>
    </w:pPr>
    <w:rPr>
      <w:rFonts w:asciiTheme="majorHAnsi" w:hAnsiTheme="majorHAnsi"/>
      <w:b/>
      <w:bCs/>
      <w:color w:val="2E74B5" w:themeColor="accent1" w:themeShade="BF"/>
      <w:sz w:val="32"/>
    </w:rPr>
  </w:style>
  <w:style w:type="paragraph" w:styleId="Revision">
    <w:name w:val="Revision"/>
    <w:hidden/>
    <w:uiPriority w:val="99"/>
    <w:semiHidden/>
    <w:rsid w:val="00D56EE8"/>
    <w:pPr>
      <w:spacing w:after="0" w:line="240" w:lineRule="auto"/>
    </w:pPr>
    <w:rPr>
      <w:rFonts w:ascii="DIN Light" w:eastAsia="Times New Roman" w:hAnsi="DIN Light" w:cs="Times New Roman"/>
      <w:bCs/>
      <w:sz w:val="24"/>
      <w:szCs w:val="24"/>
      <w:lang w:val="en-AU"/>
    </w:rPr>
  </w:style>
  <w:style w:type="paragraph" w:customStyle="1" w:styleId="Footnote1">
    <w:name w:val="Footnote1"/>
    <w:basedOn w:val="FootnoteText"/>
    <w:link w:val="Footnote1Char"/>
    <w:qFormat/>
    <w:rsid w:val="00D56EE8"/>
    <w:rPr>
      <w:rFonts w:cstheme="minorHAnsi"/>
      <w:sz w:val="16"/>
      <w:szCs w:val="16"/>
    </w:rPr>
  </w:style>
  <w:style w:type="character" w:customStyle="1" w:styleId="Footnote1Char">
    <w:name w:val="Footnote1 Char"/>
    <w:basedOn w:val="FootnoteTextChar"/>
    <w:link w:val="Footnote1"/>
    <w:rsid w:val="00D56EE8"/>
    <w:rPr>
      <w:rFonts w:ascii="DINOT" w:eastAsia="Times New Roman" w:hAnsi="DINOT" w:cstheme="minorHAnsi"/>
      <w:bCs/>
      <w:sz w:val="16"/>
      <w:szCs w:val="16"/>
      <w:lang w:val="en-AU"/>
    </w:rPr>
  </w:style>
  <w:style w:type="character" w:styleId="BookTitle">
    <w:name w:val="Book Title"/>
    <w:uiPriority w:val="33"/>
    <w:qFormat/>
    <w:rsid w:val="00D56EE8"/>
    <w:rPr>
      <w:rFonts w:ascii="Arial" w:hAnsi="Arial" w:cs="Arial"/>
      <w:sz w:val="38"/>
    </w:rPr>
  </w:style>
  <w:style w:type="paragraph" w:customStyle="1" w:styleId="Subtitlemainpage">
    <w:name w:val="Subtitle main page"/>
    <w:basedOn w:val="Normal"/>
    <w:link w:val="SubtitlemainpageChar"/>
    <w:qFormat/>
    <w:rsid w:val="00D56EE8"/>
    <w:pPr>
      <w:spacing w:before="200" w:after="0" w:line="276" w:lineRule="auto"/>
      <w:jc w:val="both"/>
    </w:pPr>
    <w:rPr>
      <w:rFonts w:ascii="Arial" w:eastAsia="Times New Roman" w:hAnsi="Arial" w:cs="Arial"/>
      <w:noProof/>
      <w:color w:val="FFFFFF"/>
      <w:sz w:val="38"/>
      <w:szCs w:val="24"/>
      <w:lang w:val="en-AU"/>
    </w:rPr>
  </w:style>
  <w:style w:type="paragraph" w:customStyle="1" w:styleId="Maintitlecoverpage">
    <w:name w:val="Main title cover page"/>
    <w:basedOn w:val="Normal"/>
    <w:link w:val="MaintitlecoverpageChar"/>
    <w:qFormat/>
    <w:rsid w:val="00D56EE8"/>
    <w:pPr>
      <w:spacing w:before="200" w:after="120" w:line="276" w:lineRule="auto"/>
      <w:jc w:val="both"/>
    </w:pPr>
    <w:rPr>
      <w:rFonts w:ascii="Arial" w:eastAsia="Times New Roman" w:hAnsi="Arial" w:cs="Times New Roman"/>
      <w:noProof/>
      <w:color w:val="FFFFFF"/>
      <w:sz w:val="54"/>
      <w:szCs w:val="24"/>
      <w:lang w:val="en-AU"/>
    </w:rPr>
  </w:style>
  <w:style w:type="character" w:customStyle="1" w:styleId="SubtitlemainpageChar">
    <w:name w:val="Subtitle main page Char"/>
    <w:link w:val="Subtitlemainpage"/>
    <w:rsid w:val="00D56EE8"/>
    <w:rPr>
      <w:rFonts w:ascii="Arial" w:eastAsia="Times New Roman" w:hAnsi="Arial" w:cs="Arial"/>
      <w:noProof/>
      <w:color w:val="FFFFFF"/>
      <w:sz w:val="38"/>
      <w:szCs w:val="24"/>
      <w:lang w:val="en-AU"/>
    </w:rPr>
  </w:style>
  <w:style w:type="character" w:customStyle="1" w:styleId="MaintitlecoverpageChar">
    <w:name w:val="Main title cover page Char"/>
    <w:link w:val="Maintitlecoverpage"/>
    <w:rsid w:val="00D56EE8"/>
    <w:rPr>
      <w:rFonts w:ascii="Arial" w:eastAsia="Times New Roman" w:hAnsi="Arial" w:cs="Times New Roman"/>
      <w:noProof/>
      <w:color w:val="FFFFFF"/>
      <w:sz w:val="54"/>
      <w:szCs w:val="24"/>
      <w:lang w:val="en-AU"/>
    </w:rPr>
  </w:style>
  <w:style w:type="paragraph" w:customStyle="1" w:styleId="footnotesandtabletext">
    <w:name w:val="footnotes and table text"/>
    <w:basedOn w:val="Normal"/>
    <w:qFormat/>
    <w:rsid w:val="00D56EE8"/>
    <w:pPr>
      <w:spacing w:after="0" w:line="240" w:lineRule="auto"/>
      <w:jc w:val="both"/>
    </w:pPr>
    <w:rPr>
      <w:rFonts w:ascii="Gill Sans MT" w:eastAsia="Times New Roman" w:hAnsi="Gill Sans MT" w:cs="Calibri"/>
      <w:iCs/>
      <w:noProof/>
      <w:color w:val="auto"/>
      <w:sz w:val="20"/>
      <w:szCs w:val="20"/>
      <w:lang w:val="en-AU"/>
    </w:rPr>
  </w:style>
  <w:style w:type="character" w:customStyle="1" w:styleId="SourceChar">
    <w:name w:val="Source Char"/>
    <w:link w:val="Source"/>
    <w:rsid w:val="00D56EE8"/>
    <w:rPr>
      <w:rFonts w:ascii="DINOT" w:eastAsia="Times New Roman" w:hAnsi="DINOT" w:cs="Arial"/>
      <w:sz w:val="20"/>
      <w:szCs w:val="24"/>
      <w:lang w:val="en-AU"/>
    </w:rPr>
  </w:style>
  <w:style w:type="paragraph" w:customStyle="1" w:styleId="Notes">
    <w:name w:val="Notes"/>
    <w:basedOn w:val="Normal"/>
    <w:rsid w:val="00D56EE8"/>
    <w:pPr>
      <w:spacing w:before="40" w:after="40" w:line="276" w:lineRule="auto"/>
      <w:ind w:left="567" w:right="567"/>
      <w:jc w:val="both"/>
    </w:pPr>
    <w:rPr>
      <w:rFonts w:eastAsia="Times New Roman" w:cs="Calibri"/>
      <w:color w:val="auto"/>
      <w:sz w:val="16"/>
      <w:szCs w:val="20"/>
      <w:lang w:eastAsia="en-AU"/>
    </w:rPr>
  </w:style>
  <w:style w:type="paragraph" w:customStyle="1" w:styleId="CostrevenueCharChar">
    <w:name w:val="Cost &amp; revenue Char Char"/>
    <w:basedOn w:val="Normal"/>
    <w:link w:val="CostrevenueCharCharChar"/>
    <w:rsid w:val="00D56EE8"/>
    <w:pPr>
      <w:numPr>
        <w:ilvl w:val="12"/>
      </w:numPr>
      <w:tabs>
        <w:tab w:val="left" w:pos="1021"/>
      </w:tabs>
      <w:suppressAutoHyphens/>
      <w:spacing w:before="80" w:after="120" w:line="276" w:lineRule="auto"/>
      <w:ind w:left="567"/>
      <w:jc w:val="right"/>
    </w:pPr>
    <w:rPr>
      <w:rFonts w:ascii="Book Antiqua" w:eastAsia="Times New Roman" w:hAnsi="Book Antiqua" w:cs="Times New Roman"/>
      <w:b/>
      <w:color w:val="auto"/>
      <w:spacing w:val="-2"/>
      <w:lang w:val="en-GB"/>
    </w:rPr>
  </w:style>
  <w:style w:type="character" w:customStyle="1" w:styleId="CostrevenueCharCharChar">
    <w:name w:val="Cost &amp; revenue Char Char Char"/>
    <w:link w:val="CostrevenueCharChar"/>
    <w:rsid w:val="00D56EE8"/>
    <w:rPr>
      <w:rFonts w:ascii="Book Antiqua" w:eastAsia="Times New Roman" w:hAnsi="Book Antiqua" w:cs="Times New Roman"/>
      <w:b/>
      <w:spacing w:val="-2"/>
      <w:lang w:val="en-GB"/>
    </w:rPr>
  </w:style>
  <w:style w:type="paragraph" w:customStyle="1" w:styleId="Subtitle2coverpage">
    <w:name w:val="Subtitle 2 cover page"/>
    <w:basedOn w:val="Normal"/>
    <w:link w:val="Subtitle2coverpageChar"/>
    <w:qFormat/>
    <w:rsid w:val="00D56EE8"/>
    <w:pPr>
      <w:spacing w:before="200" w:after="0" w:line="276" w:lineRule="auto"/>
      <w:jc w:val="both"/>
    </w:pPr>
    <w:rPr>
      <w:rFonts w:ascii="Arial" w:eastAsia="Times New Roman" w:hAnsi="Arial" w:cs="Times New Roman"/>
      <w:noProof/>
      <w:color w:val="FFFFFF"/>
      <w:sz w:val="28"/>
      <w:szCs w:val="28"/>
      <w:lang w:val="en-AU"/>
    </w:rPr>
  </w:style>
  <w:style w:type="character" w:customStyle="1" w:styleId="Subtitle2coverpageChar">
    <w:name w:val="Subtitle 2 cover page Char"/>
    <w:link w:val="Subtitle2coverpage"/>
    <w:rsid w:val="00D56EE8"/>
    <w:rPr>
      <w:rFonts w:ascii="Arial" w:eastAsia="Times New Roman" w:hAnsi="Arial" w:cs="Times New Roman"/>
      <w:noProof/>
      <w:color w:val="FFFFFF"/>
      <w:sz w:val="28"/>
      <w:szCs w:val="28"/>
      <w:lang w:val="en-AU"/>
    </w:rPr>
  </w:style>
  <w:style w:type="paragraph" w:styleId="Quote">
    <w:name w:val="Quote"/>
    <w:basedOn w:val="Normal"/>
    <w:next w:val="Normal"/>
    <w:link w:val="QuoteChar"/>
    <w:uiPriority w:val="29"/>
    <w:qFormat/>
    <w:rsid w:val="00D56EE8"/>
    <w:pPr>
      <w:spacing w:before="200" w:after="0" w:line="276" w:lineRule="auto"/>
      <w:ind w:left="709"/>
      <w:jc w:val="both"/>
    </w:pPr>
    <w:rPr>
      <w:rFonts w:ascii="Gill Sans MT" w:eastAsia="Times New Roman" w:hAnsi="Gill Sans MT" w:cs="Times New Roman"/>
      <w:noProof/>
      <w:color w:val="auto"/>
      <w:lang w:val="en-AU"/>
    </w:rPr>
  </w:style>
  <w:style w:type="character" w:customStyle="1" w:styleId="QuoteChar">
    <w:name w:val="Quote Char"/>
    <w:basedOn w:val="DefaultParagraphFont"/>
    <w:link w:val="Quote"/>
    <w:uiPriority w:val="29"/>
    <w:rsid w:val="00D56EE8"/>
    <w:rPr>
      <w:rFonts w:ascii="Gill Sans MT" w:eastAsia="Times New Roman" w:hAnsi="Gill Sans MT" w:cs="Times New Roman"/>
      <w:noProof/>
      <w:lang w:val="en-AU"/>
    </w:rPr>
  </w:style>
  <w:style w:type="paragraph" w:customStyle="1" w:styleId="Bullets">
    <w:name w:val="Bullets"/>
    <w:basedOn w:val="Normal"/>
    <w:link w:val="BulletsChar"/>
    <w:qFormat/>
    <w:rsid w:val="00D56EE8"/>
    <w:pPr>
      <w:numPr>
        <w:numId w:val="14"/>
      </w:numPr>
      <w:spacing w:after="0" w:line="276" w:lineRule="auto"/>
      <w:ind w:left="714" w:hanging="357"/>
      <w:jc w:val="both"/>
    </w:pPr>
    <w:rPr>
      <w:rFonts w:ascii="Gill Sans MT" w:eastAsia="Times New Roman" w:hAnsi="Gill Sans MT" w:cs="Times New Roman"/>
      <w:noProof/>
      <w:color w:val="auto"/>
      <w:lang w:val="en-AU"/>
    </w:rPr>
  </w:style>
  <w:style w:type="table" w:customStyle="1" w:styleId="LightShading-Accent11">
    <w:name w:val="Light Shading - Accent 11"/>
    <w:basedOn w:val="TableNormal"/>
    <w:uiPriority w:val="60"/>
    <w:rsid w:val="00D56EE8"/>
    <w:pPr>
      <w:spacing w:after="0" w:line="240" w:lineRule="auto"/>
    </w:pPr>
    <w:rPr>
      <w:rFonts w:ascii="Times New Roman" w:eastAsia="Times New Roman" w:hAnsi="Times New Roman" w:cs="Times New Roman"/>
      <w:color w:val="365F91"/>
      <w:sz w:val="20"/>
      <w:szCs w:val="20"/>
      <w:lang w:val="en-AU"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BulletsChar">
    <w:name w:val="Bullets Char"/>
    <w:link w:val="Bullets"/>
    <w:rsid w:val="00D56EE8"/>
    <w:rPr>
      <w:rFonts w:ascii="Gill Sans MT" w:eastAsia="Times New Roman" w:hAnsi="Gill Sans MT" w:cs="Times New Roman"/>
      <w:noProof/>
      <w:lang w:val="en-AU"/>
    </w:rPr>
  </w:style>
  <w:style w:type="character" w:styleId="Strong">
    <w:name w:val="Strong"/>
    <w:uiPriority w:val="22"/>
    <w:qFormat/>
    <w:rsid w:val="00D56EE8"/>
    <w:rPr>
      <w:b/>
      <w:bCs/>
    </w:rPr>
  </w:style>
  <w:style w:type="character" w:customStyle="1" w:styleId="Style1">
    <w:name w:val="Style1"/>
    <w:rsid w:val="00D56EE8"/>
    <w:rPr>
      <w:rFonts w:ascii="Arial" w:hAnsi="Arial"/>
      <w:sz w:val="22"/>
      <w:szCs w:val="22"/>
    </w:rPr>
  </w:style>
  <w:style w:type="paragraph" w:customStyle="1" w:styleId="Style3">
    <w:name w:val="Style3"/>
    <w:basedOn w:val="Normal"/>
    <w:rsid w:val="00D56EE8"/>
    <w:pPr>
      <w:spacing w:after="0" w:line="240" w:lineRule="auto"/>
      <w:jc w:val="both"/>
    </w:pPr>
    <w:rPr>
      <w:rFonts w:ascii="Times New Roman" w:eastAsia="Times New Roman" w:hAnsi="Times New Roman" w:cs="Times New Roman"/>
      <w:color w:val="auto"/>
      <w:sz w:val="24"/>
      <w:lang w:val="en-AU" w:eastAsia="en-AU"/>
    </w:rPr>
  </w:style>
  <w:style w:type="paragraph" w:customStyle="1" w:styleId="subsection">
    <w:name w:val="subsection"/>
    <w:basedOn w:val="Normal"/>
    <w:rsid w:val="00D56EE8"/>
    <w:pP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formula">
    <w:name w:val="formula"/>
    <w:basedOn w:val="Normal"/>
    <w:rsid w:val="00D56EE8"/>
    <w:pP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subsection2">
    <w:name w:val="subsection2"/>
    <w:basedOn w:val="Normal"/>
    <w:rsid w:val="00D56EE8"/>
    <w:pPr>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definition">
    <w:name w:val="definition"/>
    <w:basedOn w:val="Normal"/>
    <w:rsid w:val="00D56EE8"/>
    <w:pPr>
      <w:spacing w:before="100" w:beforeAutospacing="1" w:after="100" w:afterAutospacing="1" w:line="240" w:lineRule="auto"/>
      <w:jc w:val="both"/>
    </w:pPr>
    <w:rPr>
      <w:rFonts w:ascii="Times New Roman" w:eastAsia="Times New Roman" w:hAnsi="Times New Roman" w:cs="Times New Roman"/>
      <w:color w:val="auto"/>
      <w:sz w:val="24"/>
      <w:szCs w:val="24"/>
    </w:rPr>
  </w:style>
  <w:style w:type="character" w:styleId="Emphasis">
    <w:name w:val="Emphasis"/>
    <w:uiPriority w:val="20"/>
    <w:qFormat/>
    <w:rsid w:val="00D56EE8"/>
    <w:rPr>
      <w:i/>
      <w:iCs/>
    </w:rPr>
  </w:style>
  <w:style w:type="paragraph" w:customStyle="1" w:styleId="TableTitle">
    <w:name w:val="Table Title"/>
    <w:basedOn w:val="Normal"/>
    <w:rsid w:val="00D56EE8"/>
    <w:pPr>
      <w:keepNext/>
      <w:spacing w:after="240" w:line="276" w:lineRule="auto"/>
      <w:jc w:val="center"/>
    </w:pPr>
    <w:rPr>
      <w:rFonts w:ascii="Arial" w:eastAsia="Times New Roman" w:hAnsi="Arial" w:cs="Arial"/>
      <w:b/>
      <w:bCs/>
      <w:color w:val="auto"/>
      <w:sz w:val="18"/>
      <w:lang w:val="en-AU" w:eastAsia="en-AU"/>
    </w:rPr>
  </w:style>
  <w:style w:type="paragraph" w:customStyle="1" w:styleId="Biblio-Entry">
    <w:name w:val="Biblio-Entry"/>
    <w:basedOn w:val="BodyText"/>
    <w:rsid w:val="00D56EE8"/>
    <w:pPr>
      <w:spacing w:after="240" w:line="276" w:lineRule="auto"/>
      <w:ind w:left="567" w:hanging="567"/>
      <w:jc w:val="both"/>
    </w:pPr>
    <w:rPr>
      <w:rFonts w:ascii="Gill Sans MT" w:hAnsi="Gill Sans MT"/>
      <w:bCs w:val="0"/>
      <w:sz w:val="22"/>
      <w:szCs w:val="22"/>
    </w:rPr>
  </w:style>
  <w:style w:type="paragraph" w:customStyle="1" w:styleId="figure1">
    <w:name w:val="figure1"/>
    <w:basedOn w:val="Normal"/>
    <w:rsid w:val="00D56EE8"/>
    <w:pPr>
      <w:spacing w:before="100" w:beforeAutospacing="1" w:after="100" w:afterAutospacing="1" w:line="240" w:lineRule="auto"/>
      <w:jc w:val="both"/>
    </w:pPr>
    <w:rPr>
      <w:rFonts w:ascii="Arial" w:eastAsia="Times New Roman" w:hAnsi="Arial" w:cs="Arial"/>
      <w:b/>
      <w:bCs/>
      <w:color w:val="660033"/>
    </w:rPr>
  </w:style>
  <w:style w:type="paragraph" w:customStyle="1" w:styleId="small1">
    <w:name w:val="small1"/>
    <w:basedOn w:val="Normal"/>
    <w:rsid w:val="00D56EE8"/>
    <w:pPr>
      <w:spacing w:before="100" w:beforeAutospacing="1" w:after="100" w:afterAutospacing="1" w:line="240" w:lineRule="auto"/>
      <w:jc w:val="both"/>
    </w:pPr>
    <w:rPr>
      <w:rFonts w:ascii="Arial" w:eastAsia="Times New Roman" w:hAnsi="Arial" w:cs="Arial"/>
      <w:color w:val="000000"/>
      <w:sz w:val="20"/>
      <w:szCs w:val="20"/>
    </w:rPr>
  </w:style>
  <w:style w:type="table" w:styleId="TableGrid10">
    <w:name w:val="Table Grid 1"/>
    <w:basedOn w:val="TableNormal"/>
    <w:rsid w:val="00D56EE8"/>
    <w:pPr>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porttitle">
    <w:name w:val="Report title"/>
    <w:basedOn w:val="Normal"/>
    <w:rsid w:val="00D56EE8"/>
    <w:pPr>
      <w:spacing w:after="0" w:line="240" w:lineRule="auto"/>
      <w:jc w:val="right"/>
    </w:pPr>
    <w:rPr>
      <w:rFonts w:ascii="Arial" w:eastAsia="Times New Roman" w:hAnsi="Arial" w:cs="Arial"/>
      <w:b/>
      <w:bCs/>
      <w:color w:val="auto"/>
      <w:sz w:val="50"/>
      <w:szCs w:val="24"/>
      <w:lang w:val="en-AU"/>
    </w:rPr>
  </w:style>
  <w:style w:type="paragraph" w:customStyle="1" w:styleId="reportheading1">
    <w:name w:val="report heading 1"/>
    <w:basedOn w:val="Normal"/>
    <w:rsid w:val="00D56EE8"/>
    <w:pPr>
      <w:spacing w:after="120" w:line="230" w:lineRule="exact"/>
      <w:jc w:val="both"/>
    </w:pPr>
    <w:rPr>
      <w:rFonts w:ascii="Arial" w:eastAsia="Times New Roman" w:hAnsi="Arial" w:cs="Arial"/>
      <w:b/>
      <w:bCs/>
      <w:color w:val="auto"/>
      <w:sz w:val="24"/>
      <w:szCs w:val="24"/>
      <w:lang w:val="en-AU"/>
    </w:rPr>
  </w:style>
  <w:style w:type="paragraph" w:customStyle="1" w:styleId="StyleArial10ptJustifiedAfter12ptLinespacingExactl">
    <w:name w:val="Style Arial 10 pt Justified After:  12 pt Line spacing:  Exactl..."/>
    <w:basedOn w:val="Normal"/>
    <w:autoRedefine/>
    <w:rsid w:val="00D56EE8"/>
    <w:pPr>
      <w:widowControl w:val="0"/>
      <w:adjustRightInd w:val="0"/>
      <w:spacing w:after="240" w:line="240" w:lineRule="exact"/>
      <w:jc w:val="both"/>
      <w:textAlignment w:val="baseline"/>
    </w:pPr>
    <w:rPr>
      <w:rFonts w:ascii="Arial" w:eastAsia="Times New Roman" w:hAnsi="Arial" w:cs="Times New Roman"/>
      <w:color w:val="auto"/>
      <w:lang w:val="en-AU"/>
    </w:rPr>
  </w:style>
  <w:style w:type="paragraph" w:customStyle="1" w:styleId="Caption2">
    <w:name w:val="Caption2"/>
    <w:link w:val="Caption2Char"/>
    <w:autoRedefine/>
    <w:qFormat/>
    <w:rsid w:val="00D56EE8"/>
    <w:pPr>
      <w:spacing w:after="120" w:line="276" w:lineRule="auto"/>
      <w:jc w:val="center"/>
    </w:pPr>
    <w:rPr>
      <w:rFonts w:cstheme="minorHAnsi"/>
      <w:sz w:val="18"/>
      <w:szCs w:val="18"/>
      <w:lang w:val="en-AU"/>
    </w:rPr>
  </w:style>
  <w:style w:type="character" w:customStyle="1" w:styleId="Caption2Char">
    <w:name w:val="Caption2 Char"/>
    <w:basedOn w:val="DefaultParagraphFont"/>
    <w:link w:val="Caption2"/>
    <w:rsid w:val="00D56EE8"/>
    <w:rPr>
      <w:rFonts w:cstheme="minorHAnsi"/>
      <w:sz w:val="18"/>
      <w:szCs w:val="18"/>
      <w:lang w:val="en-AU"/>
    </w:rPr>
  </w:style>
  <w:style w:type="paragraph" w:customStyle="1" w:styleId="TableText12">
    <w:name w:val="Table Text 12"/>
    <w:basedOn w:val="Normal"/>
    <w:rsid w:val="00D56EE8"/>
    <w:pPr>
      <w:keepNext/>
      <w:keepLines/>
      <w:spacing w:after="120" w:line="276" w:lineRule="auto"/>
      <w:jc w:val="both"/>
      <w:outlineLvl w:val="4"/>
    </w:pPr>
    <w:rPr>
      <w:rFonts w:ascii="Segoe UI" w:eastAsia="Times New Roman" w:hAnsi="Segoe UI" w:cs="Segoe UI"/>
      <w:color w:val="auto"/>
      <w:szCs w:val="20"/>
      <w:lang w:val="en-AU"/>
    </w:rPr>
  </w:style>
  <w:style w:type="table" w:styleId="LightList-Accent5">
    <w:name w:val="Light List Accent 5"/>
    <w:basedOn w:val="TableNormal"/>
    <w:uiPriority w:val="61"/>
    <w:rsid w:val="00D56EE8"/>
    <w:pPr>
      <w:spacing w:after="0" w:line="240" w:lineRule="auto"/>
    </w:pPr>
    <w:rPr>
      <w:lang w:val="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FOOTNOTES">
    <w:name w:val="FOOTNOTES"/>
    <w:basedOn w:val="FootnoteText"/>
    <w:qFormat/>
    <w:rsid w:val="00D56EE8"/>
    <w:pPr>
      <w:contextualSpacing/>
    </w:pPr>
    <w:rPr>
      <w:rFonts w:ascii="Gill Sans MT" w:hAnsi="Gill Sans MT" w:cstheme="minorHAnsi"/>
      <w:bCs w:val="0"/>
      <w:noProof/>
      <w:sz w:val="20"/>
    </w:rPr>
  </w:style>
  <w:style w:type="character" w:customStyle="1" w:styleId="apple-converted-space">
    <w:name w:val="apple-converted-space"/>
    <w:basedOn w:val="DefaultParagraphFont"/>
    <w:rsid w:val="00D56EE8"/>
  </w:style>
  <w:style w:type="table" w:customStyle="1" w:styleId="ListTable31">
    <w:name w:val="List Table 31"/>
    <w:basedOn w:val="TableNormal"/>
    <w:uiPriority w:val="48"/>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41">
    <w:name w:val="Grid Table 3 - Accent 41"/>
    <w:basedOn w:val="TableNormal"/>
    <w:uiPriority w:val="48"/>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1Light-Accent41">
    <w:name w:val="List Table 1 Light - Accent 41"/>
    <w:basedOn w:val="TableNormal"/>
    <w:uiPriority w:val="46"/>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3-Accent42">
    <w:name w:val="Grid Table 3 - Accent 42"/>
    <w:basedOn w:val="TableNormal"/>
    <w:uiPriority w:val="48"/>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3-Accent21">
    <w:name w:val="List Table 3 - Accent 21"/>
    <w:basedOn w:val="TableNormal"/>
    <w:uiPriority w:val="48"/>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Pa0">
    <w:name w:val="Pa0"/>
    <w:basedOn w:val="Default"/>
    <w:next w:val="Default"/>
    <w:uiPriority w:val="99"/>
    <w:rsid w:val="00D56EE8"/>
    <w:pPr>
      <w:spacing w:line="241" w:lineRule="atLeast"/>
    </w:pPr>
    <w:rPr>
      <w:rFonts w:ascii="Sommet Bold" w:hAnsi="Sommet Bold" w:cs="Times New Roman"/>
      <w:color w:val="auto"/>
    </w:rPr>
  </w:style>
  <w:style w:type="character" w:customStyle="1" w:styleId="A0">
    <w:name w:val="A0"/>
    <w:uiPriority w:val="99"/>
    <w:rsid w:val="00D56EE8"/>
    <w:rPr>
      <w:rFonts w:cs="Sommet Bold"/>
      <w:b/>
      <w:bCs/>
      <w:color w:val="000000"/>
      <w:sz w:val="42"/>
      <w:szCs w:val="42"/>
    </w:rPr>
  </w:style>
  <w:style w:type="character" w:customStyle="1" w:styleId="A1">
    <w:name w:val="A1"/>
    <w:uiPriority w:val="99"/>
    <w:rsid w:val="00D56EE8"/>
    <w:rPr>
      <w:rFonts w:cs="Sommet Bold"/>
      <w:b/>
      <w:bCs/>
      <w:color w:val="000000"/>
      <w:sz w:val="32"/>
      <w:szCs w:val="32"/>
    </w:rPr>
  </w:style>
  <w:style w:type="character" w:customStyle="1" w:styleId="UnresolvedMention1">
    <w:name w:val="Unresolved Mention1"/>
    <w:basedOn w:val="DefaultParagraphFont"/>
    <w:uiPriority w:val="99"/>
    <w:semiHidden/>
    <w:unhideWhenUsed/>
    <w:rsid w:val="00D56EE8"/>
    <w:rPr>
      <w:color w:val="808080"/>
      <w:shd w:val="clear" w:color="auto" w:fill="E6E6E6"/>
    </w:rPr>
  </w:style>
  <w:style w:type="table" w:styleId="GridTable2-Accent6">
    <w:name w:val="Grid Table 2 Accent 6"/>
    <w:basedOn w:val="TableNormal"/>
    <w:uiPriority w:val="47"/>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4">
    <w:name w:val="Grid Table 4 Accent 4"/>
    <w:basedOn w:val="TableNormal"/>
    <w:uiPriority w:val="49"/>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tar">
    <w:name w:val="star"/>
    <w:basedOn w:val="DefaultParagraphFont"/>
    <w:rsid w:val="00D56EE8"/>
  </w:style>
  <w:style w:type="character" w:customStyle="1" w:styleId="rss-speech-position">
    <w:name w:val="rss-speech-position"/>
    <w:basedOn w:val="DefaultParagraphFont"/>
    <w:rsid w:val="00D56EE8"/>
  </w:style>
  <w:style w:type="character" w:customStyle="1" w:styleId="rss-speech-venue">
    <w:name w:val="rss-speech-venue"/>
    <w:basedOn w:val="DefaultParagraphFont"/>
    <w:rsid w:val="00D56EE8"/>
  </w:style>
  <w:style w:type="character" w:customStyle="1" w:styleId="rss-speech-date">
    <w:name w:val="rss-speech-date"/>
    <w:basedOn w:val="DefaultParagraphFont"/>
    <w:rsid w:val="00D56EE8"/>
  </w:style>
  <w:style w:type="table" w:styleId="GridTable1Light">
    <w:name w:val="Grid Table 1 Light"/>
    <w:basedOn w:val="TableNormal"/>
    <w:rsid w:val="00D56EE8"/>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ge-subtitle">
    <w:name w:val="page-subtitle"/>
    <w:basedOn w:val="DefaultParagraphFont"/>
    <w:rsid w:val="00CF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ata.oecd.org/earnwage/wage-levels.htm" TargetMode="External"/><Relationship Id="rId3" Type="http://schemas.openxmlformats.org/officeDocument/2006/relationships/hyperlink" Target="https://www.facs.nsw.gov.au/download?file=770233" TargetMode="External"/><Relationship Id="rId7" Type="http://schemas.openxmlformats.org/officeDocument/2006/relationships/hyperlink" Target="http://data.oecd.org/inequality/poverty-rate.htm" TargetMode="External"/><Relationship Id="rId2" Type="http://schemas.openxmlformats.org/officeDocument/2006/relationships/hyperlink" Target="https://www.acoss.org.au/wp-content/uploads/2017/02/ACOSS_Budget-Priorities-Statement_2017-18-FINAL.pdf" TargetMode="External"/><Relationship Id="rId1" Type="http://schemas.openxmlformats.org/officeDocument/2006/relationships/hyperlink" Target="https://treasury.gov.au/speech/opening-statement-march-2020-senate-estimates" TargetMode="External"/><Relationship Id="rId6" Type="http://schemas.openxmlformats.org/officeDocument/2006/relationships/hyperlink" Target="http://workplaceinfo.com.au/payroll/wages-and-salaries/history-of-national-increase" TargetMode="External"/><Relationship Id="rId11" Type="http://schemas.openxmlformats.org/officeDocument/2006/relationships/hyperlink" Target="https://static.treasury.gov.au/uploads/sites/1/2017/11/p2017-t237966.pdf" TargetMode="External"/><Relationship Id="rId5" Type="http://schemas.openxmlformats.org/officeDocument/2006/relationships/hyperlink" Target="https://www.humanservices.gov.au/sites/default/files/2017/12/co029-1801.pdf" TargetMode="External"/><Relationship Id="rId10" Type="http://schemas.openxmlformats.org/officeDocument/2006/relationships/hyperlink" Target="https://www.acoss.org.au/wp-content/uploads/2019/04/ERO-payments-updated-July-2019.pdf" TargetMode="External"/><Relationship Id="rId4" Type="http://schemas.openxmlformats.org/officeDocument/2006/relationships/hyperlink" Target="https://www.dhhs.vic.gov.au/sites/default/files/documents/201812/Rental%20Report%20September%202018.docx" TargetMode="External"/><Relationship Id="rId9" Type="http://schemas.openxmlformats.org/officeDocument/2006/relationships/hyperlink" Target="http://www.fwa.gov.au/documents/modern_awards/award/ma000100/default.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LongPolicyDocument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nny\Dropbox\Work\minwages19_penn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0"/>
          <c:spPr>
            <a:ln w="25400">
              <a:solidFill>
                <a:srgbClr val="0000FF"/>
              </a:solidFill>
              <a:prstDash val="solid"/>
            </a:ln>
          </c:spPr>
          <c:marker>
            <c:symbol val="none"/>
          </c:marker>
          <c:cat>
            <c:strRef>
              <c:f>Australia!$A$11:$A$33</c:f>
              <c:strCache>
                <c:ptCount val="23"/>
                <c:pt idx="0">
                  <c:v>1996-97</c:v>
                </c:pt>
                <c:pt idx="1">
                  <c:v>1997-98</c:v>
                </c:pt>
                <c:pt idx="2">
                  <c:v>1998-99</c:v>
                </c:pt>
                <c:pt idx="3">
                  <c:v>1999-00</c:v>
                </c:pt>
                <c:pt idx="4">
                  <c:v>2000-01</c:v>
                </c:pt>
                <c:pt idx="5">
                  <c:v>2001-02</c:v>
                </c:pt>
                <c:pt idx="6">
                  <c:v>2002-03</c:v>
                </c:pt>
                <c:pt idx="7">
                  <c:v>2003-04</c:v>
                </c:pt>
                <c:pt idx="8">
                  <c:v>2004-05</c:v>
                </c:pt>
                <c:pt idx="9">
                  <c:v>2005-06</c:v>
                </c:pt>
                <c:pt idx="10">
                  <c:v>2006-07</c:v>
                </c:pt>
                <c:pt idx="11">
                  <c:v>2007-08</c:v>
                </c:pt>
                <c:pt idx="12">
                  <c:v>2008-09</c:v>
                </c:pt>
                <c:pt idx="13">
                  <c:v>2009-10</c:v>
                </c:pt>
                <c:pt idx="14">
                  <c:v>2010-11</c:v>
                </c:pt>
                <c:pt idx="15">
                  <c:v>2011-12</c:v>
                </c:pt>
                <c:pt idx="16">
                  <c:v>2012-13</c:v>
                </c:pt>
                <c:pt idx="17">
                  <c:v>2013-14</c:v>
                </c:pt>
                <c:pt idx="18">
                  <c:v>2014-15</c:v>
                </c:pt>
                <c:pt idx="19">
                  <c:v>2015-16</c:v>
                </c:pt>
                <c:pt idx="20">
                  <c:v>2016-17</c:v>
                </c:pt>
                <c:pt idx="21">
                  <c:v>2017-18</c:v>
                </c:pt>
                <c:pt idx="22">
                  <c:v>2018-19</c:v>
                </c:pt>
              </c:strCache>
            </c:strRef>
          </c:cat>
          <c:val>
            <c:numRef>
              <c:f>Australia!$G$11:$G$33</c:f>
              <c:numCache>
                <c:formatCode>General</c:formatCode>
                <c:ptCount val="23"/>
                <c:pt idx="0">
                  <c:v>60.6</c:v>
                </c:pt>
                <c:pt idx="1">
                  <c:v>59.9</c:v>
                </c:pt>
                <c:pt idx="2">
                  <c:v>60.7</c:v>
                </c:pt>
                <c:pt idx="3">
                  <c:v>59.1</c:v>
                </c:pt>
                <c:pt idx="4">
                  <c:v>57.9</c:v>
                </c:pt>
                <c:pt idx="5">
                  <c:v>58.1</c:v>
                </c:pt>
                <c:pt idx="6">
                  <c:v>57.5</c:v>
                </c:pt>
                <c:pt idx="7">
                  <c:v>58.2</c:v>
                </c:pt>
                <c:pt idx="8">
                  <c:v>58.4</c:v>
                </c:pt>
                <c:pt idx="9" formatCode="0.0">
                  <c:v>55.2022792022792</c:v>
                </c:pt>
                <c:pt idx="10" formatCode="0.0">
                  <c:v>55.276457883369332</c:v>
                </c:pt>
                <c:pt idx="11" formatCode="0.0">
                  <c:v>52.633064516129032</c:v>
                </c:pt>
                <c:pt idx="12" formatCode="0.0">
                  <c:v>51.396975425330815</c:v>
                </c:pt>
                <c:pt idx="13" formatCode="0.0">
                  <c:v>50.048780487804876</c:v>
                </c:pt>
                <c:pt idx="14" formatCode="0.0">
                  <c:v>51.112107623318387</c:v>
                </c:pt>
                <c:pt idx="15" formatCode="0.0">
                  <c:v>50.648904168457236</c:v>
                </c:pt>
                <c:pt idx="16" formatCode="0.0">
                  <c:v>50.03300330033003</c:v>
                </c:pt>
                <c:pt idx="17" formatCode="0.0">
                  <c:v>49.166337416041095</c:v>
                </c:pt>
                <c:pt idx="18" formatCode="0.0">
                  <c:v>48.589840788476117</c:v>
                </c:pt>
                <c:pt idx="19" formatCode="0.0">
                  <c:v>48.749536178107604</c:v>
                </c:pt>
                <c:pt idx="20" formatCode="0.0">
                  <c:v>48.888081395348834</c:v>
                </c:pt>
                <c:pt idx="21" formatCode="0.0">
                  <c:v>49.005641748942175</c:v>
                </c:pt>
                <c:pt idx="22" formatCode="0.0">
                  <c:v>49.260273972602739</c:v>
                </c:pt>
              </c:numCache>
            </c:numRef>
          </c:val>
          <c:smooth val="0"/>
          <c:extLst xmlns:c16r2="http://schemas.microsoft.com/office/drawing/2015/06/chart">
            <c:ext xmlns:c16="http://schemas.microsoft.com/office/drawing/2014/chart" uri="{C3380CC4-5D6E-409C-BE32-E72D297353CC}">
              <c16:uniqueId val="{00000000-61BD-43CF-8A85-877153BECF71}"/>
            </c:ext>
          </c:extLst>
        </c:ser>
        <c:dLbls>
          <c:showLegendKey val="0"/>
          <c:showVal val="0"/>
          <c:showCatName val="0"/>
          <c:showSerName val="0"/>
          <c:showPercent val="0"/>
          <c:showBubbleSize val="0"/>
        </c:dLbls>
        <c:smooth val="0"/>
        <c:axId val="105488576"/>
        <c:axId val="105481504"/>
      </c:lineChart>
      <c:catAx>
        <c:axId val="105488576"/>
        <c:scaling>
          <c:orientation val="minMax"/>
        </c:scaling>
        <c:delete val="0"/>
        <c:axPos val="b"/>
        <c:numFmt formatCode="General" sourceLinked="1"/>
        <c:majorTickMark val="out"/>
        <c:minorTickMark val="none"/>
        <c:tickLblPos val="nextTo"/>
        <c:spPr>
          <a:ln w="3175">
            <a:noFill/>
            <a:prstDash val="solid"/>
          </a:ln>
        </c:spPr>
        <c:txPr>
          <a:bodyPr rot="-2700000" vert="horz"/>
          <a:lstStyle/>
          <a:p>
            <a:pPr>
              <a:defRPr sz="1000" b="0" i="0" u="none" strike="noStrike" baseline="0">
                <a:solidFill>
                  <a:srgbClr val="000000"/>
                </a:solidFill>
                <a:latin typeface="+mn-lt"/>
                <a:ea typeface="Arial"/>
                <a:cs typeface="Arial"/>
              </a:defRPr>
            </a:pPr>
            <a:endParaRPr lang="en-US"/>
          </a:p>
        </c:txPr>
        <c:crossAx val="105481504"/>
        <c:crosses val="autoZero"/>
        <c:auto val="1"/>
        <c:lblAlgn val="ctr"/>
        <c:lblOffset val="100"/>
        <c:tickLblSkip val="1"/>
        <c:tickMarkSkip val="1"/>
        <c:noMultiLvlLbl val="0"/>
      </c:catAx>
      <c:valAx>
        <c:axId val="105481504"/>
        <c:scaling>
          <c:orientation val="minMax"/>
          <c:max val="65"/>
          <c:min val="40"/>
        </c:scaling>
        <c:delete val="0"/>
        <c:axPos val="l"/>
        <c:majorGridlines>
          <c:spPr>
            <a:ln w="3175">
              <a:solidFill>
                <a:schemeClr val="bg1">
                  <a:lumMod val="75000"/>
                </a:schemeClr>
              </a:solidFill>
              <a:prstDash val="solid"/>
            </a:ln>
          </c:spPr>
        </c:majorGridlines>
        <c:title>
          <c:tx>
            <c:rich>
              <a:bodyPr/>
              <a:lstStyle/>
              <a:p>
                <a:pPr>
                  <a:defRPr sz="1000" b="1" i="0" u="none" strike="noStrike" baseline="0">
                    <a:solidFill>
                      <a:srgbClr val="000000"/>
                    </a:solidFill>
                    <a:latin typeface="+mn-lt"/>
                    <a:ea typeface="Arial"/>
                    <a:cs typeface="Arial"/>
                  </a:defRPr>
                </a:pPr>
                <a:r>
                  <a:rPr lang="en-AU">
                    <a:latin typeface="+mn-lt"/>
                  </a:rPr>
                  <a:t>per cent</a:t>
                </a:r>
              </a:p>
            </c:rich>
          </c:tx>
          <c:overlay val="0"/>
          <c:spPr>
            <a:noFill/>
            <a:ln w="25400">
              <a:noFill/>
            </a:ln>
          </c:spPr>
        </c:title>
        <c:numFmt formatCode="General" sourceLinked="1"/>
        <c:majorTickMark val="out"/>
        <c:minorTickMark val="none"/>
        <c:tickLblPos val="nextTo"/>
        <c:spPr>
          <a:ln w="3175">
            <a:noFill/>
            <a:prstDash val="solid"/>
          </a:ln>
        </c:spPr>
        <c:txPr>
          <a:bodyPr rot="0" vert="horz"/>
          <a:lstStyle/>
          <a:p>
            <a:pPr>
              <a:defRPr sz="1000" b="0" i="0" u="none" strike="noStrike" baseline="0">
                <a:solidFill>
                  <a:srgbClr val="000000"/>
                </a:solidFill>
                <a:latin typeface="+mn-lt"/>
                <a:ea typeface="Arial"/>
                <a:cs typeface="Arial"/>
              </a:defRPr>
            </a:pPr>
            <a:endParaRPr lang="en-US"/>
          </a:p>
        </c:txPr>
        <c:crossAx val="105488576"/>
        <c:crosses val="autoZero"/>
        <c:crossBetween val="between"/>
        <c:majorUnit val="5"/>
      </c:valAx>
      <c:spPr>
        <a:noFill/>
        <a:ln w="25400">
          <a:noFill/>
        </a:ln>
      </c:spPr>
    </c:plotArea>
    <c:plotVisOnly val="1"/>
    <c:dispBlanksAs val="gap"/>
    <c:showDLblsOverMax val="0"/>
  </c:chart>
  <c:spPr>
    <a:solidFill>
      <a:srgbClr val="FFFFFF"/>
    </a:solidFill>
    <a:ln w="3175">
      <a:solidFill>
        <a:schemeClr val="bg1">
          <a:lumMod val="75000"/>
        </a:schemeClr>
      </a:solidFill>
      <a:prstDash val="solid"/>
    </a:ln>
  </c:spPr>
  <c:txPr>
    <a:bodyPr/>
    <a:lstStyle/>
    <a:p>
      <a:pPr>
        <a:defRPr sz="11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BB0E-8FB6-46F1-8FFD-60B34AF0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LongPolicyDocumentTemplate</Template>
  <TotalTime>1</TotalTime>
  <Pages>28</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Davidson</dc:creator>
  <cp:keywords/>
  <dc:description/>
  <cp:lastModifiedBy>Cameron Lum</cp:lastModifiedBy>
  <cp:revision>2</cp:revision>
  <cp:lastPrinted>2020-03-11T08:51:00Z</cp:lastPrinted>
  <dcterms:created xsi:type="dcterms:W3CDTF">2020-05-18T22:35:00Z</dcterms:created>
  <dcterms:modified xsi:type="dcterms:W3CDTF">2020-05-18T22:35:00Z</dcterms:modified>
</cp:coreProperties>
</file>