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14:paraId="73506D85" w14:textId="77777777" w:rsidR="00390B19" w:rsidRPr="00390B19" w:rsidRDefault="00390B19" w:rsidP="00390B19">
      <w:pPr>
        <w:pStyle w:val="Title"/>
        <w:spacing w:after="120"/>
        <w:contextualSpacing w:val="0"/>
        <w:rPr>
          <w:rStyle w:val="Hyperlink"/>
          <w:color w:val="143156"/>
          <w:sz w:val="44"/>
          <w:u w:val="none"/>
        </w:rPr>
      </w:pPr>
      <w:r w:rsidRPr="00390B19">
        <w:rPr>
          <w:rStyle w:val="Hyperlink"/>
          <w:color w:val="143156"/>
          <w:sz w:val="44"/>
          <w:u w:val="none"/>
        </w:rPr>
        <w:t>Clean Energy Finance Corporation Amendment (Grid Reliability Fund) Bill 2020</w:t>
      </w:r>
    </w:p>
    <w:p w14:paraId="6F868F62" w14:textId="77777777" w:rsidR="00390B19" w:rsidRPr="00AB6B25" w:rsidRDefault="00390B19" w:rsidP="00390B19">
      <w:pPr>
        <w:pStyle w:val="Subtitle"/>
        <w:spacing w:after="120"/>
      </w:pPr>
      <w:r w:rsidRPr="00390B19">
        <w:rPr>
          <w:sz w:val="36"/>
        </w:rPr>
        <w:t>Submission to the Senate Environment and Communications Legislation Committee</w:t>
      </w:r>
    </w:p>
    <w:p w14:paraId="18379D69" w14:textId="77777777" w:rsidR="00390B19" w:rsidRDefault="00390B19" w:rsidP="00390B19">
      <w:pPr>
        <w:pStyle w:val="Subtitle"/>
        <w:spacing w:after="120"/>
        <w:rPr>
          <w:noProof/>
        </w:rPr>
      </w:pPr>
      <w:r w:rsidRPr="00390B19">
        <w:rPr>
          <w:noProof/>
          <w:sz w:val="28"/>
          <w:szCs w:val="28"/>
          <w:lang w:val="en-AU" w:eastAsia="en-AU"/>
        </w:rPr>
        <w:drawing>
          <wp:anchor distT="0" distB="0" distL="114300" distR="114300" simplePos="0" relativeHeight="251660288" behindDoc="1" locked="0" layoutInCell="1" allowOverlap="1" wp14:anchorId="77C64166" wp14:editId="0BC7EE47">
            <wp:simplePos x="0" y="0"/>
            <wp:positionH relativeFrom="margin">
              <wp:align>left</wp:align>
            </wp:positionH>
            <wp:positionV relativeFrom="paragraph">
              <wp:posOffset>264094</wp:posOffset>
            </wp:positionV>
            <wp:extent cx="359410" cy="359410"/>
            <wp:effectExtent l="0" t="0" r="2540" b="2540"/>
            <wp:wrapTopAndBottom/>
            <wp:docPr id="2" name="Picture 2"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Pr="00390B19">
        <w:rPr>
          <w:sz w:val="28"/>
          <w:szCs w:val="28"/>
        </w:rPr>
        <w:t>25 September 2020</w:t>
      </w:r>
    </w:p>
    <w:p w14:paraId="289E93E5" w14:textId="77777777" w:rsidR="00390B19" w:rsidRPr="00390B19" w:rsidRDefault="00390B19" w:rsidP="00E94806">
      <w:pPr>
        <w:pStyle w:val="Summary"/>
        <w:rPr>
          <w:noProof/>
        </w:rPr>
      </w:pPr>
      <w:r w:rsidRPr="00390B19">
        <w:rPr>
          <w:noProof/>
        </w:rPr>
        <w:t>About ACOSS</w:t>
      </w:r>
    </w:p>
    <w:p w14:paraId="669C8E5B"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The Australian Council of Social Service (ACOSS) is a national voice in support of people affected by poverty, disadvantage and inequality and the peak body for the community services and civil society sector.</w:t>
      </w:r>
    </w:p>
    <w:p w14:paraId="1F0E34EB"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 xml:space="preserve">ACOSS consists of a network of approximately 4000 organisations and individuals across Australia in metro, regional and remote areas. </w:t>
      </w:r>
    </w:p>
    <w:p w14:paraId="7F10D882"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Our vision is an end to poverty in all its forms; economies that are fair, sustainable and resilient; and communities that are just, peaceful and inclusive.</w:t>
      </w:r>
      <w:r w:rsidRPr="009140BA" w:rsidDel="007563B2">
        <w:rPr>
          <w:rFonts w:cs="Calibri"/>
          <w:color w:val="000000"/>
          <w:sz w:val="21"/>
          <w:szCs w:val="21"/>
        </w:rPr>
        <w:t xml:space="preserve"> </w:t>
      </w:r>
    </w:p>
    <w:p w14:paraId="444EFBD2" w14:textId="77777777" w:rsidR="00390B19" w:rsidRPr="00390B19" w:rsidRDefault="00390B19" w:rsidP="00E94806">
      <w:pPr>
        <w:pStyle w:val="Summary"/>
      </w:pPr>
      <w:r>
        <w:t>Australia must reduce net emissions without delay</w:t>
      </w:r>
    </w:p>
    <w:p w14:paraId="251F863A"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 xml:space="preserve">Climate change and a slow, poorly managed transition to zero net emissions is a major threat to achieving our vision. Consistent with the Paris Agreement, Australia must act to support global efforts to limit global warming to 1.5 degrees Celsius above pre-industrial levels. </w:t>
      </w:r>
    </w:p>
    <w:p w14:paraId="456D17DE"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As a wealthy, developed country, this means reducing our net domestic emissions to zero before 2050 and by at least 45% on 2005 levels by 2030. Based on the available evidence, delaying action now will require faster, more expensive and more disruptive change in the future, while heightening risks of more dangerous climate change.</w:t>
      </w:r>
    </w:p>
    <w:p w14:paraId="05396D5A" w14:textId="77777777" w:rsidR="00390B19" w:rsidRPr="009F15AB" w:rsidRDefault="00390B19" w:rsidP="00E94806">
      <w:pPr>
        <w:pStyle w:val="Summary"/>
      </w:pPr>
      <w:r>
        <w:t>Prioritise our energy system and support for p</w:t>
      </w:r>
      <w:r w:rsidRPr="009F15AB">
        <w:t xml:space="preserve">eople on low incomes </w:t>
      </w:r>
    </w:p>
    <w:p w14:paraId="0724D709"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 xml:space="preserve">Our energy system has the greatest capacity to reduce emissions rapidly using current technology, and must be </w:t>
      </w:r>
      <w:proofErr w:type="spellStart"/>
      <w:r w:rsidRPr="009140BA">
        <w:rPr>
          <w:rFonts w:cs="Calibri"/>
          <w:color w:val="000000"/>
          <w:sz w:val="21"/>
          <w:szCs w:val="21"/>
        </w:rPr>
        <w:t>prioritised</w:t>
      </w:r>
      <w:proofErr w:type="spellEnd"/>
      <w:r w:rsidRPr="009140BA">
        <w:rPr>
          <w:rFonts w:cs="Calibri"/>
          <w:color w:val="000000"/>
          <w:sz w:val="21"/>
          <w:szCs w:val="21"/>
        </w:rPr>
        <w:t xml:space="preserve"> for fast, early emissions reductions. </w:t>
      </w:r>
    </w:p>
    <w:p w14:paraId="2B5A36BC" w14:textId="77777777" w:rsidR="00390B19" w:rsidRPr="009140BA" w:rsidRDefault="00390B19" w:rsidP="00390B19">
      <w:pPr>
        <w:spacing w:before="120" w:after="120"/>
        <w:rPr>
          <w:rFonts w:cs="Calibri"/>
          <w:color w:val="000000"/>
          <w:sz w:val="21"/>
          <w:szCs w:val="21"/>
        </w:rPr>
      </w:pPr>
      <w:r w:rsidRPr="009140BA">
        <w:rPr>
          <w:rFonts w:cs="Calibri"/>
          <w:color w:val="000000"/>
          <w:sz w:val="21"/>
          <w:szCs w:val="21"/>
        </w:rPr>
        <w:t>Energy costs are disproportionately higher for people on low incomes or experiencing disadvantage, who have least capacity to reduce their energy use and invest in new technologies. Priority should also be given to supporting people on low incomes access new emissions reductions measures to ensure they are not left behind in the energy transition.</w:t>
      </w:r>
    </w:p>
    <w:p w14:paraId="3EF28232" w14:textId="77777777" w:rsidR="00390B19" w:rsidRPr="00390B19" w:rsidRDefault="00390B19" w:rsidP="00E94806">
      <w:pPr>
        <w:pStyle w:val="Summary"/>
      </w:pPr>
      <w:r w:rsidRPr="00390B19">
        <w:t>Role of the Clean Energy Finance Corporation</w:t>
      </w:r>
    </w:p>
    <w:p w14:paraId="78797EF8" w14:textId="22DA93ED" w:rsidR="00390B19" w:rsidRPr="009140BA" w:rsidRDefault="00390B19" w:rsidP="00390B19">
      <w:pPr>
        <w:spacing w:before="120" w:after="120"/>
        <w:rPr>
          <w:rFonts w:eastAsiaTheme="majorEastAsia" w:cs="Calibri"/>
          <w:bCs/>
          <w:iCs/>
          <w:color w:val="000000"/>
          <w:sz w:val="21"/>
          <w:szCs w:val="21"/>
        </w:rPr>
      </w:pPr>
      <w:r w:rsidRPr="009140BA">
        <w:rPr>
          <w:rFonts w:eastAsiaTheme="majorEastAsia" w:cs="Calibri"/>
          <w:bCs/>
          <w:iCs/>
          <w:color w:val="000000"/>
          <w:sz w:val="21"/>
          <w:szCs w:val="21"/>
        </w:rPr>
        <w:t>ACOSS welcomes the opportunity to provide input to the committee regarding the proposal for the Clean Energy Finance Corporation (CEFC) to administer a</w:t>
      </w:r>
      <w:r w:rsidRPr="009140BA">
        <w:rPr>
          <w:sz w:val="21"/>
          <w:szCs w:val="21"/>
        </w:rPr>
        <w:t xml:space="preserve"> new $1 billion Grid Reliability Fund</w:t>
      </w:r>
      <w:r w:rsidR="00E25E03">
        <w:rPr>
          <w:sz w:val="21"/>
          <w:szCs w:val="21"/>
        </w:rPr>
        <w:t xml:space="preserve"> (GRF).</w:t>
      </w:r>
      <w:r w:rsidRPr="009140BA">
        <w:rPr>
          <w:rFonts w:eastAsiaTheme="majorEastAsia" w:cs="Calibri"/>
          <w:bCs/>
          <w:iCs/>
          <w:color w:val="000000"/>
          <w:sz w:val="21"/>
          <w:szCs w:val="21"/>
        </w:rPr>
        <w:t xml:space="preserve"> </w:t>
      </w:r>
    </w:p>
    <w:p w14:paraId="6808E2E2" w14:textId="77777777" w:rsidR="00390B19" w:rsidRPr="009140BA" w:rsidRDefault="00390B19" w:rsidP="00390B19">
      <w:pPr>
        <w:spacing w:before="120" w:after="120"/>
        <w:rPr>
          <w:rFonts w:eastAsiaTheme="majorEastAsia" w:cs="Calibri"/>
          <w:bCs/>
          <w:iCs/>
          <w:color w:val="000000"/>
          <w:sz w:val="21"/>
          <w:szCs w:val="21"/>
        </w:rPr>
      </w:pPr>
      <w:r w:rsidRPr="009140BA">
        <w:rPr>
          <w:rFonts w:eastAsiaTheme="majorEastAsia" w:cs="Calibri"/>
          <w:bCs/>
          <w:iCs/>
          <w:color w:val="000000"/>
          <w:sz w:val="21"/>
          <w:szCs w:val="21"/>
        </w:rPr>
        <w:lastRenderedPageBreak/>
        <w:t>ACOSS supports an ongoing role for the</w:t>
      </w:r>
      <w:r w:rsidRPr="009140BA">
        <w:rPr>
          <w:color w:val="000000"/>
          <w:sz w:val="21"/>
          <w:szCs w:val="21"/>
        </w:rPr>
        <w:t xml:space="preserve"> </w:t>
      </w:r>
      <w:r w:rsidRPr="009140BA">
        <w:rPr>
          <w:sz w:val="21"/>
          <w:szCs w:val="21"/>
        </w:rPr>
        <w:t xml:space="preserve">CEFC, it has a strong track record of investing in renewable energy, energy efficiency and low emissions technologies and has played a critical role in </w:t>
      </w:r>
      <w:bookmarkStart w:id="0" w:name="_GoBack"/>
      <w:bookmarkEnd w:id="0"/>
      <w:r w:rsidRPr="009140BA">
        <w:rPr>
          <w:sz w:val="21"/>
          <w:szCs w:val="21"/>
        </w:rPr>
        <w:t>supporting Australia’s transition to clean energy.</w:t>
      </w:r>
      <w:r w:rsidRPr="009140BA">
        <w:rPr>
          <w:rFonts w:eastAsiaTheme="majorEastAsia" w:cs="Calibri"/>
          <w:bCs/>
          <w:iCs/>
          <w:color w:val="000000"/>
          <w:sz w:val="21"/>
          <w:szCs w:val="21"/>
        </w:rPr>
        <w:t xml:space="preserve"> </w:t>
      </w:r>
    </w:p>
    <w:p w14:paraId="37F4DC6E" w14:textId="77777777" w:rsidR="00390B19" w:rsidRPr="009140BA" w:rsidRDefault="00390B19" w:rsidP="00390B19">
      <w:pPr>
        <w:spacing w:before="120" w:after="120"/>
        <w:rPr>
          <w:rFonts w:eastAsiaTheme="majorEastAsia" w:cs="Calibri"/>
          <w:bCs/>
          <w:iCs/>
          <w:color w:val="000000"/>
          <w:sz w:val="21"/>
          <w:szCs w:val="21"/>
        </w:rPr>
      </w:pPr>
      <w:r w:rsidRPr="009140BA">
        <w:rPr>
          <w:rFonts w:eastAsiaTheme="majorEastAsia" w:cs="Calibri"/>
          <w:bCs/>
          <w:iCs/>
          <w:color w:val="000000"/>
          <w:sz w:val="21"/>
          <w:szCs w:val="21"/>
        </w:rPr>
        <w:t>ACOSS does not support changes to the CEFC that undermine its independence and its current low emissions remit.</w:t>
      </w:r>
    </w:p>
    <w:p w14:paraId="47B94A1E" w14:textId="77777777" w:rsidR="00390B19" w:rsidRPr="00390B19" w:rsidRDefault="00390B19" w:rsidP="00390B19">
      <w:pPr>
        <w:pStyle w:val="Recommendation"/>
      </w:pPr>
      <w:r w:rsidRPr="00390B19">
        <w:t>Recommendations</w:t>
      </w:r>
    </w:p>
    <w:p w14:paraId="2A5D38CA" w14:textId="5D640B30" w:rsidR="00390B19" w:rsidRPr="009140BA" w:rsidRDefault="00390B19" w:rsidP="00390B19">
      <w:pPr>
        <w:keepNext/>
        <w:keepLines/>
        <w:shd w:val="clear" w:color="auto" w:fill="FFFFFF"/>
        <w:spacing w:before="120" w:after="60" w:line="259" w:lineRule="auto"/>
        <w:outlineLvl w:val="3"/>
        <w:rPr>
          <w:rStyle w:val="Hyperlink"/>
          <w:rFonts w:cstheme="minorHAnsi"/>
          <w:color w:val="auto"/>
          <w:sz w:val="21"/>
          <w:szCs w:val="21"/>
          <w:u w:val="none"/>
          <w:shd w:val="clear" w:color="auto" w:fill="FFFFFF"/>
        </w:rPr>
      </w:pPr>
      <w:r w:rsidRPr="009140BA">
        <w:rPr>
          <w:rFonts w:eastAsiaTheme="majorEastAsia" w:cs="Calibri"/>
          <w:bCs/>
          <w:iCs/>
          <w:color w:val="000000"/>
          <w:sz w:val="21"/>
          <w:szCs w:val="21"/>
        </w:rPr>
        <w:t xml:space="preserve">With </w:t>
      </w:r>
      <w:r w:rsidRPr="009140BA">
        <w:rPr>
          <w:rFonts w:cs="Calibri"/>
          <w:color w:val="000000"/>
          <w:sz w:val="21"/>
          <w:szCs w:val="21"/>
        </w:rPr>
        <w:t>respect</w:t>
      </w:r>
      <w:r w:rsidRPr="009140BA">
        <w:rPr>
          <w:rFonts w:eastAsiaTheme="majorEastAsia" w:cs="Calibri"/>
          <w:bCs/>
          <w:iCs/>
          <w:color w:val="000000"/>
          <w:sz w:val="21"/>
          <w:szCs w:val="21"/>
        </w:rPr>
        <w:t xml:space="preserve"> to proposed changes in the </w:t>
      </w:r>
      <w:hyperlink r:id="rId10" w:history="1">
        <w:r w:rsidRPr="009140BA">
          <w:rPr>
            <w:rStyle w:val="Hyperlink"/>
            <w:rFonts w:cstheme="minorHAnsi"/>
            <w:color w:val="1F538D"/>
            <w:sz w:val="21"/>
            <w:szCs w:val="21"/>
            <w:shd w:val="clear" w:color="auto" w:fill="FFFFFF"/>
          </w:rPr>
          <w:t>Clean Energy Finance Corporation Amendment (Grid Reliability Fund) Bill 2020</w:t>
        </w:r>
      </w:hyperlink>
      <w:r w:rsidRPr="009140BA">
        <w:rPr>
          <w:rStyle w:val="Hyperlink"/>
          <w:rFonts w:cstheme="minorHAnsi"/>
          <w:color w:val="auto"/>
          <w:sz w:val="21"/>
          <w:szCs w:val="21"/>
          <w:u w:val="none"/>
          <w:shd w:val="clear" w:color="auto" w:fill="FFFFFF"/>
        </w:rPr>
        <w:t>, ACOSS recommends the Senate Committee</w:t>
      </w:r>
      <w:r w:rsidR="00E8108B" w:rsidRPr="009140BA">
        <w:rPr>
          <w:rStyle w:val="Hyperlink"/>
          <w:rFonts w:cstheme="minorHAnsi"/>
          <w:color w:val="auto"/>
          <w:sz w:val="21"/>
          <w:szCs w:val="21"/>
          <w:u w:val="none"/>
          <w:shd w:val="clear" w:color="auto" w:fill="FFFFFF"/>
        </w:rPr>
        <w:t xml:space="preserve"> recommend: </w:t>
      </w:r>
    </w:p>
    <w:p w14:paraId="555879B2" w14:textId="365BCC11" w:rsidR="00390B19" w:rsidRPr="009140BA" w:rsidRDefault="00390B19">
      <w:pPr>
        <w:pStyle w:val="ListParagraph"/>
        <w:rPr>
          <w:sz w:val="21"/>
          <w:szCs w:val="21"/>
        </w:rPr>
      </w:pPr>
      <w:r w:rsidRPr="009140BA">
        <w:rPr>
          <w:b/>
          <w:sz w:val="21"/>
          <w:szCs w:val="21"/>
        </w:rPr>
        <w:t>Retaining the CEFC’s existing requirement to invest at least half its funds in renewable energy</w:t>
      </w:r>
      <w:r w:rsidR="009F15AB" w:rsidRPr="009140BA">
        <w:rPr>
          <w:sz w:val="21"/>
          <w:szCs w:val="21"/>
        </w:rPr>
        <w:t xml:space="preserve"> and reject the </w:t>
      </w:r>
      <w:r w:rsidR="00E94806" w:rsidRPr="009140BA">
        <w:rPr>
          <w:sz w:val="21"/>
          <w:szCs w:val="21"/>
        </w:rPr>
        <w:t xml:space="preserve">proposed </w:t>
      </w:r>
      <w:r w:rsidR="009140BA" w:rsidRPr="009140BA">
        <w:rPr>
          <w:sz w:val="21"/>
          <w:szCs w:val="21"/>
        </w:rPr>
        <w:t>quarantining</w:t>
      </w:r>
      <w:r w:rsidR="009F15AB" w:rsidRPr="009140BA">
        <w:rPr>
          <w:sz w:val="21"/>
          <w:szCs w:val="21"/>
        </w:rPr>
        <w:t xml:space="preserve"> </w:t>
      </w:r>
      <w:r w:rsidR="00E94806" w:rsidRPr="009140BA">
        <w:rPr>
          <w:sz w:val="21"/>
          <w:szCs w:val="21"/>
        </w:rPr>
        <w:t>of</w:t>
      </w:r>
      <w:r w:rsidR="00E8108B" w:rsidRPr="009140BA">
        <w:rPr>
          <w:sz w:val="21"/>
          <w:szCs w:val="21"/>
        </w:rPr>
        <w:t xml:space="preserve"> the GRF from this requirement</w:t>
      </w:r>
      <w:r w:rsidRPr="009140BA">
        <w:rPr>
          <w:sz w:val="21"/>
          <w:szCs w:val="21"/>
        </w:rPr>
        <w:t>. Investment in large scale renewable energy and associated infrastructure is still needed to accelerate the transition to zero emissions energy, and to widen the use of renewable energy to more sectors of the economy, for example transport, heating and industry.</w:t>
      </w:r>
    </w:p>
    <w:p w14:paraId="3E41731D" w14:textId="77777777" w:rsidR="00390B19" w:rsidRPr="009140BA" w:rsidRDefault="00E8108B">
      <w:pPr>
        <w:pStyle w:val="ListParagraph"/>
        <w:rPr>
          <w:sz w:val="21"/>
          <w:szCs w:val="21"/>
        </w:rPr>
      </w:pPr>
      <w:r w:rsidRPr="009140BA">
        <w:rPr>
          <w:b/>
          <w:sz w:val="21"/>
          <w:szCs w:val="21"/>
        </w:rPr>
        <w:t>R</w:t>
      </w:r>
      <w:r w:rsidR="00390B19" w:rsidRPr="009140BA">
        <w:rPr>
          <w:b/>
          <w:sz w:val="21"/>
          <w:szCs w:val="21"/>
        </w:rPr>
        <w:t xml:space="preserve">etaining the existing definition of ‘low emissions technology’ under the </w:t>
      </w:r>
      <w:r w:rsidR="00390B19" w:rsidRPr="009140BA">
        <w:rPr>
          <w:b/>
          <w:i/>
          <w:sz w:val="21"/>
          <w:szCs w:val="21"/>
        </w:rPr>
        <w:t>Clean Energy Finance Corporation Act 2012</w:t>
      </w:r>
      <w:r w:rsidR="00390B19" w:rsidRPr="009140BA">
        <w:rPr>
          <w:sz w:val="21"/>
          <w:szCs w:val="21"/>
        </w:rPr>
        <w:t xml:space="preserve">, and as detailed under the </w:t>
      </w:r>
      <w:r w:rsidR="00390B19" w:rsidRPr="009140BA">
        <w:rPr>
          <w:sz w:val="21"/>
          <w:szCs w:val="21"/>
          <w:lang w:val="en-US"/>
        </w:rPr>
        <w:t>CEFC’s published Investment Guidelines</w:t>
      </w:r>
      <w:r w:rsidRPr="009140BA">
        <w:rPr>
          <w:sz w:val="21"/>
          <w:szCs w:val="21"/>
          <w:lang w:val="en-US"/>
        </w:rPr>
        <w:t>, and reject proposed changes to the definition</w:t>
      </w:r>
      <w:r w:rsidR="00390B19" w:rsidRPr="009140BA">
        <w:rPr>
          <w:sz w:val="21"/>
          <w:szCs w:val="21"/>
          <w:lang w:val="en-US"/>
        </w:rPr>
        <w:t xml:space="preserve">. There is a risk the proposed </w:t>
      </w:r>
      <w:r w:rsidR="00390B19" w:rsidRPr="009140BA">
        <w:rPr>
          <w:sz w:val="21"/>
          <w:szCs w:val="21"/>
        </w:rPr>
        <w:t>changes outlined in the Bill are designed to require the CEFC to invest in projects that do not currently meet the CEFC’s emissions reduction tests and could include gas or coal projects.</w:t>
      </w:r>
    </w:p>
    <w:p w14:paraId="6FE9E404" w14:textId="5637A4D2" w:rsidR="00390B19" w:rsidRPr="009140BA" w:rsidRDefault="00390B19">
      <w:pPr>
        <w:pStyle w:val="ListParagraph"/>
        <w:rPr>
          <w:sz w:val="21"/>
          <w:szCs w:val="21"/>
        </w:rPr>
      </w:pPr>
      <w:r w:rsidRPr="009140BA">
        <w:rPr>
          <w:b/>
          <w:bCs/>
          <w:sz w:val="21"/>
          <w:szCs w:val="21"/>
        </w:rPr>
        <w:t>Protect</w:t>
      </w:r>
      <w:r w:rsidR="00211160" w:rsidRPr="009140BA">
        <w:rPr>
          <w:b/>
          <w:bCs/>
          <w:sz w:val="21"/>
          <w:szCs w:val="21"/>
        </w:rPr>
        <w:t>ing</w:t>
      </w:r>
      <w:r w:rsidRPr="009140BA">
        <w:rPr>
          <w:b/>
          <w:bCs/>
          <w:sz w:val="21"/>
          <w:szCs w:val="21"/>
        </w:rPr>
        <w:t xml:space="preserve"> the CEFC’s independence</w:t>
      </w:r>
      <w:r w:rsidRPr="009140BA">
        <w:rPr>
          <w:bCs/>
          <w:sz w:val="21"/>
          <w:szCs w:val="21"/>
        </w:rPr>
        <w:t xml:space="preserve"> </w:t>
      </w:r>
      <w:r w:rsidRPr="009140BA">
        <w:rPr>
          <w:sz w:val="21"/>
          <w:szCs w:val="21"/>
        </w:rPr>
        <w:t xml:space="preserve">by rejecting the </w:t>
      </w:r>
      <w:r w:rsidR="00E94806" w:rsidRPr="009140BA">
        <w:rPr>
          <w:sz w:val="21"/>
          <w:szCs w:val="21"/>
        </w:rPr>
        <w:t>proposed change</w:t>
      </w:r>
      <w:r w:rsidRPr="009140BA">
        <w:rPr>
          <w:sz w:val="21"/>
          <w:szCs w:val="21"/>
        </w:rPr>
        <w:t xml:space="preserve"> </w:t>
      </w:r>
      <w:r w:rsidR="00E94806" w:rsidRPr="009140BA">
        <w:rPr>
          <w:sz w:val="21"/>
          <w:szCs w:val="21"/>
        </w:rPr>
        <w:t>providing</w:t>
      </w:r>
      <w:r w:rsidRPr="009140BA">
        <w:rPr>
          <w:sz w:val="21"/>
          <w:szCs w:val="21"/>
        </w:rPr>
        <w:t xml:space="preserve"> additional powers for the Minister to direct CEFC’s investments. There has been no demonstrated need for further Ministerial direction. </w:t>
      </w:r>
    </w:p>
    <w:p w14:paraId="7ADD6E67" w14:textId="16CBBDF5" w:rsidR="00E8108B" w:rsidRPr="009140BA" w:rsidRDefault="00E8108B">
      <w:pPr>
        <w:pStyle w:val="ListParagraph"/>
        <w:rPr>
          <w:sz w:val="21"/>
          <w:szCs w:val="21"/>
        </w:rPr>
      </w:pPr>
      <w:r w:rsidRPr="009140BA">
        <w:rPr>
          <w:b/>
          <w:sz w:val="21"/>
          <w:szCs w:val="21"/>
        </w:rPr>
        <w:t>Reject</w:t>
      </w:r>
      <w:r w:rsidR="00211160" w:rsidRPr="009140BA">
        <w:rPr>
          <w:b/>
          <w:sz w:val="21"/>
          <w:szCs w:val="21"/>
        </w:rPr>
        <w:t>ing</w:t>
      </w:r>
      <w:r w:rsidRPr="009140BA">
        <w:rPr>
          <w:b/>
          <w:sz w:val="21"/>
          <w:szCs w:val="21"/>
        </w:rPr>
        <w:t xml:space="preserve"> the proposal to </w:t>
      </w:r>
      <w:r w:rsidR="00390B19" w:rsidRPr="009140BA">
        <w:rPr>
          <w:b/>
          <w:sz w:val="21"/>
          <w:szCs w:val="21"/>
        </w:rPr>
        <w:t xml:space="preserve">transfer the </w:t>
      </w:r>
      <w:r w:rsidR="00390B19" w:rsidRPr="009140BA">
        <w:rPr>
          <w:b/>
          <w:i/>
          <w:sz w:val="21"/>
          <w:szCs w:val="21"/>
        </w:rPr>
        <w:t>Underwriting New Generation Investment (UNGI)</w:t>
      </w:r>
      <w:r w:rsidR="00390B19" w:rsidRPr="009140BA">
        <w:rPr>
          <w:b/>
          <w:sz w:val="21"/>
          <w:szCs w:val="21"/>
        </w:rPr>
        <w:t xml:space="preserve"> Scheme</w:t>
      </w:r>
      <w:r w:rsidR="00211160" w:rsidRPr="009140BA">
        <w:rPr>
          <w:b/>
          <w:sz w:val="21"/>
          <w:szCs w:val="21"/>
        </w:rPr>
        <w:t>,</w:t>
      </w:r>
      <w:r w:rsidR="00390B19" w:rsidRPr="009140BA">
        <w:rPr>
          <w:b/>
          <w:sz w:val="21"/>
          <w:szCs w:val="21"/>
        </w:rPr>
        <w:t xml:space="preserve"> in its current form</w:t>
      </w:r>
      <w:r w:rsidR="00211160" w:rsidRPr="009140BA">
        <w:rPr>
          <w:b/>
          <w:sz w:val="21"/>
          <w:szCs w:val="21"/>
        </w:rPr>
        <w:t>,</w:t>
      </w:r>
      <w:r w:rsidR="00390B19" w:rsidRPr="009140BA">
        <w:rPr>
          <w:b/>
          <w:sz w:val="21"/>
          <w:szCs w:val="21"/>
        </w:rPr>
        <w:t xml:space="preserve"> to the CEFC</w:t>
      </w:r>
      <w:r w:rsidR="00211160" w:rsidRPr="009140BA">
        <w:rPr>
          <w:sz w:val="21"/>
          <w:szCs w:val="21"/>
        </w:rPr>
        <w:t>,</w:t>
      </w:r>
      <w:r w:rsidR="00390B19" w:rsidRPr="009140BA">
        <w:rPr>
          <w:sz w:val="21"/>
          <w:szCs w:val="21"/>
        </w:rPr>
        <w:t xml:space="preserve"> given a number of the projects (i.e. 5 gas and 1 coal project) are not consistent with the CEFC guidelines for low emissions technology and points</w:t>
      </w:r>
      <w:r w:rsidR="00211160" w:rsidRPr="009140BA">
        <w:rPr>
          <w:sz w:val="21"/>
          <w:szCs w:val="21"/>
        </w:rPr>
        <w:t>.</w:t>
      </w:r>
    </w:p>
    <w:p w14:paraId="1BE1567D" w14:textId="77777777" w:rsidR="00E8108B" w:rsidRPr="009140BA" w:rsidRDefault="00E8108B">
      <w:pPr>
        <w:pStyle w:val="ListParagraph"/>
        <w:rPr>
          <w:sz w:val="21"/>
          <w:szCs w:val="21"/>
        </w:rPr>
      </w:pPr>
      <w:r w:rsidRPr="009140BA">
        <w:rPr>
          <w:b/>
          <w:sz w:val="21"/>
          <w:szCs w:val="21"/>
        </w:rPr>
        <w:t>Rejecting changes that would enable the CEFC funding for gas or fossil fuel projects</w:t>
      </w:r>
      <w:r w:rsidRPr="009140BA">
        <w:rPr>
          <w:sz w:val="21"/>
          <w:szCs w:val="21"/>
        </w:rPr>
        <w:t>. The CEFC should be used to fund projects that will accelerate the transition to zero emissions energy and economy. Supporting projects that do not accelerate the transition to zero emissions is not in keeping with our international obligations under the Paris Agreement and the Sustainable Development Goals. Such projects would increase climate impacts on people, environment and economy; create stranded assets and increase intergenerational inequity.</w:t>
      </w:r>
    </w:p>
    <w:p w14:paraId="2EBFB0A2" w14:textId="1127C4C2" w:rsidR="00390B19" w:rsidRPr="00390B19" w:rsidRDefault="00390B19" w:rsidP="00E8108B">
      <w:pPr>
        <w:pStyle w:val="Heading4"/>
        <w:rPr>
          <w:rFonts w:cs="Calibri"/>
          <w:color w:val="000000"/>
          <w:sz w:val="22"/>
        </w:rPr>
      </w:pPr>
    </w:p>
    <w:p w14:paraId="0AE80BAD" w14:textId="77777777" w:rsidR="00390B19" w:rsidRDefault="00390B19" w:rsidP="00390B19">
      <w:pPr>
        <w:pStyle w:val="Heading4"/>
        <w:rPr>
          <w:lang w:val="en-AU"/>
        </w:rPr>
      </w:pPr>
      <w:r>
        <w:rPr>
          <w:lang w:val="en-AU"/>
        </w:rPr>
        <w:t xml:space="preserve">Contact </w:t>
      </w:r>
    </w:p>
    <w:p w14:paraId="031490A4" w14:textId="3EC4DD94" w:rsidR="00A92E5F" w:rsidRPr="009140BA" w:rsidRDefault="00390B19" w:rsidP="00390B19">
      <w:pPr>
        <w:pStyle w:val="Footer"/>
        <w:rPr>
          <w:color w:val="auto"/>
          <w:sz w:val="21"/>
          <w:szCs w:val="21"/>
        </w:rPr>
      </w:pPr>
      <w:r w:rsidRPr="009140BA">
        <w:rPr>
          <w:color w:val="auto"/>
          <w:sz w:val="21"/>
          <w:szCs w:val="21"/>
        </w:rPr>
        <w:t>Kellie Caught</w:t>
      </w:r>
      <w:r w:rsidRPr="009140BA">
        <w:rPr>
          <w:color w:val="auto"/>
          <w:sz w:val="21"/>
          <w:szCs w:val="21"/>
        </w:rPr>
        <w:br/>
        <w:t>Senior Adviser, Climate and Energy</w:t>
      </w:r>
      <w:r w:rsidRPr="009140BA">
        <w:rPr>
          <w:color w:val="auto"/>
          <w:sz w:val="21"/>
          <w:szCs w:val="21"/>
        </w:rPr>
        <w:br/>
      </w:r>
      <w:r w:rsidR="00211160" w:rsidRPr="009140BA">
        <w:rPr>
          <w:color w:val="auto"/>
          <w:sz w:val="21"/>
          <w:szCs w:val="21"/>
        </w:rPr>
        <w:t xml:space="preserve">E: </w:t>
      </w:r>
      <w:hyperlink r:id="rId11" w:history="1">
        <w:r w:rsidRPr="009140BA">
          <w:rPr>
            <w:color w:val="auto"/>
            <w:sz w:val="21"/>
            <w:szCs w:val="21"/>
          </w:rPr>
          <w:t>kellie@acoss.org.au</w:t>
        </w:r>
      </w:hyperlink>
      <w:r w:rsidRPr="009140BA">
        <w:rPr>
          <w:color w:val="auto"/>
          <w:sz w:val="21"/>
          <w:szCs w:val="21"/>
        </w:rPr>
        <w:t xml:space="preserve"> </w:t>
      </w:r>
      <w:r w:rsidRPr="009140BA">
        <w:rPr>
          <w:color w:val="F8E27E"/>
          <w:sz w:val="21"/>
          <w:szCs w:val="21"/>
        </w:rPr>
        <w:t>|</w:t>
      </w:r>
      <w:r w:rsidRPr="009140BA">
        <w:rPr>
          <w:color w:val="auto"/>
          <w:sz w:val="21"/>
          <w:szCs w:val="21"/>
        </w:rPr>
        <w:t xml:space="preserve"> </w:t>
      </w:r>
      <w:r w:rsidR="00211160" w:rsidRPr="009140BA">
        <w:rPr>
          <w:color w:val="auto"/>
          <w:sz w:val="21"/>
          <w:szCs w:val="21"/>
        </w:rPr>
        <w:t>M: 0406</w:t>
      </w:r>
      <w:r w:rsidR="00E94806" w:rsidRPr="009140BA">
        <w:rPr>
          <w:color w:val="auto"/>
          <w:sz w:val="21"/>
          <w:szCs w:val="21"/>
        </w:rPr>
        <w:t xml:space="preserve"> </w:t>
      </w:r>
      <w:r w:rsidR="00211160" w:rsidRPr="009140BA">
        <w:rPr>
          <w:color w:val="auto"/>
          <w:sz w:val="21"/>
          <w:szCs w:val="21"/>
        </w:rPr>
        <w:t>383</w:t>
      </w:r>
      <w:r w:rsidR="00E94806" w:rsidRPr="009140BA">
        <w:rPr>
          <w:color w:val="auto"/>
          <w:sz w:val="21"/>
          <w:szCs w:val="21"/>
        </w:rPr>
        <w:t xml:space="preserve"> </w:t>
      </w:r>
      <w:r w:rsidR="00211160" w:rsidRPr="009140BA">
        <w:rPr>
          <w:color w:val="auto"/>
          <w:sz w:val="21"/>
          <w:szCs w:val="21"/>
        </w:rPr>
        <w:t>277</w:t>
      </w:r>
    </w:p>
    <w:sectPr w:rsidR="00A92E5F" w:rsidRPr="009140BA" w:rsidSect="00E94806">
      <w:headerReference w:type="default" r:id="rId12"/>
      <w:footerReference w:type="default" r:id="rId13"/>
      <w:headerReference w:type="first" r:id="rId14"/>
      <w:footerReference w:type="first" r:id="rId15"/>
      <w:pgSz w:w="12240" w:h="15840"/>
      <w:pgMar w:top="1701" w:right="1183" w:bottom="1418"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4818" w14:textId="77777777" w:rsidR="00556A6C" w:rsidRDefault="00556A6C" w:rsidP="00261645">
      <w:r>
        <w:separator/>
      </w:r>
    </w:p>
  </w:endnote>
  <w:endnote w:type="continuationSeparator" w:id="0">
    <w:p w14:paraId="08C93D10" w14:textId="77777777" w:rsidR="00556A6C" w:rsidRDefault="00556A6C"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904949353"/>
      <w:docPartObj>
        <w:docPartGallery w:val="Page Numbers (Bottom of Page)"/>
        <w:docPartUnique/>
      </w:docPartObj>
    </w:sdtPr>
    <w:sdtEndPr>
      <w:rPr>
        <w:rFonts w:ascii="Verdana" w:eastAsiaTheme="majorEastAsia" w:hAnsi="Verdana" w:cstheme="majorBidi"/>
        <w:noProof/>
        <w:color w:val="000000" w:themeColor="text1"/>
        <w:sz w:val="21"/>
        <w:szCs w:val="21"/>
      </w:rPr>
    </w:sdtEndPr>
    <w:sdtContent>
      <w:p w14:paraId="04F6E903" w14:textId="77777777" w:rsidR="001A479C" w:rsidRPr="009140BA" w:rsidRDefault="001A479C" w:rsidP="00A04ECE">
        <w:pPr>
          <w:pStyle w:val="Footer"/>
          <w:spacing w:before="360"/>
          <w:ind w:right="-454"/>
          <w:jc w:val="center"/>
          <w:rPr>
            <w:rFonts w:eastAsiaTheme="majorEastAsia" w:cstheme="majorBidi"/>
            <w:noProof/>
            <w:sz w:val="21"/>
            <w:szCs w:val="21"/>
          </w:rPr>
        </w:pPr>
        <w:r w:rsidRPr="009140BA">
          <w:rPr>
            <w:rFonts w:eastAsiaTheme="minorEastAsia" w:cs="Times New Roman"/>
            <w:sz w:val="21"/>
            <w:szCs w:val="21"/>
          </w:rPr>
          <w:fldChar w:fldCharType="begin"/>
        </w:r>
        <w:r w:rsidRPr="009140BA">
          <w:rPr>
            <w:sz w:val="21"/>
            <w:szCs w:val="21"/>
          </w:rPr>
          <w:instrText xml:space="preserve"> PAGE   \* MERGEFORMAT </w:instrText>
        </w:r>
        <w:r w:rsidRPr="009140BA">
          <w:rPr>
            <w:rFonts w:eastAsiaTheme="minorEastAsia" w:cs="Times New Roman"/>
            <w:sz w:val="21"/>
            <w:szCs w:val="21"/>
          </w:rPr>
          <w:fldChar w:fldCharType="separate"/>
        </w:r>
        <w:r w:rsidR="00E25E03" w:rsidRPr="00E25E03">
          <w:rPr>
            <w:rFonts w:eastAsiaTheme="majorEastAsia" w:cstheme="majorBidi"/>
            <w:noProof/>
            <w:sz w:val="21"/>
            <w:szCs w:val="21"/>
          </w:rPr>
          <w:t>2</w:t>
        </w:r>
        <w:r w:rsidRPr="009140BA">
          <w:rPr>
            <w:rFonts w:eastAsiaTheme="majorEastAsia" w:cstheme="majorBidi"/>
            <w:noProof/>
            <w:sz w:val="21"/>
            <w:szCs w:val="21"/>
          </w:rPr>
          <w:fldChar w:fldCharType="end"/>
        </w:r>
      </w:p>
    </w:sdtContent>
  </w:sdt>
  <w:p w14:paraId="0F55C8A6" w14:textId="77777777" w:rsidR="00B16A1F" w:rsidRPr="00B16A1F" w:rsidRDefault="00B16A1F" w:rsidP="00261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607AF" w14:textId="77777777" w:rsidR="00BC67E3" w:rsidRPr="004032F1" w:rsidRDefault="00BC67E3" w:rsidP="00A04ECE">
    <w:pPr>
      <w:pStyle w:val="Footer"/>
      <w:jc w:val="center"/>
      <w:rPr>
        <w:sz w:val="18"/>
        <w:szCs w:val="18"/>
      </w:rPr>
    </w:pPr>
    <w:r w:rsidRPr="004032F1">
      <w:rPr>
        <w:sz w:val="18"/>
        <w:szCs w:val="18"/>
      </w:rPr>
      <w:t>© ACOSS 2020, Locked Bag 4777 Strawberry Hills NSW 2012</w:t>
    </w:r>
    <w:r w:rsidRPr="004032F1">
      <w:rPr>
        <w:sz w:val="18"/>
        <w:szCs w:val="18"/>
      </w:rPr>
      <w:br/>
    </w:r>
    <w:proofErr w:type="spellStart"/>
    <w:r w:rsidRPr="004032F1">
      <w:rPr>
        <w:sz w:val="18"/>
        <w:szCs w:val="18"/>
      </w:rPr>
      <w:t>Ph</w:t>
    </w:r>
    <w:proofErr w:type="spellEnd"/>
    <w:r w:rsidRPr="004032F1">
      <w:rPr>
        <w:sz w:val="18"/>
        <w:szCs w:val="18"/>
      </w:rPr>
      <w:t xml:space="preserve">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3741B4E5" w14:textId="77777777" w:rsidR="00CD2D26" w:rsidRPr="001A479C" w:rsidRDefault="00CD2D26" w:rsidP="00A04ECE">
    <w:pPr>
      <w:pStyle w:val="Footer"/>
      <w:ind w:right="-4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CB00" w14:textId="77777777" w:rsidR="00556A6C" w:rsidRDefault="00556A6C" w:rsidP="00261645">
      <w:r>
        <w:separator/>
      </w:r>
    </w:p>
  </w:footnote>
  <w:footnote w:type="continuationSeparator" w:id="0">
    <w:p w14:paraId="7EFCAF8E" w14:textId="77777777" w:rsidR="00556A6C" w:rsidRDefault="00556A6C" w:rsidP="0026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FDA5" w14:textId="77777777" w:rsidR="0030414A" w:rsidRDefault="00EE2EBE" w:rsidP="00261645">
    <w:pPr>
      <w:pStyle w:val="Header"/>
    </w:pPr>
    <w:r>
      <w:rPr>
        <w:noProof/>
        <w:lang w:val="en-AU" w:eastAsia="en-AU"/>
      </w:rPr>
      <w:drawing>
        <wp:anchor distT="0" distB="0" distL="114300" distR="114300" simplePos="0" relativeHeight="251657216" behindDoc="1" locked="0" layoutInCell="1" allowOverlap="1" wp14:anchorId="3B7451F0" wp14:editId="7878382E">
          <wp:simplePos x="0" y="0"/>
          <wp:positionH relativeFrom="rightMargin">
            <wp:posOffset>-244928</wp:posOffset>
          </wp:positionH>
          <wp:positionV relativeFrom="page">
            <wp:posOffset>219801</wp:posOffset>
          </wp:positionV>
          <wp:extent cx="820800" cy="820800"/>
          <wp:effectExtent l="0" t="0" r="0" b="0"/>
          <wp:wrapNone/>
          <wp:docPr id="36" name="Picture 36"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4CFD" w14:textId="77777777" w:rsidR="00A04ECE" w:rsidRPr="00A04ECE" w:rsidRDefault="00A04ECE" w:rsidP="00A04ECE">
    <w:pPr>
      <w:pStyle w:val="Header"/>
      <w:jc w:val="right"/>
    </w:pPr>
    <w:r>
      <w:rPr>
        <w:noProof/>
        <w:lang w:val="en-AU" w:eastAsia="en-AU"/>
      </w:rPr>
      <w:drawing>
        <wp:anchor distT="0" distB="0" distL="114300" distR="114300" simplePos="0" relativeHeight="251664384" behindDoc="0" locked="0" layoutInCell="1" allowOverlap="1" wp14:anchorId="37102E4E" wp14:editId="02CD27E7">
          <wp:simplePos x="0" y="0"/>
          <wp:positionH relativeFrom="column">
            <wp:posOffset>3282043</wp:posOffset>
          </wp:positionH>
          <wp:positionV relativeFrom="paragraph">
            <wp:posOffset>-203291</wp:posOffset>
          </wp:positionV>
          <wp:extent cx="3194050" cy="798513"/>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C03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246587"/>
    <w:multiLevelType w:val="multilevel"/>
    <w:tmpl w:val="4F54986C"/>
    <w:lvl w:ilvl="0">
      <w:start w:val="1"/>
      <w:numFmt w:val="decimal"/>
      <w:lvlText w:val="%1."/>
      <w:lvlJc w:val="left"/>
      <w:pPr>
        <w:ind w:left="720" w:hanging="360"/>
      </w:pPr>
      <w:rPr>
        <w:rFonts w:hint="default"/>
        <w:b w:val="0"/>
        <w:i w:val="0"/>
        <w:color w:val="auto"/>
        <w:sz w:val="20"/>
      </w:rPr>
    </w:lvl>
    <w:lvl w:ilvl="1">
      <w:start w:val="1"/>
      <w:numFmt w:val="upperRoman"/>
      <w:lvlText w:val="%2."/>
      <w:lvlJc w:val="left"/>
      <w:pPr>
        <w:ind w:left="1440" w:hanging="360"/>
      </w:pPr>
      <w:rPr>
        <w:rFonts w:hint="default"/>
        <w:b w:val="0"/>
        <w:i w:val="0"/>
        <w:color w:val="auto"/>
        <w:sz w:val="20"/>
      </w:rPr>
    </w:lvl>
    <w:lvl w:ilvl="2">
      <w:start w:val="1"/>
      <w:numFmt w:val="lowerRoman"/>
      <w:lvlText w:val="%3."/>
      <w:lvlJc w:val="left"/>
      <w:pPr>
        <w:ind w:left="2160" w:hanging="180"/>
      </w:pPr>
      <w:rPr>
        <w:rFonts w:hint="default"/>
        <w:b w:val="0"/>
        <w:i w:val="0"/>
        <w:color w:val="auto"/>
        <w:sz w:val="20"/>
        <w:u w:color="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0A0D45"/>
    <w:multiLevelType w:val="hybridMultilevel"/>
    <w:tmpl w:val="90EAE4A8"/>
    <w:lvl w:ilvl="0" w:tplc="B82E6CEC">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401E0"/>
    <w:multiLevelType w:val="hybridMultilevel"/>
    <w:tmpl w:val="3D6825D2"/>
    <w:lvl w:ilvl="0" w:tplc="0409000F">
      <w:start w:val="1"/>
      <w:numFmt w:val="decimal"/>
      <w:lvlText w:val="%1."/>
      <w:lvlJc w:val="left"/>
      <w:pPr>
        <w:ind w:left="720" w:hanging="360"/>
      </w:pPr>
      <w:rPr>
        <w:rFonts w:ascii="Verdana" w:hAnsi="Verdana" w:hint="default"/>
        <w:b w:val="0"/>
        <w:i w:val="0"/>
        <w:color w:val="CE2028"/>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26AB9"/>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425252"/>
    <w:multiLevelType w:val="multilevel"/>
    <w:tmpl w:val="F19805DC"/>
    <w:lvl w:ilvl="0">
      <w:start w:val="1"/>
      <w:numFmt w:val="decimal"/>
      <w:pStyle w:val="ListParagraph"/>
      <w:lvlText w:val="%1."/>
      <w:lvlJc w:val="left"/>
      <w:pPr>
        <w:ind w:left="360" w:hanging="360"/>
      </w:pPr>
    </w:lvl>
    <w:lvl w:ilvl="1">
      <w:start w:val="1"/>
      <w:numFmt w:val="decimal"/>
      <w:lvlText w:val="%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B4EA5"/>
    <w:multiLevelType w:val="hybridMultilevel"/>
    <w:tmpl w:val="FA18FAC4"/>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A1862"/>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9797DEE"/>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BA4846"/>
    <w:multiLevelType w:val="multilevel"/>
    <w:tmpl w:val="A7866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64D48"/>
    <w:multiLevelType w:val="multilevel"/>
    <w:tmpl w:val="3D429EBA"/>
    <w:lvl w:ilvl="0">
      <w:start w:val="1"/>
      <w:numFmt w:val="decimal"/>
      <w:lvlText w:val="%1."/>
      <w:lvlJc w:val="left"/>
      <w:pPr>
        <w:ind w:left="360" w:hanging="360"/>
      </w:pPr>
    </w:lvl>
    <w:lvl w:ilvl="1">
      <w:start w:val="1"/>
      <w:numFmt w:val="decimal"/>
      <w:lvlText w:val="%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BD1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8339B7"/>
    <w:multiLevelType w:val="multilevel"/>
    <w:tmpl w:val="4A786816"/>
    <w:lvl w:ilvl="0">
      <w:start w:val="1"/>
      <w:numFmt w:val="decimal"/>
      <w:lvlText w:val="%1."/>
      <w:lvlJc w:val="left"/>
      <w:pPr>
        <w:ind w:left="720" w:hanging="360"/>
      </w:pPr>
      <w:rPr>
        <w:rFonts w:hint="default"/>
        <w:b w:val="0"/>
        <w:i w:val="0"/>
        <w:color w:val="000000" w:themeColor="text1"/>
        <w:sz w:val="22"/>
      </w:rPr>
    </w:lvl>
    <w:lvl w:ilvl="1">
      <w:start w:val="1"/>
      <w:numFmt w:val="upperRoman"/>
      <w:lvlText w:val="%2."/>
      <w:lvlJc w:val="left"/>
      <w:pPr>
        <w:ind w:left="1440" w:hanging="360"/>
      </w:pPr>
      <w:rPr>
        <w:rFonts w:hint="default"/>
        <w:b w:val="0"/>
        <w:i w:val="0"/>
        <w:color w:val="000000" w:themeColor="text1"/>
        <w:sz w:val="22"/>
      </w:rPr>
    </w:lvl>
    <w:lvl w:ilvl="2">
      <w:start w:val="1"/>
      <w:numFmt w:val="lowerRoman"/>
      <w:lvlText w:val="%3."/>
      <w:lvlJc w:val="left"/>
      <w:pPr>
        <w:ind w:left="2160" w:hanging="180"/>
      </w:pPr>
      <w:rPr>
        <w:rFonts w:hint="default"/>
        <w:b w:val="0"/>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330A3F"/>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6A11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15B61"/>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7"/>
  </w:num>
  <w:num w:numId="5">
    <w:abstractNumId w:val="16"/>
  </w:num>
  <w:num w:numId="6">
    <w:abstractNumId w:val="24"/>
  </w:num>
  <w:num w:numId="7">
    <w:abstractNumId w:val="10"/>
  </w:num>
  <w:num w:numId="8">
    <w:abstractNumId w:val="26"/>
  </w:num>
  <w:num w:numId="9">
    <w:abstractNumId w:val="13"/>
  </w:num>
  <w:num w:numId="10">
    <w:abstractNumId w:val="22"/>
  </w:num>
  <w:num w:numId="11">
    <w:abstractNumId w:val="11"/>
  </w:num>
  <w:num w:numId="12">
    <w:abstractNumId w:val="8"/>
  </w:num>
  <w:num w:numId="13">
    <w:abstractNumId w:val="25"/>
  </w:num>
  <w:num w:numId="14">
    <w:abstractNumId w:val="12"/>
  </w:num>
  <w:num w:numId="15">
    <w:abstractNumId w:val="6"/>
  </w:num>
  <w:num w:numId="16">
    <w:abstractNumId w:val="5"/>
  </w:num>
  <w:num w:numId="17">
    <w:abstractNumId w:val="4"/>
  </w:num>
  <w:num w:numId="18">
    <w:abstractNumId w:val="21"/>
  </w:num>
  <w:num w:numId="19">
    <w:abstractNumId w:val="0"/>
  </w:num>
  <w:num w:numId="20">
    <w:abstractNumId w:val="1"/>
  </w:num>
  <w:num w:numId="21">
    <w:abstractNumId w:val="23"/>
  </w:num>
  <w:num w:numId="22">
    <w:abstractNumId w:val="3"/>
  </w:num>
  <w:num w:numId="23">
    <w:abstractNumId w:val="20"/>
  </w:num>
  <w:num w:numId="24">
    <w:abstractNumId w:val="14"/>
  </w:num>
  <w:num w:numId="25">
    <w:abstractNumId w:val="15"/>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19"/>
    <w:rsid w:val="00045515"/>
    <w:rsid w:val="00050924"/>
    <w:rsid w:val="000C705E"/>
    <w:rsid w:val="001128A1"/>
    <w:rsid w:val="001240A1"/>
    <w:rsid w:val="00150BC0"/>
    <w:rsid w:val="00150C96"/>
    <w:rsid w:val="001A479C"/>
    <w:rsid w:val="001E599C"/>
    <w:rsid w:val="00211160"/>
    <w:rsid w:val="00221DC0"/>
    <w:rsid w:val="00235DBF"/>
    <w:rsid w:val="00246866"/>
    <w:rsid w:val="00261645"/>
    <w:rsid w:val="00277516"/>
    <w:rsid w:val="00286EBB"/>
    <w:rsid w:val="002B61D2"/>
    <w:rsid w:val="0030414A"/>
    <w:rsid w:val="00336A0E"/>
    <w:rsid w:val="00387DC0"/>
    <w:rsid w:val="00390B19"/>
    <w:rsid w:val="003A16B9"/>
    <w:rsid w:val="004032F1"/>
    <w:rsid w:val="00406077"/>
    <w:rsid w:val="0050124F"/>
    <w:rsid w:val="00517396"/>
    <w:rsid w:val="00537255"/>
    <w:rsid w:val="00537B3E"/>
    <w:rsid w:val="00556A6C"/>
    <w:rsid w:val="00565F46"/>
    <w:rsid w:val="00584CEF"/>
    <w:rsid w:val="005C3062"/>
    <w:rsid w:val="00620742"/>
    <w:rsid w:val="00640AF3"/>
    <w:rsid w:val="00696783"/>
    <w:rsid w:val="006A4C0D"/>
    <w:rsid w:val="0072102B"/>
    <w:rsid w:val="007610E2"/>
    <w:rsid w:val="007648F3"/>
    <w:rsid w:val="00784EF2"/>
    <w:rsid w:val="007B0D82"/>
    <w:rsid w:val="007B4D96"/>
    <w:rsid w:val="007C61BA"/>
    <w:rsid w:val="007E0C74"/>
    <w:rsid w:val="00817E80"/>
    <w:rsid w:val="008A43DD"/>
    <w:rsid w:val="009009EA"/>
    <w:rsid w:val="009064BC"/>
    <w:rsid w:val="00907B76"/>
    <w:rsid w:val="00910E71"/>
    <w:rsid w:val="009140BA"/>
    <w:rsid w:val="00937A7C"/>
    <w:rsid w:val="0099144D"/>
    <w:rsid w:val="009D633F"/>
    <w:rsid w:val="009F15AB"/>
    <w:rsid w:val="00A04125"/>
    <w:rsid w:val="00A04ECE"/>
    <w:rsid w:val="00A17B9C"/>
    <w:rsid w:val="00A42A22"/>
    <w:rsid w:val="00A456C5"/>
    <w:rsid w:val="00A712C3"/>
    <w:rsid w:val="00A76F5B"/>
    <w:rsid w:val="00A80B3F"/>
    <w:rsid w:val="00A92E5F"/>
    <w:rsid w:val="00B16A1F"/>
    <w:rsid w:val="00B33590"/>
    <w:rsid w:val="00B810D4"/>
    <w:rsid w:val="00B95E8A"/>
    <w:rsid w:val="00BA2E57"/>
    <w:rsid w:val="00BA7F33"/>
    <w:rsid w:val="00BC67E3"/>
    <w:rsid w:val="00BE45E1"/>
    <w:rsid w:val="00C0614D"/>
    <w:rsid w:val="00C5273E"/>
    <w:rsid w:val="00C7222D"/>
    <w:rsid w:val="00C74807"/>
    <w:rsid w:val="00C80365"/>
    <w:rsid w:val="00C8598A"/>
    <w:rsid w:val="00C95E83"/>
    <w:rsid w:val="00CA48DA"/>
    <w:rsid w:val="00CD205D"/>
    <w:rsid w:val="00CD2D26"/>
    <w:rsid w:val="00D0401B"/>
    <w:rsid w:val="00D239AA"/>
    <w:rsid w:val="00D74A7F"/>
    <w:rsid w:val="00E10E0F"/>
    <w:rsid w:val="00E25E03"/>
    <w:rsid w:val="00E40F99"/>
    <w:rsid w:val="00E414C1"/>
    <w:rsid w:val="00E74AE5"/>
    <w:rsid w:val="00E8108B"/>
    <w:rsid w:val="00E94806"/>
    <w:rsid w:val="00E9513F"/>
    <w:rsid w:val="00EA0B1A"/>
    <w:rsid w:val="00EA2464"/>
    <w:rsid w:val="00EB2EF8"/>
    <w:rsid w:val="00EB62D1"/>
    <w:rsid w:val="00EE2EBE"/>
    <w:rsid w:val="00EE7C1A"/>
    <w:rsid w:val="00F22ED9"/>
    <w:rsid w:val="00F7307D"/>
    <w:rsid w:val="00FA298E"/>
    <w:rsid w:val="00FA4D3B"/>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079ED"/>
  <w15:chartTrackingRefBased/>
  <w15:docId w15:val="{54F8027F-7FF6-4027-9385-D848AE8B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19"/>
    <w:pPr>
      <w:spacing w:after="0"/>
      <w:jc w:val="left"/>
    </w:pPr>
    <w:rPr>
      <w:rFonts w:ascii="Verdana" w:hAnsi="Verdana"/>
      <w:color w:val="000000" w:themeColor="text1"/>
      <w:sz w:val="20"/>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lang w:val="en-AU"/>
    </w:rPr>
  </w:style>
  <w:style w:type="paragraph" w:styleId="Heading2">
    <w:name w:val="heading 2"/>
    <w:basedOn w:val="Normal"/>
    <w:next w:val="Normal"/>
    <w:link w:val="Heading2Char"/>
    <w:uiPriority w:val="9"/>
    <w:unhideWhenUsed/>
    <w:qFormat/>
    <w:rsid w:val="00A04ECE"/>
    <w:pPr>
      <w:keepNext/>
      <w:keepLines/>
      <w:spacing w:before="240"/>
      <w:outlineLvl w:val="1"/>
    </w:pPr>
    <w:rPr>
      <w:rFonts w:ascii="Palatino Linotype" w:eastAsiaTheme="majorEastAsia" w:hAnsi="Palatino Linotype" w:cstheme="majorBidi"/>
      <w:color w:val="143156"/>
      <w:sz w:val="44"/>
      <w:szCs w:val="26"/>
      <w:lang w:val="en-AU"/>
    </w:rPr>
  </w:style>
  <w:style w:type="paragraph" w:styleId="Heading3">
    <w:name w:val="heading 3"/>
    <w:basedOn w:val="Normal"/>
    <w:next w:val="Normal"/>
    <w:link w:val="Heading3Char"/>
    <w:uiPriority w:val="9"/>
    <w:unhideWhenUsed/>
    <w:qFormat/>
    <w:rsid w:val="00A04ECE"/>
    <w:pPr>
      <w:keepNext/>
      <w:keepLines/>
      <w:spacing w:before="240"/>
      <w:outlineLvl w:val="2"/>
    </w:pPr>
    <w:rPr>
      <w:rFonts w:ascii="Palatino Linotype" w:eastAsiaTheme="majorEastAsia" w:hAnsi="Palatino Linotype" w:cstheme="majorBidi"/>
      <w:b/>
      <w:color w:val="143156"/>
      <w:sz w:val="32"/>
      <w:szCs w:val="24"/>
      <w:lang w:val="en-AU"/>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211160"/>
    <w:pPr>
      <w:keepNext/>
      <w:numPr>
        <w:numId w:val="27"/>
      </w:numPr>
      <w:spacing w:before="120" w:after="120" w:line="280" w:lineRule="atLeast"/>
      <w:contextualSpacing w:val="0"/>
    </w:pPr>
    <w:rPr>
      <w:color w:val="auto"/>
      <w:lang w:val="en-AU"/>
    </w:r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390B19"/>
    <w:pPr>
      <w:keepNext/>
      <w:spacing w:before="240"/>
    </w:pPr>
    <w:rPr>
      <w:b/>
      <w:color w:val="CE2028"/>
      <w:sz w:val="22"/>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94806"/>
    <w:pPr>
      <w:keepNext/>
      <w:spacing w:before="120"/>
    </w:pPr>
    <w:rPr>
      <w:b/>
      <w:color w:val="CE2028"/>
      <w:sz w:val="22"/>
      <w:lang w:val="en-AU"/>
    </w:rPr>
  </w:style>
  <w:style w:type="character" w:customStyle="1" w:styleId="RecommendationChar">
    <w:name w:val="Recommendation Char"/>
    <w:basedOn w:val="DefaultParagraphFont"/>
    <w:link w:val="Recommendation"/>
    <w:rsid w:val="00390B19"/>
    <w:rPr>
      <w:rFonts w:ascii="Verdana" w:hAnsi="Verdana"/>
      <w:b/>
      <w:color w:val="CE2028"/>
    </w:rPr>
  </w:style>
  <w:style w:type="character" w:customStyle="1" w:styleId="SummaryChar">
    <w:name w:val="Summary Char"/>
    <w:basedOn w:val="RecommendationChar"/>
    <w:link w:val="Summary"/>
    <w:rsid w:val="00E94806"/>
    <w:rPr>
      <w:rFonts w:ascii="Verdana" w:hAnsi="Verdana"/>
      <w:b/>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9"/>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0"/>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390B19"/>
    <w:rPr>
      <w:b/>
      <w:bCs/>
    </w:rPr>
  </w:style>
  <w:style w:type="character" w:customStyle="1" w:styleId="CommentSubjectChar">
    <w:name w:val="Comment Subject Char"/>
    <w:basedOn w:val="CommentTextChar"/>
    <w:link w:val="CommentSubject"/>
    <w:uiPriority w:val="99"/>
    <w:semiHidden/>
    <w:rsid w:val="00390B19"/>
    <w:rPr>
      <w:rFonts w:ascii="Verdana" w:hAnsi="Verdana"/>
      <w:b/>
      <w:bCs/>
      <w:color w:val="000000" w:themeColor="text1"/>
      <w:sz w:val="20"/>
      <w:szCs w:val="20"/>
    </w:rPr>
  </w:style>
  <w:style w:type="paragraph" w:styleId="Revision">
    <w:name w:val="Revision"/>
    <w:hidden/>
    <w:uiPriority w:val="99"/>
    <w:semiHidden/>
    <w:rsid w:val="009F15AB"/>
    <w:pPr>
      <w:spacing w:after="0"/>
      <w:jc w:val="left"/>
    </w:pPr>
    <w:rPr>
      <w:rFonts w:ascii="Verdana" w:hAnsi="Verdana"/>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lie@acoss.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Environment_and_Communications/GridReliabilityFundBi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BC42-9C69-4BFB-8C59-73F4706C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MacDonald</dc:creator>
  <cp:keywords/>
  <dc:description/>
  <cp:lastModifiedBy>Kellie Caught</cp:lastModifiedBy>
  <cp:revision>3</cp:revision>
  <cp:lastPrinted>2020-09-25T03:44:00Z</cp:lastPrinted>
  <dcterms:created xsi:type="dcterms:W3CDTF">2020-09-25T05:45:00Z</dcterms:created>
  <dcterms:modified xsi:type="dcterms:W3CDTF">2020-09-25T05:48:00Z</dcterms:modified>
</cp:coreProperties>
</file>