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4" o:title="Word Document Background 3" type="tile"/>
    </v:background>
  </w:background>
  <w:body>
    <w:p w14:paraId="12CC3F1D" w14:textId="6CD90272" w:rsidR="00821FDB" w:rsidRPr="004C5B4A" w:rsidRDefault="00E65939" w:rsidP="00876411">
      <w:pPr>
        <w:pStyle w:val="Title"/>
        <w:spacing w:before="0"/>
        <w:jc w:val="center"/>
        <w:rPr>
          <w:color w:val="CE2028"/>
        </w:rPr>
      </w:pPr>
      <w:r w:rsidRPr="004C5B4A">
        <w:rPr>
          <w:color w:val="CE2028"/>
        </w:rPr>
        <w:t xml:space="preserve">Australian Council of Social </w:t>
      </w:r>
      <w:r w:rsidR="008335D5" w:rsidRPr="004C5B4A">
        <w:rPr>
          <w:color w:val="CE2028"/>
        </w:rPr>
        <w:t>Service</w:t>
      </w:r>
    </w:p>
    <w:p w14:paraId="2410D6A7" w14:textId="77777777" w:rsidR="00086775" w:rsidRPr="00086775" w:rsidRDefault="00086775" w:rsidP="00086775">
      <w:pPr>
        <w:rPr>
          <w:rFonts w:ascii="Arial" w:hAnsi="Arial" w:cs="Arial"/>
          <w:sz w:val="16"/>
          <w:szCs w:val="16"/>
        </w:rPr>
      </w:pPr>
    </w:p>
    <w:p w14:paraId="15ECB604" w14:textId="66278BE7" w:rsidR="00214B33" w:rsidRPr="00E71201" w:rsidRDefault="00537617" w:rsidP="00214B33">
      <w:pPr>
        <w:spacing w:before="100" w:beforeAutospacing="1" w:after="100" w:afterAutospacing="1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18</w:t>
      </w:r>
      <w:r w:rsidR="00E71201" w:rsidRPr="00E71201">
        <w:rPr>
          <w:rFonts w:ascii="Verdana" w:hAnsi="Verdana" w:cstheme="minorHAnsi"/>
        </w:rPr>
        <w:t xml:space="preserve"> March</w:t>
      </w:r>
      <w:r w:rsidR="00DD7203" w:rsidRPr="00E71201">
        <w:rPr>
          <w:rFonts w:ascii="Verdana" w:hAnsi="Verdana" w:cstheme="minorHAnsi"/>
        </w:rPr>
        <w:t xml:space="preserve"> 2021</w:t>
      </w:r>
    </w:p>
    <w:p w14:paraId="64F19510" w14:textId="77777777" w:rsidR="00330499" w:rsidRPr="00330499" w:rsidRDefault="00330499" w:rsidP="00330499">
      <w:pPr>
        <w:spacing w:after="0" w:line="240" w:lineRule="auto"/>
        <w:rPr>
          <w:rFonts w:ascii="Verdana" w:hAnsi="Verdana"/>
        </w:rPr>
      </w:pPr>
      <w:r w:rsidRPr="00330499">
        <w:rPr>
          <w:rFonts w:ascii="Verdana" w:hAnsi="Verdana"/>
        </w:rPr>
        <w:t>Senior Advisor</w:t>
      </w:r>
    </w:p>
    <w:p w14:paraId="22F06DB1" w14:textId="77777777" w:rsidR="00330499" w:rsidRPr="00330499" w:rsidRDefault="00330499" w:rsidP="00330499">
      <w:pPr>
        <w:spacing w:after="0" w:line="240" w:lineRule="auto"/>
        <w:rPr>
          <w:rFonts w:ascii="Verdana" w:hAnsi="Verdana"/>
        </w:rPr>
      </w:pPr>
      <w:r w:rsidRPr="00330499">
        <w:rPr>
          <w:rFonts w:ascii="Verdana" w:hAnsi="Verdana"/>
        </w:rPr>
        <w:t>Not-For-Profit Unit, Not-for-profits and Tax Administration Branch</w:t>
      </w:r>
    </w:p>
    <w:p w14:paraId="7CACE1D5" w14:textId="77777777" w:rsidR="00330499" w:rsidRPr="00330499" w:rsidRDefault="00330499" w:rsidP="00330499">
      <w:pPr>
        <w:spacing w:after="0" w:line="240" w:lineRule="auto"/>
        <w:rPr>
          <w:rFonts w:ascii="Verdana" w:hAnsi="Verdana"/>
        </w:rPr>
      </w:pPr>
      <w:r w:rsidRPr="00330499">
        <w:rPr>
          <w:rFonts w:ascii="Verdana" w:hAnsi="Verdana"/>
        </w:rPr>
        <w:t>Treasury Melbourne</w:t>
      </w:r>
    </w:p>
    <w:p w14:paraId="0F60B3F9" w14:textId="77777777" w:rsidR="00330499" w:rsidRPr="00330499" w:rsidRDefault="00330499" w:rsidP="00330499">
      <w:pPr>
        <w:spacing w:after="0" w:line="240" w:lineRule="auto"/>
        <w:rPr>
          <w:rFonts w:ascii="Verdana" w:hAnsi="Verdana"/>
        </w:rPr>
      </w:pPr>
      <w:r w:rsidRPr="00330499">
        <w:rPr>
          <w:rFonts w:ascii="Verdana" w:hAnsi="Verdana"/>
        </w:rPr>
        <w:t>Level 16, 530 Collins Street</w:t>
      </w:r>
    </w:p>
    <w:p w14:paraId="6F2BAA1C" w14:textId="77777777" w:rsidR="00330499" w:rsidRDefault="00330499" w:rsidP="00330499">
      <w:pPr>
        <w:spacing w:after="0" w:line="240" w:lineRule="auto"/>
        <w:rPr>
          <w:rFonts w:ascii="Verdana" w:hAnsi="Verdana"/>
        </w:rPr>
      </w:pPr>
      <w:r w:rsidRPr="00330499">
        <w:rPr>
          <w:rFonts w:ascii="Verdana" w:hAnsi="Verdana"/>
        </w:rPr>
        <w:t>Melbourne VIC 3000</w:t>
      </w:r>
    </w:p>
    <w:p w14:paraId="08E4BBDF" w14:textId="7929F738" w:rsidR="00330499" w:rsidRDefault="00513587" w:rsidP="00330499">
      <w:pPr>
        <w:spacing w:before="100" w:beforeAutospacing="1" w:after="100" w:afterAutospacing="1" w:line="240" w:lineRule="auto"/>
        <w:rPr>
          <w:rStyle w:val="Hyperlink"/>
          <w:rFonts w:ascii="Verdana" w:hAnsi="Verdana" w:cstheme="minorHAnsi"/>
          <w:shd w:val="clear" w:color="auto" w:fill="FFFFFF"/>
        </w:rPr>
      </w:pPr>
      <w:hyperlink r:id="rId9" w:history="1">
        <w:r w:rsidR="00330499" w:rsidRPr="007200EC">
          <w:rPr>
            <w:rStyle w:val="Hyperlink"/>
            <w:rFonts w:ascii="Verdana" w:hAnsi="Verdana" w:cstheme="minorHAnsi"/>
            <w:shd w:val="clear" w:color="auto" w:fill="FFFFFF"/>
          </w:rPr>
          <w:t>charitiesconsultation@treasury.gov.au</w:t>
        </w:r>
      </w:hyperlink>
    </w:p>
    <w:p w14:paraId="55D08DC8" w14:textId="4A0810A2" w:rsidR="00214B33" w:rsidRPr="00E71201" w:rsidRDefault="00E71201" w:rsidP="00214B33">
      <w:pPr>
        <w:spacing w:before="100" w:beforeAutospacing="1" w:after="100" w:afterAutospacing="1" w:line="240" w:lineRule="auto"/>
        <w:rPr>
          <w:rFonts w:ascii="Verdana" w:hAnsi="Verdana" w:cstheme="minorHAnsi"/>
          <w:lang w:val="en"/>
        </w:rPr>
      </w:pPr>
      <w:r w:rsidRPr="00E71201">
        <w:rPr>
          <w:rFonts w:ascii="Verdana" w:hAnsi="Verdana" w:cstheme="minorHAnsi"/>
          <w:lang w:val="en"/>
        </w:rPr>
        <w:t>To whom it may concern</w:t>
      </w:r>
      <w:r w:rsidR="00214B33" w:rsidRPr="00E71201">
        <w:rPr>
          <w:rFonts w:ascii="Verdana" w:hAnsi="Verdana" w:cstheme="minorHAnsi"/>
          <w:lang w:val="en"/>
        </w:rPr>
        <w:t>,</w:t>
      </w:r>
    </w:p>
    <w:p w14:paraId="46B29DF4" w14:textId="3EBF07FA" w:rsidR="00DD7203" w:rsidRPr="00E71201" w:rsidRDefault="00330499" w:rsidP="00E71201">
      <w:pPr>
        <w:rPr>
          <w:rFonts w:ascii="Verdana" w:eastAsia="Times New Roman" w:hAnsi="Verdana" w:cstheme="minorHAnsi"/>
          <w:b/>
          <w:bCs/>
          <w:kern w:val="36"/>
          <w:lang w:eastAsia="en-AU"/>
        </w:rPr>
      </w:pPr>
      <w:r w:rsidRPr="00330499">
        <w:rPr>
          <w:rFonts w:ascii="Verdana" w:eastAsia="Times New Roman" w:hAnsi="Verdana" w:cstheme="minorHAnsi"/>
          <w:b/>
          <w:bCs/>
          <w:kern w:val="36"/>
          <w:lang w:eastAsia="en-AU"/>
        </w:rPr>
        <w:t>Unlawful activity - changes to the governance standards for registered charities</w:t>
      </w:r>
    </w:p>
    <w:p w14:paraId="23A36A2D" w14:textId="335C5D48" w:rsidR="00DD7203" w:rsidRPr="00E71201" w:rsidRDefault="00DD7203" w:rsidP="00DD7203">
      <w:pPr>
        <w:spacing w:before="100" w:beforeAutospacing="1" w:after="100" w:afterAutospacing="1" w:line="240" w:lineRule="auto"/>
        <w:rPr>
          <w:rFonts w:ascii="Verdana" w:hAnsi="Verdana"/>
        </w:rPr>
      </w:pPr>
      <w:r w:rsidRPr="00E71201">
        <w:rPr>
          <w:rFonts w:ascii="Verdana" w:hAnsi="Verdana"/>
        </w:rPr>
        <w:t>The Australian Council of Social Service (ACOSS) is a national voice in support of people affected by poverty, disadvantage and inequality and the peak body for the community services and civil society sector. ACOSS consists of a network of approximately 4000 organisations and individuals across Australia in metro, regional and remote areas. Our vision is an end to poverty in all its forms; economies that are fair, sustainable and resilient; and communities that are just, peaceful and inclusive.</w:t>
      </w:r>
      <w:r w:rsidRPr="00E71201" w:rsidDel="007563B2">
        <w:rPr>
          <w:rFonts w:ascii="Verdana" w:hAnsi="Verdana"/>
        </w:rPr>
        <w:t xml:space="preserve"> </w:t>
      </w:r>
    </w:p>
    <w:p w14:paraId="12398953" w14:textId="4D396AC0" w:rsidR="0041528E" w:rsidRPr="0052769A" w:rsidRDefault="00214B33" w:rsidP="00E71201">
      <w:pPr>
        <w:spacing w:before="100" w:beforeAutospacing="1" w:after="100" w:afterAutospacing="1" w:line="240" w:lineRule="auto"/>
        <w:rPr>
          <w:rFonts w:ascii="Verdana" w:hAnsi="Verdana" w:cstheme="minorHAnsi"/>
        </w:rPr>
      </w:pPr>
      <w:r w:rsidRPr="00330499">
        <w:rPr>
          <w:rFonts w:ascii="Verdana" w:hAnsi="Verdana" w:cstheme="minorHAnsi"/>
        </w:rPr>
        <w:t xml:space="preserve">ACOSS </w:t>
      </w:r>
      <w:r w:rsidR="000A715A" w:rsidRPr="00330499">
        <w:rPr>
          <w:rFonts w:ascii="Verdana" w:hAnsi="Verdana" w:cstheme="minorHAnsi"/>
        </w:rPr>
        <w:t xml:space="preserve">welcomes the opportunity to provide </w:t>
      </w:r>
      <w:r w:rsidR="00E71201" w:rsidRPr="00330499">
        <w:rPr>
          <w:rFonts w:ascii="Verdana" w:hAnsi="Verdana" w:cstheme="minorHAnsi"/>
        </w:rPr>
        <w:t>this written submission addressing</w:t>
      </w:r>
      <w:r w:rsidR="000A715A" w:rsidRPr="00330499">
        <w:rPr>
          <w:rFonts w:ascii="Verdana" w:hAnsi="Verdana" w:cstheme="minorHAnsi"/>
        </w:rPr>
        <w:t xml:space="preserve"> the </w:t>
      </w:r>
      <w:r w:rsidR="00330499" w:rsidRPr="00330499">
        <w:rPr>
          <w:rFonts w:ascii="Verdana" w:hAnsi="Verdana" w:cstheme="minorHAnsi"/>
        </w:rPr>
        <w:t xml:space="preserve">draft legislative instrument and explanatory materials for changes to governance standard three in the </w:t>
      </w:r>
      <w:r w:rsidR="00330499" w:rsidRPr="004B7D26">
        <w:rPr>
          <w:rFonts w:ascii="Verdana" w:hAnsi="Verdana" w:cstheme="minorHAnsi"/>
          <w:i/>
        </w:rPr>
        <w:t>Australian Charities and Not-for-profits Commission Regulation 2013</w:t>
      </w:r>
      <w:r w:rsidR="00330499">
        <w:rPr>
          <w:rFonts w:ascii="Verdana" w:hAnsi="Verdana" w:cstheme="minorHAnsi"/>
        </w:rPr>
        <w:t>,</w:t>
      </w:r>
      <w:r w:rsidR="00330499" w:rsidRPr="00330499">
        <w:rPr>
          <w:rFonts w:ascii="Verdana" w:hAnsi="Verdana" w:cstheme="minorHAnsi"/>
        </w:rPr>
        <w:t xml:space="preserve"> to expand the scope of impermissible activities that registered </w:t>
      </w:r>
      <w:r w:rsidR="00330499" w:rsidRPr="0052769A">
        <w:rPr>
          <w:rFonts w:ascii="Verdana" w:hAnsi="Verdana" w:cstheme="minorHAnsi"/>
        </w:rPr>
        <w:t>charities must not engage in or promote others to engage in.</w:t>
      </w:r>
    </w:p>
    <w:p w14:paraId="42DB482A" w14:textId="2F2643C9" w:rsidR="004B7D26" w:rsidRPr="0052769A" w:rsidRDefault="00537617" w:rsidP="00E71201">
      <w:pPr>
        <w:spacing w:before="100" w:beforeAutospacing="1" w:after="100" w:afterAutospacing="1" w:line="240" w:lineRule="auto"/>
        <w:rPr>
          <w:rFonts w:ascii="Verdana" w:hAnsi="Verdana" w:cstheme="minorHAnsi"/>
        </w:rPr>
      </w:pPr>
      <w:r w:rsidRPr="0052769A">
        <w:rPr>
          <w:rFonts w:ascii="Verdana" w:hAnsi="Verdana" w:cstheme="minorHAnsi"/>
        </w:rPr>
        <w:t xml:space="preserve">The proposed changes to the Governance Standards are an affront to democracy and legitimate protest, and will inevitably have a chilling effect on charities’ policy advocacy. </w:t>
      </w:r>
      <w:r w:rsidR="005128AC" w:rsidRPr="0052769A">
        <w:rPr>
          <w:rFonts w:ascii="Verdana" w:hAnsi="Verdana" w:cstheme="minorHAnsi"/>
        </w:rPr>
        <w:t xml:space="preserve">We consider that </w:t>
      </w:r>
      <w:r w:rsidR="004B7D26" w:rsidRPr="0052769A">
        <w:rPr>
          <w:rFonts w:ascii="Verdana" w:hAnsi="Verdana" w:cstheme="minorHAnsi"/>
        </w:rPr>
        <w:t>these proposed changes to the regulations/governance standards are completely inappropriate</w:t>
      </w:r>
      <w:r w:rsidRPr="0052769A">
        <w:rPr>
          <w:rFonts w:ascii="Verdana" w:hAnsi="Verdana" w:cstheme="minorHAnsi"/>
        </w:rPr>
        <w:t xml:space="preserve"> </w:t>
      </w:r>
      <w:r w:rsidR="004B7D26" w:rsidRPr="0052769A">
        <w:rPr>
          <w:rFonts w:ascii="Verdana" w:hAnsi="Verdana" w:cstheme="minorHAnsi"/>
        </w:rPr>
        <w:t>and should not proceed. We request these proposed changes be withdrawn.</w:t>
      </w:r>
    </w:p>
    <w:p w14:paraId="625E7682" w14:textId="77777777" w:rsidR="0052769A" w:rsidRPr="0052769A" w:rsidRDefault="0052769A" w:rsidP="0052769A">
      <w:pPr>
        <w:spacing w:before="100" w:beforeAutospacing="1" w:after="100" w:afterAutospacing="1" w:line="240" w:lineRule="auto"/>
        <w:rPr>
          <w:rFonts w:ascii="Verdana" w:hAnsi="Verdana" w:cstheme="minorHAnsi"/>
        </w:rPr>
      </w:pPr>
      <w:r w:rsidRPr="0052769A">
        <w:rPr>
          <w:rFonts w:ascii="Verdana" w:hAnsi="Verdana" w:cstheme="minorHAnsi"/>
        </w:rPr>
        <w:t xml:space="preserve">ACOSS is a member of the Hands </w:t>
      </w:r>
      <w:proofErr w:type="gramStart"/>
      <w:r w:rsidRPr="0052769A">
        <w:rPr>
          <w:rFonts w:ascii="Verdana" w:hAnsi="Verdana" w:cstheme="minorHAnsi"/>
        </w:rPr>
        <w:t>Off</w:t>
      </w:r>
      <w:proofErr w:type="gramEnd"/>
      <w:r w:rsidRPr="0052769A">
        <w:rPr>
          <w:rFonts w:ascii="Verdana" w:hAnsi="Verdana" w:cstheme="minorHAnsi"/>
        </w:rPr>
        <w:t xml:space="preserve"> Our Charities alliance, and endorses the joint submission of the alliance. </w:t>
      </w:r>
    </w:p>
    <w:p w14:paraId="02AD5364" w14:textId="6891A423" w:rsidR="005128AC" w:rsidRDefault="004B7D26" w:rsidP="00E71201">
      <w:pPr>
        <w:spacing w:before="100" w:beforeAutospacing="1" w:after="100" w:afterAutospacing="1" w:line="240" w:lineRule="auto"/>
        <w:rPr>
          <w:rFonts w:ascii="Verdana" w:hAnsi="Verdana" w:cstheme="minorHAnsi"/>
        </w:rPr>
      </w:pPr>
      <w:r w:rsidRPr="0052769A">
        <w:rPr>
          <w:rFonts w:ascii="Verdana" w:hAnsi="Verdana" w:cstheme="minorHAnsi"/>
        </w:rPr>
        <w:t>There are a number of probl</w:t>
      </w:r>
      <w:r>
        <w:rPr>
          <w:rFonts w:ascii="Verdana" w:hAnsi="Verdana" w:cstheme="minorHAnsi"/>
        </w:rPr>
        <w:t xml:space="preserve">ems with the proposed changes that are outlined in detail in the Hands Off Our Charities alliance submission. In this submission, we </w:t>
      </w:r>
      <w:r w:rsidR="007950EC">
        <w:rPr>
          <w:rFonts w:ascii="Verdana" w:hAnsi="Verdana" w:cstheme="minorHAnsi"/>
        </w:rPr>
        <w:lastRenderedPageBreak/>
        <w:t xml:space="preserve">outline </w:t>
      </w:r>
      <w:r>
        <w:rPr>
          <w:rFonts w:ascii="Verdana" w:hAnsi="Verdana" w:cstheme="minorHAnsi"/>
        </w:rPr>
        <w:t>some specific problems with the proposed changes that affect ACOSS and our members.</w:t>
      </w:r>
      <w:r w:rsidR="005128AC">
        <w:rPr>
          <w:rFonts w:ascii="Verdana" w:hAnsi="Verdana" w:cstheme="minorHAnsi"/>
        </w:rPr>
        <w:t xml:space="preserve"> </w:t>
      </w:r>
    </w:p>
    <w:p w14:paraId="1CB3773E" w14:textId="4A1032AB" w:rsidR="004B7D26" w:rsidRDefault="0052769A" w:rsidP="00E71201">
      <w:pPr>
        <w:spacing w:before="100" w:beforeAutospacing="1" w:after="100" w:afterAutospacing="1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First</w:t>
      </w:r>
      <w:r w:rsidR="004B7D26">
        <w:rPr>
          <w:rFonts w:ascii="Verdana" w:hAnsi="Verdana" w:cstheme="minorHAnsi"/>
        </w:rPr>
        <w:t xml:space="preserve">, </w:t>
      </w:r>
      <w:r w:rsidR="009F2B82">
        <w:rPr>
          <w:rFonts w:ascii="Verdana" w:hAnsi="Verdana" w:cstheme="minorHAnsi"/>
        </w:rPr>
        <w:t>t</w:t>
      </w:r>
      <w:r w:rsidR="007950EC">
        <w:rPr>
          <w:rFonts w:ascii="Verdana" w:hAnsi="Verdana" w:cstheme="minorHAnsi"/>
        </w:rPr>
        <w:t>he Governance Standards were originally designed to be simple and straightforward to comply with</w:t>
      </w:r>
      <w:r w:rsidR="009F2B82">
        <w:rPr>
          <w:rFonts w:ascii="Verdana" w:hAnsi="Verdana" w:cstheme="minorHAnsi"/>
        </w:rPr>
        <w:t>. T</w:t>
      </w:r>
      <w:r w:rsidR="007950EC">
        <w:rPr>
          <w:rFonts w:ascii="Verdana" w:hAnsi="Verdana" w:cstheme="minorHAnsi"/>
        </w:rPr>
        <w:t>he proposed changes will</w:t>
      </w:r>
      <w:r w:rsidR="009F2B82">
        <w:rPr>
          <w:rFonts w:ascii="Verdana" w:hAnsi="Verdana" w:cstheme="minorHAnsi"/>
        </w:rPr>
        <w:t xml:space="preserve"> </w:t>
      </w:r>
      <w:r w:rsidR="007950EC">
        <w:rPr>
          <w:rFonts w:ascii="Verdana" w:hAnsi="Verdana" w:cstheme="minorHAnsi"/>
        </w:rPr>
        <w:t xml:space="preserve">add a layer of complexity that will </w:t>
      </w:r>
      <w:r w:rsidR="00A2221A">
        <w:rPr>
          <w:rFonts w:ascii="Verdana" w:hAnsi="Verdana" w:cstheme="minorHAnsi"/>
        </w:rPr>
        <w:t>mean</w:t>
      </w:r>
      <w:r w:rsidR="007950EC">
        <w:rPr>
          <w:rFonts w:ascii="Verdana" w:hAnsi="Verdana" w:cstheme="minorHAnsi"/>
        </w:rPr>
        <w:t xml:space="preserve"> many organisations </w:t>
      </w:r>
      <w:r w:rsidR="00A2221A">
        <w:rPr>
          <w:rFonts w:ascii="Verdana" w:hAnsi="Verdana" w:cstheme="minorHAnsi"/>
        </w:rPr>
        <w:t xml:space="preserve">will need to seek </w:t>
      </w:r>
      <w:r w:rsidR="007950EC">
        <w:rPr>
          <w:rFonts w:ascii="Verdana" w:hAnsi="Verdana" w:cstheme="minorHAnsi"/>
        </w:rPr>
        <w:t>legal advice that is appropriate to their context. There is a cost associated with that, and higher administrative costs divert funds and focus from front line service delivery.</w:t>
      </w:r>
      <w:r w:rsidR="00A2221A">
        <w:rPr>
          <w:rFonts w:ascii="Verdana" w:hAnsi="Verdana" w:cstheme="minorHAnsi"/>
        </w:rPr>
        <w:t xml:space="preserve"> </w:t>
      </w:r>
    </w:p>
    <w:p w14:paraId="7F317C8F" w14:textId="331BC61F" w:rsidR="007950EC" w:rsidRDefault="0052769A" w:rsidP="00E71201">
      <w:pPr>
        <w:spacing w:before="100" w:beforeAutospacing="1" w:after="100" w:afterAutospacing="1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Second</w:t>
      </w:r>
      <w:r w:rsidR="007950EC">
        <w:rPr>
          <w:rFonts w:ascii="Verdana" w:hAnsi="Verdana" w:cstheme="minorHAnsi"/>
        </w:rPr>
        <w:t xml:space="preserve">, ACOSS </w:t>
      </w:r>
      <w:r w:rsidR="00357CF8">
        <w:rPr>
          <w:rFonts w:ascii="Verdana" w:hAnsi="Verdana" w:cstheme="minorHAnsi"/>
        </w:rPr>
        <w:t>works directly with and supports (including financially)</w:t>
      </w:r>
      <w:r w:rsidR="007950EC">
        <w:rPr>
          <w:rFonts w:ascii="Verdana" w:hAnsi="Verdana" w:cstheme="minorHAnsi"/>
        </w:rPr>
        <w:t xml:space="preserve"> a number of small, grass roots advocacy organisations focussed on issues that affect people experiencing poverty and disadvantage. </w:t>
      </w:r>
      <w:r w:rsidR="00357CF8">
        <w:rPr>
          <w:rFonts w:ascii="Verdana" w:hAnsi="Verdana" w:cstheme="minorHAnsi"/>
        </w:rPr>
        <w:t>These changes to the governance standards mean that not only</w:t>
      </w:r>
      <w:r w:rsidR="002C3109">
        <w:rPr>
          <w:rFonts w:ascii="Verdana" w:hAnsi="Verdana" w:cstheme="minorHAnsi"/>
        </w:rPr>
        <w:t xml:space="preserve"> would</w:t>
      </w:r>
      <w:r w:rsidR="00357CF8">
        <w:rPr>
          <w:rFonts w:ascii="Verdana" w:hAnsi="Verdana" w:cstheme="minorHAnsi"/>
        </w:rPr>
        <w:t xml:space="preserve"> the charitable status of these organisations would be put at risk if they or their employees committed, or supported a summary offence, ACOSS’ charitable status could also be put at risk. </w:t>
      </w:r>
      <w:r w:rsidR="00EB575F">
        <w:rPr>
          <w:rFonts w:ascii="Verdana" w:hAnsi="Verdana" w:cstheme="minorHAnsi"/>
        </w:rPr>
        <w:t>This could mean that ACOSS and other philanthropic and grant making bodies reconsiders their support for small, grassroots organisations in the future.</w:t>
      </w:r>
    </w:p>
    <w:p w14:paraId="16C1F930" w14:textId="3F681F71" w:rsidR="007950EC" w:rsidRDefault="0052769A" w:rsidP="00C901E2">
      <w:pPr>
        <w:spacing w:before="100" w:beforeAutospacing="1" w:after="100" w:afterAutospacing="1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Third</w:t>
      </w:r>
      <w:r w:rsidR="009F2B82">
        <w:rPr>
          <w:rFonts w:ascii="Verdana" w:hAnsi="Verdana" w:cstheme="minorHAnsi"/>
        </w:rPr>
        <w:t xml:space="preserve">, these proposed regulations are out of step with the findings of the ACNC Legislation Review conducted in 2018. That review </w:t>
      </w:r>
      <w:r w:rsidR="00C901E2">
        <w:rPr>
          <w:rFonts w:ascii="Verdana" w:hAnsi="Verdana" w:cstheme="minorHAnsi"/>
        </w:rPr>
        <w:t>found that “</w:t>
      </w:r>
      <w:r w:rsidR="00C901E2" w:rsidRPr="00C901E2">
        <w:rPr>
          <w:rFonts w:ascii="Verdana" w:hAnsi="Verdana" w:cstheme="minorHAnsi"/>
        </w:rPr>
        <w:t>Governance standard 3 is not appropriate as a governance standard. Registered entities must comply</w:t>
      </w:r>
      <w:r w:rsidR="00C901E2">
        <w:rPr>
          <w:rFonts w:ascii="Verdana" w:hAnsi="Verdana" w:cstheme="minorHAnsi"/>
        </w:rPr>
        <w:t xml:space="preserve"> </w:t>
      </w:r>
      <w:r w:rsidR="00C901E2" w:rsidRPr="00C901E2">
        <w:rPr>
          <w:rFonts w:ascii="Verdana" w:hAnsi="Verdana" w:cstheme="minorHAnsi"/>
        </w:rPr>
        <w:t>with all applicable laws. It is not the function of the ACNC to force registered entities to enquire</w:t>
      </w:r>
      <w:r w:rsidR="00C901E2">
        <w:rPr>
          <w:rFonts w:ascii="Verdana" w:hAnsi="Verdana" w:cstheme="minorHAnsi"/>
        </w:rPr>
        <w:t xml:space="preserve"> </w:t>
      </w:r>
      <w:r w:rsidR="00C901E2" w:rsidRPr="00C901E2">
        <w:rPr>
          <w:rFonts w:ascii="Verdana" w:hAnsi="Verdana" w:cstheme="minorHAnsi"/>
        </w:rPr>
        <w:t>whether they may or may not have committed an offence (unr</w:t>
      </w:r>
      <w:r w:rsidR="00C901E2">
        <w:rPr>
          <w:rFonts w:ascii="Verdana" w:hAnsi="Verdana" w:cstheme="minorHAnsi"/>
        </w:rPr>
        <w:t xml:space="preserve">elated to the ACNC’s regulatory </w:t>
      </w:r>
      <w:r w:rsidR="00C901E2" w:rsidRPr="00C901E2">
        <w:rPr>
          <w:rFonts w:ascii="Verdana" w:hAnsi="Verdana" w:cstheme="minorHAnsi"/>
        </w:rPr>
        <w:t>obligations), advise the Commissioner of that offence and for the ACNC to advise the relevant</w:t>
      </w:r>
      <w:r w:rsidR="00C901E2">
        <w:rPr>
          <w:rFonts w:ascii="Verdana" w:hAnsi="Verdana" w:cstheme="minorHAnsi"/>
        </w:rPr>
        <w:t xml:space="preserve"> </w:t>
      </w:r>
      <w:r w:rsidR="00C901E2" w:rsidRPr="00C901E2">
        <w:rPr>
          <w:rFonts w:ascii="Verdana" w:hAnsi="Verdana" w:cstheme="minorHAnsi"/>
        </w:rPr>
        <w:t>authority regarding the offence.</w:t>
      </w:r>
      <w:r w:rsidR="00C901E2">
        <w:rPr>
          <w:rFonts w:ascii="Verdana" w:hAnsi="Verdana" w:cstheme="minorHAnsi"/>
        </w:rPr>
        <w:t>”</w:t>
      </w:r>
      <w:r w:rsidR="00C901E2">
        <w:rPr>
          <w:rStyle w:val="FootnoteReference"/>
          <w:rFonts w:ascii="Verdana" w:hAnsi="Verdana" w:cstheme="minorHAnsi"/>
        </w:rPr>
        <w:footnoteReference w:id="1"/>
      </w:r>
      <w:r w:rsidR="00C901E2">
        <w:rPr>
          <w:rFonts w:ascii="Verdana" w:hAnsi="Verdana" w:cstheme="minorHAnsi"/>
        </w:rPr>
        <w:t xml:space="preserve"> Noting that, it seems ill-considered to expand this governance standard, rather than repeal it.</w:t>
      </w:r>
    </w:p>
    <w:p w14:paraId="44D69581" w14:textId="583DF714" w:rsidR="00762C69" w:rsidRDefault="00762C69" w:rsidP="00762C69">
      <w:pPr>
        <w:pStyle w:val="NormalWeb"/>
        <w:spacing w:before="200" w:beforeAutospacing="0" w:after="200" w:afterAutospacing="0"/>
        <w:rPr>
          <w:rFonts w:ascii="Verdana" w:hAnsi="Verdana" w:cs="Arial"/>
          <w:color w:val="000000"/>
          <w:sz w:val="22"/>
          <w:szCs w:val="22"/>
        </w:rPr>
      </w:pPr>
      <w:r w:rsidRPr="00762C69">
        <w:rPr>
          <w:rFonts w:ascii="Verdana" w:hAnsi="Verdana" w:cstheme="minorHAnsi"/>
          <w:sz w:val="22"/>
          <w:szCs w:val="22"/>
        </w:rPr>
        <w:t>Further, these regulations provide the ACNC Commissioner with excessive power. Not only does the expanded governance standard provide the Commissioner with the power to deregister or take other action against a charity that is charged or convicted of committing an offence</w:t>
      </w:r>
      <w:r w:rsidR="00A2221A">
        <w:rPr>
          <w:rFonts w:ascii="Verdana" w:hAnsi="Verdana" w:cstheme="minorHAnsi"/>
          <w:sz w:val="22"/>
          <w:szCs w:val="22"/>
        </w:rPr>
        <w:t>,</w:t>
      </w:r>
      <w:r w:rsidRPr="00762C69">
        <w:rPr>
          <w:rFonts w:ascii="Verdana" w:hAnsi="Verdana" w:cstheme="minorHAnsi"/>
          <w:sz w:val="22"/>
          <w:szCs w:val="22"/>
        </w:rPr>
        <w:t xml:space="preserve"> </w:t>
      </w:r>
      <w:r w:rsidR="00A2221A">
        <w:rPr>
          <w:rFonts w:ascii="Verdana" w:hAnsi="Verdana" w:cstheme="minorHAnsi"/>
          <w:sz w:val="22"/>
          <w:szCs w:val="22"/>
        </w:rPr>
        <w:t>i</w:t>
      </w:r>
      <w:r w:rsidRPr="00762C69">
        <w:rPr>
          <w:rFonts w:ascii="Verdana" w:hAnsi="Verdana" w:cstheme="minorHAnsi"/>
          <w:sz w:val="22"/>
          <w:szCs w:val="22"/>
        </w:rPr>
        <w:t xml:space="preserve">t also empowers </w:t>
      </w:r>
      <w:r w:rsidR="00A2221A">
        <w:rPr>
          <w:rFonts w:ascii="Verdana" w:hAnsi="Verdana" w:cstheme="minorHAnsi"/>
          <w:sz w:val="22"/>
          <w:szCs w:val="22"/>
        </w:rPr>
        <w:t>them</w:t>
      </w:r>
      <w:r w:rsidRPr="00762C69">
        <w:rPr>
          <w:rFonts w:ascii="Verdana" w:hAnsi="Verdana" w:cstheme="minorHAnsi"/>
          <w:sz w:val="22"/>
          <w:szCs w:val="22"/>
        </w:rPr>
        <w:t xml:space="preserve"> to take action or deregister a charity where the action taken by the charity “may be dealt with” as a summary offence without any conviction or charge having taken place. Indeed a charity can even be deregistered </w:t>
      </w:r>
      <w:r>
        <w:rPr>
          <w:rFonts w:ascii="Verdana" w:hAnsi="Verdana" w:cstheme="minorHAnsi"/>
          <w:sz w:val="22"/>
          <w:szCs w:val="22"/>
        </w:rPr>
        <w:t xml:space="preserve">or have other action taken against it by the Commissioner </w:t>
      </w:r>
      <w:r w:rsidRPr="00762C69">
        <w:rPr>
          <w:rFonts w:ascii="Verdana" w:hAnsi="Verdana" w:cstheme="minorHAnsi"/>
          <w:sz w:val="22"/>
          <w:szCs w:val="22"/>
        </w:rPr>
        <w:t>for not taking “reasonable steps to ensure that its resources are neit</w:t>
      </w:r>
      <w:r w:rsidRPr="00762C69">
        <w:rPr>
          <w:rFonts w:ascii="Verdana" w:hAnsi="Verdana" w:cs="Arial"/>
          <w:color w:val="000000"/>
          <w:sz w:val="22"/>
          <w:szCs w:val="22"/>
        </w:rPr>
        <w:t>her used, nor continued to be used, to promote or support acts or omissions by any entity</w:t>
      </w:r>
      <w:r>
        <w:rPr>
          <w:rFonts w:ascii="Verdana" w:hAnsi="Verdana" w:cs="Arial"/>
          <w:color w:val="000000"/>
          <w:sz w:val="22"/>
          <w:szCs w:val="22"/>
        </w:rPr>
        <w:t>”</w:t>
      </w:r>
      <w:r>
        <w:rPr>
          <w:rStyle w:val="FootnoteReference"/>
          <w:rFonts w:ascii="Verdana" w:hAnsi="Verdana" w:cs="Arial"/>
          <w:color w:val="000000"/>
          <w:sz w:val="22"/>
          <w:szCs w:val="22"/>
        </w:rPr>
        <w:footnoteReference w:id="2"/>
      </w:r>
      <w:r>
        <w:rPr>
          <w:rFonts w:ascii="Verdana" w:hAnsi="Verdana" w:cs="Arial"/>
          <w:color w:val="000000"/>
          <w:sz w:val="22"/>
          <w:szCs w:val="22"/>
        </w:rPr>
        <w:t xml:space="preserve">. </w:t>
      </w:r>
      <w:r w:rsidR="00DA668C">
        <w:rPr>
          <w:rFonts w:ascii="Verdana" w:hAnsi="Verdana" w:cs="Arial"/>
          <w:color w:val="000000"/>
          <w:sz w:val="22"/>
          <w:szCs w:val="22"/>
        </w:rPr>
        <w:t xml:space="preserve">In addition, charities can be deregistered if the Commissioner believes that it is </w:t>
      </w:r>
      <w:r w:rsidR="00DA668C" w:rsidRPr="00DA668C">
        <w:rPr>
          <w:rFonts w:ascii="Verdana" w:hAnsi="Verdana" w:cs="Arial"/>
          <w:color w:val="000000"/>
          <w:sz w:val="22"/>
          <w:szCs w:val="22"/>
        </w:rPr>
        <w:t xml:space="preserve">“more likely than not” that a prohibited act will occur in the future. </w:t>
      </w:r>
      <w:r w:rsidR="00EB575F">
        <w:rPr>
          <w:rFonts w:ascii="Verdana" w:hAnsi="Verdana" w:cs="Arial"/>
          <w:color w:val="000000"/>
          <w:sz w:val="22"/>
          <w:szCs w:val="22"/>
        </w:rPr>
        <w:t>These powers are extraordinary, and are not required to ensure that charities are well governed.</w:t>
      </w:r>
    </w:p>
    <w:p w14:paraId="5EC76E5B" w14:textId="64E8AD9B" w:rsidR="008437C1" w:rsidRPr="00762C69" w:rsidRDefault="008437C1" w:rsidP="00762C69">
      <w:pPr>
        <w:pStyle w:val="NormalWeb"/>
        <w:spacing w:before="200" w:beforeAutospacing="0" w:after="200" w:afterAutospacing="0"/>
        <w:rPr>
          <w:rFonts w:ascii="Verdana" w:hAnsi="Verdana" w:cstheme="minorHAnsi"/>
          <w:sz w:val="22"/>
          <w:szCs w:val="22"/>
        </w:rPr>
      </w:pPr>
      <w:r w:rsidRPr="0052769A">
        <w:rPr>
          <w:rFonts w:ascii="Verdana" w:hAnsi="Verdana" w:cs="Arial"/>
          <w:color w:val="000000"/>
          <w:sz w:val="22"/>
          <w:szCs w:val="22"/>
        </w:rPr>
        <w:lastRenderedPageBreak/>
        <w:t>It is important to note that ACOSS does not condone or support illegal activity or behaviour. There are already a range of regulatory and legislative provisions in place that ensure that charities behave lawfully. These regulat</w:t>
      </w:r>
      <w:r w:rsidR="00832D7D" w:rsidRPr="0052769A">
        <w:rPr>
          <w:rFonts w:ascii="Verdana" w:hAnsi="Verdana" w:cs="Arial"/>
          <w:color w:val="000000"/>
          <w:sz w:val="22"/>
          <w:szCs w:val="22"/>
        </w:rPr>
        <w:t>ions however, go too far</w:t>
      </w:r>
      <w:r w:rsidR="007544BC" w:rsidRPr="0052769A">
        <w:rPr>
          <w:rFonts w:ascii="Verdana" w:hAnsi="Verdana" w:cs="Arial"/>
          <w:color w:val="000000"/>
          <w:sz w:val="22"/>
          <w:szCs w:val="22"/>
        </w:rPr>
        <w:t>, will have a chilling effect on legitimate democratic action by charities</w:t>
      </w:r>
      <w:r w:rsidR="00832D7D" w:rsidRPr="0052769A">
        <w:rPr>
          <w:rFonts w:ascii="Verdana" w:hAnsi="Verdana" w:cs="Arial"/>
          <w:color w:val="000000"/>
          <w:sz w:val="22"/>
          <w:szCs w:val="22"/>
        </w:rPr>
        <w:t xml:space="preserve"> and have a range of unintended consequences. ACOSS recommends that these </w:t>
      </w:r>
      <w:r w:rsidR="00517DCF" w:rsidRPr="0052769A">
        <w:rPr>
          <w:rFonts w:ascii="Verdana" w:hAnsi="Verdana" w:cs="Arial"/>
          <w:color w:val="000000"/>
          <w:sz w:val="22"/>
          <w:szCs w:val="22"/>
        </w:rPr>
        <w:t>regulations</w:t>
      </w:r>
      <w:r w:rsidR="00832D7D" w:rsidRPr="0052769A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517DCF" w:rsidRPr="0052769A">
        <w:rPr>
          <w:rFonts w:ascii="Verdana" w:hAnsi="Verdana" w:cs="Arial"/>
          <w:color w:val="000000"/>
          <w:sz w:val="22"/>
          <w:szCs w:val="22"/>
        </w:rPr>
        <w:t>not proceed</w:t>
      </w:r>
      <w:r w:rsidR="00832D7D" w:rsidRPr="0052769A">
        <w:rPr>
          <w:rFonts w:ascii="Verdana" w:hAnsi="Verdana" w:cs="Arial"/>
          <w:color w:val="000000"/>
          <w:sz w:val="22"/>
          <w:szCs w:val="22"/>
        </w:rPr>
        <w:t>.</w:t>
      </w:r>
    </w:p>
    <w:p w14:paraId="6869A24B" w14:textId="007A6FA2" w:rsidR="00214B33" w:rsidRPr="00DA668C" w:rsidRDefault="00214B33" w:rsidP="00DA668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A668C">
        <w:rPr>
          <w:rFonts w:ascii="Verdana" w:hAnsi="Verdana" w:cs="Calibri"/>
          <w:sz w:val="22"/>
          <w:szCs w:val="22"/>
        </w:rPr>
        <w:t xml:space="preserve">Should the </w:t>
      </w:r>
      <w:r w:rsidR="00E71201" w:rsidRPr="00DA668C">
        <w:rPr>
          <w:rFonts w:ascii="Verdana" w:hAnsi="Verdana" w:cs="Calibri"/>
          <w:sz w:val="22"/>
          <w:szCs w:val="22"/>
        </w:rPr>
        <w:t>Department</w:t>
      </w:r>
      <w:r w:rsidRPr="00DA668C">
        <w:rPr>
          <w:rFonts w:ascii="Verdana" w:hAnsi="Verdana" w:cs="Calibri"/>
          <w:sz w:val="22"/>
          <w:szCs w:val="22"/>
        </w:rPr>
        <w:t xml:space="preserve"> wish to seek further information from ACOSS please contact </w:t>
      </w:r>
      <w:r w:rsidR="00C31C98" w:rsidRPr="00DA668C">
        <w:rPr>
          <w:rFonts w:ascii="Verdana" w:hAnsi="Verdana" w:cs="Calibri"/>
          <w:sz w:val="22"/>
          <w:szCs w:val="22"/>
        </w:rPr>
        <w:t xml:space="preserve">Dr </w:t>
      </w:r>
      <w:r w:rsidRPr="00DA668C">
        <w:rPr>
          <w:rFonts w:ascii="Verdana" w:hAnsi="Verdana" w:cs="Calibri"/>
          <w:sz w:val="22"/>
          <w:szCs w:val="22"/>
        </w:rPr>
        <w:t xml:space="preserve">John Mikelsons, Senior </w:t>
      </w:r>
      <w:r w:rsidR="00A76AF3" w:rsidRPr="00DA668C">
        <w:rPr>
          <w:rFonts w:ascii="Verdana" w:hAnsi="Verdana" w:cs="Calibri"/>
          <w:sz w:val="22"/>
          <w:szCs w:val="22"/>
        </w:rPr>
        <w:t>Advisor (Community Services and Health)</w:t>
      </w:r>
      <w:r w:rsidRPr="00DA668C">
        <w:rPr>
          <w:rFonts w:ascii="Verdana" w:hAnsi="Verdana" w:cs="Calibri"/>
          <w:sz w:val="22"/>
          <w:szCs w:val="22"/>
        </w:rPr>
        <w:t xml:space="preserve"> on 02 9310 6212 or </w:t>
      </w:r>
      <w:hyperlink r:id="rId10" w:history="1">
        <w:r w:rsidRPr="00DA668C">
          <w:rPr>
            <w:rStyle w:val="Hyperlink"/>
            <w:rFonts w:ascii="Verdana" w:eastAsiaTheme="majorEastAsia" w:hAnsi="Verdana" w:cs="Calibri"/>
            <w:color w:val="auto"/>
            <w:sz w:val="22"/>
            <w:szCs w:val="22"/>
          </w:rPr>
          <w:t>john@acoss.org.au</w:t>
        </w:r>
      </w:hyperlink>
      <w:r w:rsidRPr="00DA668C">
        <w:rPr>
          <w:rFonts w:ascii="Verdana" w:hAnsi="Verdana" w:cs="Calibri"/>
          <w:sz w:val="22"/>
          <w:szCs w:val="22"/>
        </w:rPr>
        <w:t xml:space="preserve"> </w:t>
      </w:r>
    </w:p>
    <w:p w14:paraId="3783F402" w14:textId="41F5AEAC" w:rsidR="00214B33" w:rsidRDefault="00214B33" w:rsidP="00296D3F">
      <w:pPr>
        <w:spacing w:before="100" w:beforeAutospacing="1" w:after="100" w:afterAutospacing="1" w:line="240" w:lineRule="auto"/>
        <w:rPr>
          <w:rFonts w:ascii="Verdana" w:hAnsi="Verdana" w:cstheme="minorHAnsi"/>
        </w:rPr>
      </w:pPr>
      <w:r w:rsidRPr="00C31C98">
        <w:rPr>
          <w:rFonts w:ascii="Verdana" w:hAnsi="Verdana" w:cstheme="minorHAnsi"/>
        </w:rPr>
        <w:t>Yours sincerely,</w:t>
      </w:r>
    </w:p>
    <w:p w14:paraId="34F78B55" w14:textId="49CFD787" w:rsidR="002C3109" w:rsidRDefault="002C3109" w:rsidP="002C3109">
      <w:pPr>
        <w:spacing w:after="0" w:line="240" w:lineRule="auto"/>
      </w:pPr>
      <w:bookmarkStart w:id="0" w:name="_GoBack"/>
      <w:bookmarkEnd w:id="0"/>
    </w:p>
    <w:p w14:paraId="17A91678" w14:textId="77777777" w:rsidR="002C3109" w:rsidRDefault="002C3109" w:rsidP="002C3109">
      <w:pPr>
        <w:spacing w:after="0" w:line="240" w:lineRule="auto"/>
      </w:pPr>
    </w:p>
    <w:p w14:paraId="4CCFC439" w14:textId="77777777" w:rsidR="002C3109" w:rsidRDefault="002C3109" w:rsidP="002C3109">
      <w:pPr>
        <w:spacing w:after="0" w:line="240" w:lineRule="auto"/>
      </w:pPr>
      <w:r>
        <w:t>Dr Cassandra Goldie</w:t>
      </w:r>
      <w:r>
        <w:br/>
        <w:t>CEO, ACOSS</w:t>
      </w:r>
    </w:p>
    <w:p w14:paraId="0D275EF7" w14:textId="77E8B1BD" w:rsidR="00591101" w:rsidRPr="00591101" w:rsidRDefault="00591101" w:rsidP="002C3109">
      <w:pPr>
        <w:spacing w:before="100" w:beforeAutospacing="1" w:after="100" w:afterAutospacing="1" w:line="240" w:lineRule="auto"/>
        <w:rPr>
          <w:rFonts w:ascii="Verdana" w:hAnsi="Verdana" w:cstheme="minorHAnsi"/>
        </w:rPr>
      </w:pPr>
    </w:p>
    <w:sectPr w:rsidR="00591101" w:rsidRPr="00591101" w:rsidSect="005105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1" w:right="1440" w:bottom="1440" w:left="1440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47703" w14:textId="77777777" w:rsidR="00052ACF" w:rsidRDefault="00052ACF" w:rsidP="00821FDB">
      <w:pPr>
        <w:spacing w:after="0" w:line="240" w:lineRule="auto"/>
      </w:pPr>
      <w:r>
        <w:separator/>
      </w:r>
    </w:p>
  </w:endnote>
  <w:endnote w:type="continuationSeparator" w:id="0">
    <w:p w14:paraId="7AACEDC8" w14:textId="77777777" w:rsidR="00052ACF" w:rsidRDefault="00052ACF" w:rsidP="0082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1A06F" w14:textId="77777777" w:rsidR="007C3EA8" w:rsidRDefault="007C3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 w:cs="Times New Roman"/>
        <w:color w:val="auto"/>
      </w:rPr>
      <w:id w:val="-1770381097"/>
      <w:docPartObj>
        <w:docPartGallery w:val="Page Numbers (Bottom of Page)"/>
        <w:docPartUnique/>
      </w:docPartObj>
    </w:sdtPr>
    <w:sdtEndPr>
      <w:rPr>
        <w:rFonts w:ascii="Palatino Linotype" w:eastAsiaTheme="majorEastAsia" w:hAnsi="Palatino Linotype" w:cstheme="majorBidi"/>
        <w:b/>
        <w:noProof/>
        <w:color w:val="143156"/>
        <w:sz w:val="40"/>
        <w:szCs w:val="40"/>
      </w:rPr>
    </w:sdtEndPr>
    <w:sdtContent>
      <w:p w14:paraId="241842A9" w14:textId="77777777" w:rsidR="005873FF" w:rsidRPr="00DF0B9C" w:rsidRDefault="005873FF">
        <w:pPr>
          <w:pStyle w:val="Footer"/>
          <w:jc w:val="right"/>
          <w:rPr>
            <w:rFonts w:ascii="Palatino Linotype" w:eastAsiaTheme="majorEastAsia" w:hAnsi="Palatino Linotype" w:cstheme="majorBidi"/>
            <w:b/>
            <w:color w:val="143156"/>
            <w:sz w:val="40"/>
            <w:szCs w:val="40"/>
          </w:rPr>
        </w:pPr>
        <w:r w:rsidRPr="00DF0B9C">
          <w:rPr>
            <w:rFonts w:ascii="Palatino Linotype" w:eastAsiaTheme="minorEastAsia" w:hAnsi="Palatino Linotype" w:cs="Times New Roman"/>
            <w:b/>
            <w:color w:val="143156"/>
          </w:rPr>
          <w:fldChar w:fldCharType="begin"/>
        </w:r>
        <w:r w:rsidRPr="00DF0B9C">
          <w:rPr>
            <w:rFonts w:ascii="Palatino Linotype" w:hAnsi="Palatino Linotype"/>
            <w:b/>
            <w:color w:val="143156"/>
          </w:rPr>
          <w:instrText xml:space="preserve"> PAGE   \* MERGEFORMAT </w:instrText>
        </w:r>
        <w:r w:rsidRPr="00DF0B9C">
          <w:rPr>
            <w:rFonts w:ascii="Palatino Linotype" w:eastAsiaTheme="minorEastAsia" w:hAnsi="Palatino Linotype" w:cs="Times New Roman"/>
            <w:b/>
            <w:color w:val="143156"/>
          </w:rPr>
          <w:fldChar w:fldCharType="separate"/>
        </w:r>
        <w:r w:rsidR="00513587" w:rsidRPr="00513587">
          <w:rPr>
            <w:rFonts w:ascii="Palatino Linotype" w:eastAsiaTheme="majorEastAsia" w:hAnsi="Palatino Linotype" w:cstheme="majorBidi"/>
            <w:b/>
            <w:noProof/>
            <w:color w:val="143156"/>
            <w:sz w:val="40"/>
            <w:szCs w:val="40"/>
          </w:rPr>
          <w:t>2</w:t>
        </w:r>
        <w:r w:rsidRPr="00DF0B9C">
          <w:rPr>
            <w:rFonts w:ascii="Palatino Linotype" w:eastAsiaTheme="majorEastAsia" w:hAnsi="Palatino Linotype" w:cstheme="majorBidi"/>
            <w:b/>
            <w:noProof/>
            <w:color w:val="143156"/>
            <w:sz w:val="40"/>
            <w:szCs w:val="40"/>
          </w:rPr>
          <w:fldChar w:fldCharType="end"/>
        </w:r>
      </w:p>
    </w:sdtContent>
  </w:sdt>
  <w:p w14:paraId="51C21939" w14:textId="77777777" w:rsidR="00D45207" w:rsidRDefault="00D45207" w:rsidP="00F045B4">
    <w:pPr>
      <w:pStyle w:val="Footer"/>
      <w:tabs>
        <w:tab w:val="clear" w:pos="4680"/>
        <w:tab w:val="clear" w:pos="9360"/>
        <w:tab w:val="left" w:pos="4022"/>
      </w:tabs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774C0" w14:textId="77777777" w:rsidR="00297FC3" w:rsidRDefault="00297FC3" w:rsidP="00876411">
    <w:pPr>
      <w:pStyle w:val="Footer"/>
      <w:jc w:val="center"/>
      <w:rPr>
        <w:sz w:val="16"/>
        <w:szCs w:val="16"/>
      </w:rPr>
    </w:pPr>
  </w:p>
  <w:p w14:paraId="6216C34A" w14:textId="77777777" w:rsidR="00876411" w:rsidRPr="00876411" w:rsidRDefault="00876411" w:rsidP="00876411">
    <w:pPr>
      <w:pStyle w:val="Footer"/>
      <w:jc w:val="center"/>
      <w:rPr>
        <w:sz w:val="16"/>
        <w:szCs w:val="16"/>
      </w:rPr>
    </w:pPr>
    <w:r w:rsidRPr="001D2947">
      <w:rPr>
        <w:sz w:val="16"/>
        <w:szCs w:val="16"/>
      </w:rPr>
      <w:t>Locked Bag 4</w:t>
    </w:r>
    <w:r w:rsidR="005F20DF">
      <w:rPr>
        <w:sz w:val="16"/>
        <w:szCs w:val="16"/>
      </w:rPr>
      <w:t>777</w:t>
    </w:r>
    <w:r w:rsidR="00DF005D">
      <w:rPr>
        <w:sz w:val="16"/>
        <w:szCs w:val="16"/>
      </w:rPr>
      <w:t>,</w:t>
    </w:r>
    <w:r w:rsidR="005F20DF">
      <w:rPr>
        <w:sz w:val="16"/>
        <w:szCs w:val="16"/>
      </w:rPr>
      <w:t xml:space="preserve"> Strawberry Hills NSW 2012</w:t>
    </w:r>
    <w:r w:rsidR="005F20DF">
      <w:rPr>
        <w:sz w:val="16"/>
        <w:szCs w:val="16"/>
      </w:rPr>
      <w:br/>
      <w:t>P: 02</w:t>
    </w:r>
    <w:r w:rsidRPr="001D2947">
      <w:rPr>
        <w:sz w:val="16"/>
        <w:szCs w:val="16"/>
      </w:rPr>
      <w:t xml:space="preserve"> 9310 6200 E: </w:t>
    </w:r>
    <w:hyperlink r:id="rId1" w:history="1">
      <w:r w:rsidRPr="001D2947">
        <w:rPr>
          <w:rStyle w:val="Hyperlink"/>
          <w:b/>
          <w:sz w:val="16"/>
          <w:szCs w:val="16"/>
        </w:rPr>
        <w:t>info@acoss.org.au</w:t>
      </w:r>
    </w:hyperlink>
    <w:r w:rsidR="00573454">
      <w:rPr>
        <w:b/>
        <w:sz w:val="16"/>
        <w:szCs w:val="16"/>
      </w:rPr>
      <w:t xml:space="preserve"> </w:t>
    </w:r>
    <w:r w:rsidR="00573454" w:rsidRPr="00573454">
      <w:rPr>
        <w:sz w:val="16"/>
        <w:szCs w:val="16"/>
      </w:rPr>
      <w:t xml:space="preserve">W: </w:t>
    </w:r>
    <w:hyperlink r:id="rId2" w:history="1">
      <w:r w:rsidRPr="001D2947">
        <w:rPr>
          <w:rStyle w:val="Hyperlink"/>
          <w:b/>
          <w:sz w:val="16"/>
          <w:szCs w:val="16"/>
        </w:rPr>
        <w:t>www.acoss.org.au</w:t>
      </w:r>
    </w:hyperlink>
    <w:r w:rsidRPr="001D2947">
      <w:rPr>
        <w:b/>
        <w:sz w:val="16"/>
        <w:szCs w:val="16"/>
      </w:rPr>
      <w:br/>
    </w:r>
    <w:r w:rsidRPr="001D2947">
      <w:rPr>
        <w:color w:val="143156"/>
        <w:sz w:val="16"/>
        <w:szCs w:val="16"/>
        <w:shd w:val="clear" w:color="auto" w:fill="FFFFFF"/>
      </w:rPr>
      <w:t>ABN: 72 757 927 533</w:t>
    </w:r>
  </w:p>
  <w:sdt>
    <w:sdtPr>
      <w:rPr>
        <w:rFonts w:asciiTheme="minorHAnsi" w:eastAsiaTheme="minorEastAsia" w:hAnsiTheme="minorHAnsi" w:cs="Times New Roman"/>
        <w:color w:val="auto"/>
      </w:rPr>
      <w:id w:val="210051953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5B9BD5" w:themeColor="accent1"/>
        <w:sz w:val="40"/>
        <w:szCs w:val="40"/>
      </w:rPr>
    </w:sdtEndPr>
    <w:sdtContent>
      <w:p w14:paraId="1E4ECA0C" w14:textId="7507C2B3" w:rsidR="005873FF" w:rsidRPr="00DF0B9C" w:rsidRDefault="005873FF" w:rsidP="00876411">
        <w:pPr>
          <w:pStyle w:val="Footer"/>
          <w:jc w:val="right"/>
          <w:rPr>
            <w:rFonts w:ascii="Palatino Linotype" w:eastAsiaTheme="majorEastAsia" w:hAnsi="Palatino Linotype" w:cstheme="majorBidi"/>
            <w:b/>
            <w:noProof/>
            <w:color w:val="143156"/>
            <w:sz w:val="40"/>
            <w:szCs w:val="40"/>
          </w:rPr>
        </w:pPr>
      </w:p>
      <w:p w14:paraId="4FA9F1DE" w14:textId="77777777" w:rsidR="00CD49B8" w:rsidRPr="001D2947" w:rsidRDefault="00513587" w:rsidP="00876411">
        <w:pPr>
          <w:pStyle w:val="Foo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9FF3B" w14:textId="77777777" w:rsidR="00052ACF" w:rsidRDefault="00052ACF" w:rsidP="00821FDB">
      <w:pPr>
        <w:spacing w:after="0" w:line="240" w:lineRule="auto"/>
      </w:pPr>
      <w:r>
        <w:separator/>
      </w:r>
    </w:p>
  </w:footnote>
  <w:footnote w:type="continuationSeparator" w:id="0">
    <w:p w14:paraId="485AE3A8" w14:textId="77777777" w:rsidR="00052ACF" w:rsidRDefault="00052ACF" w:rsidP="00821FDB">
      <w:pPr>
        <w:spacing w:after="0" w:line="240" w:lineRule="auto"/>
      </w:pPr>
      <w:r>
        <w:continuationSeparator/>
      </w:r>
    </w:p>
  </w:footnote>
  <w:footnote w:id="1">
    <w:p w14:paraId="4EFED10B" w14:textId="725FCD66" w:rsidR="00C901E2" w:rsidRPr="00C901E2" w:rsidRDefault="00C901E2" w:rsidP="00832D7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832D7D">
        <w:t>McClure et al, 2018</w:t>
      </w:r>
      <w:r w:rsidR="00832D7D" w:rsidRPr="00832D7D">
        <w:rPr>
          <w:i/>
        </w:rPr>
        <w:t>, Strengthening for Purpose: Australian Charities and Not-for-profits Commission Legislation Review</w:t>
      </w:r>
      <w:r w:rsidR="00832D7D">
        <w:t xml:space="preserve">, Treasury, p47  </w:t>
      </w:r>
      <w:hyperlink r:id="rId1" w:history="1">
        <w:r w:rsidRPr="007200EC">
          <w:rPr>
            <w:rStyle w:val="Hyperlink"/>
            <w:lang w:val="en-US"/>
          </w:rPr>
          <w:t>https://treasury.gov.au/sites/default/files/2019-03/p2018-t318031.pdf</w:t>
        </w:r>
      </w:hyperlink>
      <w:r>
        <w:rPr>
          <w:lang w:val="en-US"/>
        </w:rPr>
        <w:t xml:space="preserve"> </w:t>
      </w:r>
    </w:p>
  </w:footnote>
  <w:footnote w:id="2">
    <w:p w14:paraId="76859A4A" w14:textId="1E319E97" w:rsidR="00762C69" w:rsidRPr="00762C69" w:rsidRDefault="00762C6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517DCF">
        <w:t xml:space="preserve">Australian Government, 2021, Australian Charities and Not-for-profits Commission Amendment (2021 Measures No. 2) Regulations 2021, </w:t>
      </w:r>
      <w:hyperlink r:id="rId2" w:history="1">
        <w:r w:rsidR="00517DCF" w:rsidRPr="006A1769">
          <w:rPr>
            <w:rStyle w:val="Hyperlink"/>
          </w:rPr>
          <w:t>https://treasury.gov.au/sites/default/files/2021-02/c2021-149084_exposure_draft_0.pdf</w:t>
        </w:r>
      </w:hyperlink>
      <w:r w:rsidR="00517DCF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6FF69" w14:textId="2FD6AA45" w:rsidR="007C3EA8" w:rsidRDefault="007C3E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FA2E6" w14:textId="14267D41" w:rsidR="00821FDB" w:rsidRDefault="008335D5" w:rsidP="0038085C">
    <w:pPr>
      <w:pStyle w:val="Header"/>
      <w:tabs>
        <w:tab w:val="clear" w:pos="4680"/>
        <w:tab w:val="clear" w:pos="9360"/>
        <w:tab w:val="left" w:pos="6795"/>
      </w:tabs>
    </w:pP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0A1AE02D" wp14:editId="4416D160">
          <wp:simplePos x="0" y="0"/>
          <wp:positionH relativeFrom="column">
            <wp:posOffset>5916344</wp:posOffset>
          </wp:positionH>
          <wp:positionV relativeFrom="paragraph">
            <wp:posOffset>-449287</wp:posOffset>
          </wp:positionV>
          <wp:extent cx="937846" cy="937846"/>
          <wp:effectExtent l="0" t="0" r="0" b="0"/>
          <wp:wrapNone/>
          <wp:docPr id="3" name="Picture 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eron\Pictures\Saved Pictures\DesignElements\Logo\png\ACOSS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46" cy="93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85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899D" w14:textId="611EBBF5" w:rsidR="00CD49B8" w:rsidRDefault="00CD49B8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3A6B1E1A" wp14:editId="3A6E9733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937846" cy="937846"/>
          <wp:effectExtent l="0" t="0" r="0" b="0"/>
          <wp:wrapNone/>
          <wp:docPr id="1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eron\Pictures\Saved Pictures\DesignElements\Logo\png\ACOSS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46" cy="93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5A6B"/>
    <w:multiLevelType w:val="hybridMultilevel"/>
    <w:tmpl w:val="80167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87F"/>
    <w:multiLevelType w:val="multilevel"/>
    <w:tmpl w:val="E286B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E20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8E27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B8DDE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9DC1EA9"/>
    <w:multiLevelType w:val="multilevel"/>
    <w:tmpl w:val="C446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B3D5F"/>
    <w:multiLevelType w:val="multilevel"/>
    <w:tmpl w:val="7014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D5366"/>
    <w:multiLevelType w:val="multilevel"/>
    <w:tmpl w:val="8A1E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B2563"/>
    <w:multiLevelType w:val="hybridMultilevel"/>
    <w:tmpl w:val="19CC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D7EDD"/>
    <w:multiLevelType w:val="multilevel"/>
    <w:tmpl w:val="9220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B55E8"/>
    <w:multiLevelType w:val="multilevel"/>
    <w:tmpl w:val="DC72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F647C"/>
    <w:multiLevelType w:val="multilevel"/>
    <w:tmpl w:val="5DC6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72B32"/>
    <w:multiLevelType w:val="multilevel"/>
    <w:tmpl w:val="8C84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CF"/>
    <w:rsid w:val="00052ACF"/>
    <w:rsid w:val="00067EA1"/>
    <w:rsid w:val="00077AB9"/>
    <w:rsid w:val="00080CAC"/>
    <w:rsid w:val="000817BC"/>
    <w:rsid w:val="00086775"/>
    <w:rsid w:val="000907EA"/>
    <w:rsid w:val="000A715A"/>
    <w:rsid w:val="00127E8D"/>
    <w:rsid w:val="00135E26"/>
    <w:rsid w:val="00144786"/>
    <w:rsid w:val="0017072D"/>
    <w:rsid w:val="001909E7"/>
    <w:rsid w:val="001B7E5E"/>
    <w:rsid w:val="001D2947"/>
    <w:rsid w:val="00214B33"/>
    <w:rsid w:val="00234BA9"/>
    <w:rsid w:val="00296D3F"/>
    <w:rsid w:val="00297FC3"/>
    <w:rsid w:val="002A5FF8"/>
    <w:rsid w:val="002C2CE1"/>
    <w:rsid w:val="002C3109"/>
    <w:rsid w:val="002C39CC"/>
    <w:rsid w:val="00330499"/>
    <w:rsid w:val="00350029"/>
    <w:rsid w:val="00350C6F"/>
    <w:rsid w:val="00357CF8"/>
    <w:rsid w:val="00375033"/>
    <w:rsid w:val="0038085C"/>
    <w:rsid w:val="003B1AA4"/>
    <w:rsid w:val="003B75F4"/>
    <w:rsid w:val="004145B8"/>
    <w:rsid w:val="0041528E"/>
    <w:rsid w:val="004504E6"/>
    <w:rsid w:val="004912BB"/>
    <w:rsid w:val="00492548"/>
    <w:rsid w:val="00497123"/>
    <w:rsid w:val="004A293D"/>
    <w:rsid w:val="004B7D26"/>
    <w:rsid w:val="004C5B4A"/>
    <w:rsid w:val="004D26D1"/>
    <w:rsid w:val="00503AE3"/>
    <w:rsid w:val="005105ED"/>
    <w:rsid w:val="005128AC"/>
    <w:rsid w:val="00513587"/>
    <w:rsid w:val="00517DCF"/>
    <w:rsid w:val="005275D2"/>
    <w:rsid w:val="0052769A"/>
    <w:rsid w:val="00537617"/>
    <w:rsid w:val="005556F1"/>
    <w:rsid w:val="00573454"/>
    <w:rsid w:val="00580B48"/>
    <w:rsid w:val="005873FF"/>
    <w:rsid w:val="00591101"/>
    <w:rsid w:val="005A1D7B"/>
    <w:rsid w:val="005C0BDB"/>
    <w:rsid w:val="005F20DF"/>
    <w:rsid w:val="005F3AC6"/>
    <w:rsid w:val="00603072"/>
    <w:rsid w:val="006116A7"/>
    <w:rsid w:val="00620B34"/>
    <w:rsid w:val="006D3E31"/>
    <w:rsid w:val="006F1262"/>
    <w:rsid w:val="006F708D"/>
    <w:rsid w:val="007057BC"/>
    <w:rsid w:val="007302F5"/>
    <w:rsid w:val="007544BC"/>
    <w:rsid w:val="00762C69"/>
    <w:rsid w:val="007950EC"/>
    <w:rsid w:val="007C3EA8"/>
    <w:rsid w:val="007C61F3"/>
    <w:rsid w:val="00821FDB"/>
    <w:rsid w:val="00832D7D"/>
    <w:rsid w:val="008335D5"/>
    <w:rsid w:val="008437C1"/>
    <w:rsid w:val="00876411"/>
    <w:rsid w:val="00907B76"/>
    <w:rsid w:val="00941486"/>
    <w:rsid w:val="00980270"/>
    <w:rsid w:val="0098040A"/>
    <w:rsid w:val="009A49A4"/>
    <w:rsid w:val="009B6B69"/>
    <w:rsid w:val="009D3256"/>
    <w:rsid w:val="009D3519"/>
    <w:rsid w:val="009D436C"/>
    <w:rsid w:val="009E702B"/>
    <w:rsid w:val="009F2B82"/>
    <w:rsid w:val="00A2221A"/>
    <w:rsid w:val="00A47B19"/>
    <w:rsid w:val="00A75E34"/>
    <w:rsid w:val="00A76AF3"/>
    <w:rsid w:val="00A90E92"/>
    <w:rsid w:val="00AA5620"/>
    <w:rsid w:val="00AC43BE"/>
    <w:rsid w:val="00AF5E58"/>
    <w:rsid w:val="00B345BF"/>
    <w:rsid w:val="00B3654A"/>
    <w:rsid w:val="00B4204F"/>
    <w:rsid w:val="00B502E4"/>
    <w:rsid w:val="00BA0574"/>
    <w:rsid w:val="00BC1F80"/>
    <w:rsid w:val="00BC1FAE"/>
    <w:rsid w:val="00BF1543"/>
    <w:rsid w:val="00C31C98"/>
    <w:rsid w:val="00C869C5"/>
    <w:rsid w:val="00C87352"/>
    <w:rsid w:val="00C901E2"/>
    <w:rsid w:val="00CD49B8"/>
    <w:rsid w:val="00CF5575"/>
    <w:rsid w:val="00D45207"/>
    <w:rsid w:val="00DA668C"/>
    <w:rsid w:val="00DD7203"/>
    <w:rsid w:val="00DF005D"/>
    <w:rsid w:val="00DF0B9C"/>
    <w:rsid w:val="00E375A2"/>
    <w:rsid w:val="00E40F99"/>
    <w:rsid w:val="00E65939"/>
    <w:rsid w:val="00E71201"/>
    <w:rsid w:val="00E73572"/>
    <w:rsid w:val="00EB575F"/>
    <w:rsid w:val="00F045B4"/>
    <w:rsid w:val="00F16689"/>
    <w:rsid w:val="00F209C0"/>
    <w:rsid w:val="00F6385C"/>
    <w:rsid w:val="00FB765E"/>
    <w:rsid w:val="00FC1F0F"/>
    <w:rsid w:val="00FC5A9E"/>
    <w:rsid w:val="00FD01DD"/>
    <w:rsid w:val="00FE3511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97C74BF"/>
  <w15:chartTrackingRefBased/>
  <w15:docId w15:val="{C6269A3F-16D6-42C5-8AA4-6183E3E7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B33"/>
    <w:pPr>
      <w:spacing w:after="200" w:line="27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E92"/>
    <w:pPr>
      <w:keepNext/>
      <w:keepLines/>
      <w:spacing w:before="240" w:after="0" w:line="259" w:lineRule="auto"/>
      <w:outlineLvl w:val="0"/>
    </w:pPr>
    <w:rPr>
      <w:rFonts w:ascii="Palatino Linotype" w:eastAsiaTheme="majorEastAsia" w:hAnsi="Palatino Linotype" w:cstheme="majorBidi"/>
      <w:color w:val="143156"/>
      <w:sz w:val="6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E92"/>
    <w:pPr>
      <w:keepNext/>
      <w:keepLines/>
      <w:spacing w:before="40" w:after="0" w:line="259" w:lineRule="auto"/>
      <w:outlineLvl w:val="1"/>
    </w:pPr>
    <w:rPr>
      <w:rFonts w:ascii="Palatino Linotype" w:eastAsiaTheme="majorEastAsia" w:hAnsi="Palatino Linotype" w:cstheme="majorBidi"/>
      <w:color w:val="143156"/>
      <w:sz w:val="4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E92"/>
    <w:pPr>
      <w:keepNext/>
      <w:keepLines/>
      <w:spacing w:before="40" w:after="0" w:line="259" w:lineRule="auto"/>
      <w:outlineLvl w:val="2"/>
    </w:pPr>
    <w:rPr>
      <w:rFonts w:ascii="Palatino Linotype" w:eastAsiaTheme="majorEastAsia" w:hAnsi="Palatino Linotype" w:cstheme="majorBidi"/>
      <w:b/>
      <w:color w:val="143156"/>
      <w:sz w:val="40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0E92"/>
    <w:pPr>
      <w:keepNext/>
      <w:keepLines/>
      <w:spacing w:before="40" w:after="0" w:line="259" w:lineRule="auto"/>
      <w:outlineLvl w:val="3"/>
    </w:pPr>
    <w:rPr>
      <w:rFonts w:ascii="Palatino Linotype" w:eastAsiaTheme="majorEastAsia" w:hAnsi="Palatino Linotype" w:cstheme="majorBidi"/>
      <w:b/>
      <w:iCs/>
      <w:color w:val="143156"/>
      <w:sz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F1262"/>
    <w:pPr>
      <w:keepNext/>
      <w:keepLines/>
      <w:spacing w:before="40" w:after="0" w:line="259" w:lineRule="auto"/>
      <w:outlineLvl w:val="4"/>
    </w:pPr>
    <w:rPr>
      <w:rFonts w:ascii="Verdana" w:eastAsiaTheme="majorEastAsia" w:hAnsi="Verdana" w:cstheme="majorBidi"/>
      <w:b/>
      <w:color w:val="CE2028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FDB"/>
    <w:pPr>
      <w:tabs>
        <w:tab w:val="center" w:pos="4680"/>
        <w:tab w:val="right" w:pos="9360"/>
      </w:tabs>
      <w:spacing w:after="0" w:line="240" w:lineRule="auto"/>
    </w:pPr>
    <w:rPr>
      <w:rFonts w:ascii="Verdana" w:hAnsi="Verdana"/>
      <w:color w:val="000000" w:themeColor="text1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1FDB"/>
  </w:style>
  <w:style w:type="paragraph" w:styleId="Footer">
    <w:name w:val="footer"/>
    <w:basedOn w:val="Normal"/>
    <w:link w:val="FooterChar"/>
    <w:uiPriority w:val="99"/>
    <w:unhideWhenUsed/>
    <w:rsid w:val="00821FDB"/>
    <w:pPr>
      <w:tabs>
        <w:tab w:val="center" w:pos="4680"/>
        <w:tab w:val="right" w:pos="9360"/>
      </w:tabs>
      <w:spacing w:after="0" w:line="240" w:lineRule="auto"/>
    </w:pPr>
    <w:rPr>
      <w:rFonts w:ascii="Verdana" w:hAnsi="Verdana"/>
      <w:color w:val="000000" w:themeColor="text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1FDB"/>
  </w:style>
  <w:style w:type="paragraph" w:styleId="Title">
    <w:name w:val="Title"/>
    <w:basedOn w:val="Heading1"/>
    <w:next w:val="Normal"/>
    <w:link w:val="TitleChar"/>
    <w:uiPriority w:val="10"/>
    <w:qFormat/>
    <w:rsid w:val="00A90E92"/>
    <w:pPr>
      <w:spacing w:line="240" w:lineRule="auto"/>
      <w:contextualSpacing/>
    </w:pPr>
    <w:rPr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E92"/>
    <w:rPr>
      <w:rFonts w:ascii="Palatino Linotype" w:eastAsiaTheme="majorEastAsia" w:hAnsi="Palatino Linotype" w:cstheme="majorBidi"/>
      <w:b/>
      <w:color w:val="14315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90E92"/>
    <w:rPr>
      <w:rFonts w:ascii="Palatino Linotype" w:eastAsiaTheme="majorEastAsia" w:hAnsi="Palatino Linotype" w:cstheme="majorBidi"/>
      <w:color w:val="143156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E92"/>
    <w:rPr>
      <w:rFonts w:ascii="Palatino Linotype" w:eastAsiaTheme="majorEastAsia" w:hAnsi="Palatino Linotype" w:cstheme="majorBidi"/>
      <w:color w:val="143156"/>
      <w:sz w:val="4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E92"/>
    <w:pPr>
      <w:numPr>
        <w:ilvl w:val="1"/>
      </w:numPr>
      <w:spacing w:after="160" w:line="259" w:lineRule="auto"/>
    </w:pPr>
    <w:rPr>
      <w:rFonts w:ascii="Palatino" w:eastAsiaTheme="minorEastAsia" w:hAnsi="Palatino"/>
      <w:color w:val="143156"/>
      <w:spacing w:val="15"/>
      <w:sz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90E92"/>
    <w:rPr>
      <w:rFonts w:ascii="Palatino" w:eastAsiaTheme="minorEastAsia" w:hAnsi="Palatino"/>
      <w:color w:val="143156"/>
      <w:spacing w:val="15"/>
      <w:sz w:val="48"/>
    </w:rPr>
  </w:style>
  <w:style w:type="paragraph" w:customStyle="1" w:styleId="Recommendations">
    <w:name w:val="Recommendations"/>
    <w:basedOn w:val="Normal"/>
    <w:qFormat/>
    <w:rsid w:val="00A90E92"/>
    <w:pPr>
      <w:spacing w:after="160" w:line="259" w:lineRule="auto"/>
      <w:jc w:val="center"/>
    </w:pPr>
    <w:rPr>
      <w:rFonts w:ascii="Verdana" w:hAnsi="Verdana"/>
      <w:b/>
      <w:color w:val="CE2028"/>
      <w:sz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A90E92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90E92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A90E9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2A5FF8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CD49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0E92"/>
    <w:rPr>
      <w:rFonts w:ascii="Palatino Linotype" w:eastAsiaTheme="majorEastAsia" w:hAnsi="Palatino Linotype" w:cstheme="majorBidi"/>
      <w:b/>
      <w:color w:val="143156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E92"/>
    <w:rPr>
      <w:rFonts w:ascii="Palatino Linotype" w:eastAsiaTheme="majorEastAsia" w:hAnsi="Palatino Linotype" w:cstheme="majorBidi"/>
      <w:b/>
      <w:iCs/>
      <w:color w:val="14315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262"/>
    <w:rPr>
      <w:rFonts w:ascii="Verdana" w:eastAsiaTheme="majorEastAsia" w:hAnsi="Verdana" w:cstheme="majorBidi"/>
      <w:b/>
      <w:color w:val="CE2028"/>
      <w:sz w:val="24"/>
    </w:rPr>
  </w:style>
  <w:style w:type="table" w:customStyle="1" w:styleId="ACOSSTable">
    <w:name w:val="ACOSS Table"/>
    <w:basedOn w:val="TableNormal"/>
    <w:uiPriority w:val="99"/>
    <w:rsid w:val="00FD01DD"/>
    <w:pPr>
      <w:spacing w:after="0" w:line="240" w:lineRule="auto"/>
    </w:pPr>
    <w:tblPr>
      <w:tblStyleRowBandSize w:val="1"/>
      <w:tblBorders>
        <w:top w:val="single" w:sz="2" w:space="0" w:color="707070"/>
        <w:left w:val="single" w:sz="2" w:space="0" w:color="707070"/>
        <w:bottom w:val="single" w:sz="2" w:space="0" w:color="707070"/>
        <w:right w:val="single" w:sz="2" w:space="0" w:color="707070"/>
        <w:insideH w:val="single" w:sz="2" w:space="0" w:color="707070"/>
        <w:insideV w:val="single" w:sz="2" w:space="0" w:color="707070"/>
      </w:tblBorders>
    </w:tblPr>
    <w:tblStylePr w:type="firstRow">
      <w:pPr>
        <w:jc w:val="center"/>
      </w:pPr>
      <w:rPr>
        <w:rFonts w:ascii="Verdana" w:hAnsi="Verdana"/>
        <w:color w:val="000000" w:themeColor="text1"/>
        <w:sz w:val="20"/>
      </w:rPr>
      <w:tblPr/>
      <w:tcPr>
        <w:shd w:val="clear" w:color="auto" w:fill="B8DDE1"/>
        <w:vAlign w:val="center"/>
      </w:tcPr>
    </w:tblStylePr>
    <w:tblStylePr w:type="lastRow">
      <w:pPr>
        <w:jc w:val="center"/>
      </w:pPr>
      <w:rPr>
        <w:rFonts w:ascii="Verdana" w:hAnsi="Verdana"/>
        <w:b/>
        <w:sz w:val="20"/>
      </w:rPr>
      <w:tblPr/>
      <w:tcPr>
        <w:shd w:val="clear" w:color="auto" w:fill="D9D9D9" w:themeFill="background1" w:themeFillShade="D9"/>
        <w:vAlign w:val="center"/>
      </w:tcPr>
    </w:tblStylePr>
    <w:tblStylePr w:type="firstCol">
      <w:pPr>
        <w:jc w:val="left"/>
      </w:pPr>
      <w:rPr>
        <w:rFonts w:ascii="Verdana" w:hAnsi="Verdana"/>
        <w:sz w:val="18"/>
      </w:rPr>
      <w:tblPr/>
      <w:tcPr>
        <w:shd w:val="clear" w:color="auto" w:fill="F2F2F2" w:themeFill="background1" w:themeFillShade="F2"/>
        <w:vAlign w:val="center"/>
      </w:tcPr>
    </w:tblStylePr>
    <w:tblStylePr w:type="band1Horz">
      <w:pPr>
        <w:jc w:val="center"/>
      </w:pPr>
      <w:rPr>
        <w:rFonts w:ascii="Verdana" w:hAnsi="Verdana"/>
        <w:color w:val="000000" w:themeColor="text1"/>
        <w:sz w:val="18"/>
      </w:rPr>
      <w:tblPr/>
      <w:tcPr>
        <w:shd w:val="clear" w:color="auto" w:fill="FFFFFF" w:themeFill="background1"/>
        <w:vAlign w:val="center"/>
      </w:tcPr>
    </w:tblStylePr>
    <w:tblStylePr w:type="band2Horz">
      <w:pPr>
        <w:jc w:val="center"/>
      </w:pPr>
      <w:rPr>
        <w:rFonts w:ascii="Verdana" w:hAnsi="Verdana"/>
        <w:sz w:val="18"/>
      </w:rPr>
      <w:tblPr/>
      <w:tcPr>
        <w:shd w:val="clear" w:color="auto" w:fill="EEF7F8"/>
        <w:vAlign w:val="center"/>
      </w:tcPr>
    </w:tblStylePr>
  </w:style>
  <w:style w:type="table" w:styleId="TableGrid">
    <w:name w:val="Table Grid"/>
    <w:basedOn w:val="TableNormal"/>
    <w:uiPriority w:val="39"/>
    <w:rsid w:val="00FD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0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4E6"/>
    <w:pPr>
      <w:spacing w:after="160" w:line="240" w:lineRule="auto"/>
    </w:pPr>
    <w:rPr>
      <w:rFonts w:ascii="Verdana" w:hAnsi="Verdana"/>
      <w:color w:val="000000" w:themeColor="text1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4E6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4E6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E6"/>
    <w:rPr>
      <w:rFonts w:ascii="Segoe UI" w:hAnsi="Segoe UI" w:cs="Segoe UI"/>
      <w:color w:val="000000" w:themeColor="text1"/>
      <w:sz w:val="18"/>
      <w:szCs w:val="18"/>
    </w:rPr>
  </w:style>
  <w:style w:type="paragraph" w:customStyle="1" w:styleId="Body">
    <w:name w:val="Body"/>
    <w:rsid w:val="00214B3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AU"/>
    </w:rPr>
  </w:style>
  <w:style w:type="character" w:customStyle="1" w:styleId="None">
    <w:name w:val="None"/>
    <w:rsid w:val="00214B33"/>
  </w:style>
  <w:style w:type="paragraph" w:styleId="NormalWeb">
    <w:name w:val="Normal (Web)"/>
    <w:basedOn w:val="Normal"/>
    <w:uiPriority w:val="99"/>
    <w:unhideWhenUsed/>
    <w:rsid w:val="0021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rsid w:val="009D43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2B8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1E2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C90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ohn@acoss.org.a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haritiesconsultation@treasury.gov.au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oss.org.au" TargetMode="External"/><Relationship Id="rId1" Type="http://schemas.openxmlformats.org/officeDocument/2006/relationships/hyperlink" Target="mailto:info@acoss.org.a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reasury.gov.au/sites/default/files/2021-02/c2021-149084_exposure_draft_0.pdf" TargetMode="External"/><Relationship Id="rId1" Type="http://schemas.openxmlformats.org/officeDocument/2006/relationships/hyperlink" Target="https://treasury.gov.au/sites/default/files/2019-03/p2018-t31803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2020%20Document%20Templates\Letter%20Template.dotx" TargetMode="External"/></Relationships>
</file>

<file path=word/theme/theme1.xml><?xml version="1.0" encoding="utf-8"?>
<a:theme xmlns:a="http://schemas.openxmlformats.org/drawingml/2006/main" name="Templat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6D65-2534-48DB-8782-91D88966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417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Council of Social Service</vt:lpstr>
    </vt:vector>
  </TitlesOfParts>
  <Company>Company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Council of Social Service</dc:title>
  <dc:subject>Your name</dc:subject>
  <dc:creator>Brendan Wylie</dc:creator>
  <cp:keywords/>
  <dc:description/>
  <cp:lastModifiedBy>John Mikelsons</cp:lastModifiedBy>
  <cp:revision>11</cp:revision>
  <cp:lastPrinted>2021-03-17T00:11:00Z</cp:lastPrinted>
  <dcterms:created xsi:type="dcterms:W3CDTF">2021-03-08T00:07:00Z</dcterms:created>
  <dcterms:modified xsi:type="dcterms:W3CDTF">2021-03-22T03:34:00Z</dcterms:modified>
</cp:coreProperties>
</file>