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v:fill r:id="rId4" o:title="Word Document Background 4" type="tile"/>
    </v:background>
  </w:background>
  <w:body>
    <w:p w14:paraId="6AB7F264" w14:textId="4E9D3AC2" w:rsidR="4D26A264" w:rsidRDefault="4D26A264" w:rsidP="4D26A264">
      <w:pPr>
        <w:rPr>
          <w:noProof/>
        </w:rPr>
      </w:pPr>
    </w:p>
    <w:p w14:paraId="00E4091C" w14:textId="3D00A3D8" w:rsidR="003D0337" w:rsidRDefault="003D0337" w:rsidP="4D26A264">
      <w:pPr>
        <w:rPr>
          <w:noProof/>
        </w:rPr>
      </w:pPr>
    </w:p>
    <w:p w14:paraId="5C9A772C" w14:textId="77777777" w:rsidR="003D0337" w:rsidRDefault="003D0337" w:rsidP="4D26A264">
      <w:pPr>
        <w:rPr>
          <w:rFonts w:eastAsia="Calibri" w:cs="Arial"/>
        </w:rPr>
      </w:pPr>
    </w:p>
    <w:p w14:paraId="7ECBB9DE" w14:textId="135C4EEB" w:rsidR="00903AD8" w:rsidRDefault="294F0AC8" w:rsidP="4D26A264">
      <w:pPr>
        <w:pStyle w:val="Title"/>
        <w:ind w:left="0"/>
        <w:rPr>
          <w:noProof/>
        </w:rPr>
      </w:pPr>
      <w:bookmarkStart w:id="0" w:name="_Toc62768224"/>
      <w:bookmarkStart w:id="1" w:name="_Toc63685902"/>
      <w:bookmarkStart w:id="2" w:name="_Toc108958119"/>
      <w:bookmarkStart w:id="3" w:name="_Toc2029197252"/>
      <w:bookmarkStart w:id="4" w:name="_Toc587731495"/>
      <w:bookmarkStart w:id="5" w:name="_Toc512289461"/>
      <w:bookmarkStart w:id="6" w:name="_Toc1923472424"/>
      <w:bookmarkStart w:id="7" w:name="_Toc1214935641"/>
      <w:bookmarkStart w:id="8" w:name="_Toc2010422979"/>
      <w:bookmarkStart w:id="9" w:name="_Toc2075218175"/>
      <w:bookmarkStart w:id="10" w:name="_Toc1384475296"/>
      <w:bookmarkStart w:id="11" w:name="_Toc1224138821"/>
      <w:bookmarkStart w:id="12" w:name="_Toc1086937914"/>
      <w:bookmarkStart w:id="13" w:name="_Toc90983309"/>
      <w:bookmarkStart w:id="14" w:name="_Toc90983333"/>
      <w:bookmarkStart w:id="15" w:name="_Toc90984597"/>
      <w:r w:rsidRPr="294F0AC8">
        <w:rPr>
          <w:noProof/>
        </w:rPr>
        <w:t>Budget Priorities Statement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696B0E42" w14:textId="50BB57FA" w:rsidR="00B40076" w:rsidRPr="00B40076" w:rsidRDefault="00B10971" w:rsidP="4D26A264">
      <w:pPr>
        <w:pStyle w:val="Subtitle"/>
        <w:ind w:left="0" w:firstLine="0"/>
      </w:pPr>
      <w:bookmarkStart w:id="16" w:name="_Toc62768225"/>
      <w:bookmarkStart w:id="17" w:name="_Toc63685903"/>
      <w:bookmarkStart w:id="18" w:name="_Toc936629738"/>
      <w:bookmarkStart w:id="19" w:name="_Toc1099092125"/>
      <w:bookmarkStart w:id="20" w:name="_Toc1261798390"/>
      <w:bookmarkStart w:id="21" w:name="_Toc1620915664"/>
      <w:bookmarkStart w:id="22" w:name="_Toc280431551"/>
      <w:bookmarkStart w:id="23" w:name="_Toc687732768"/>
      <w:bookmarkStart w:id="24" w:name="_Toc1875400645"/>
      <w:bookmarkStart w:id="25" w:name="_Toc230642381"/>
      <w:bookmarkStart w:id="26" w:name="_Toc1532174113"/>
      <w:bookmarkStart w:id="27" w:name="_Toc730996014"/>
      <w:bookmarkStart w:id="28" w:name="_Toc75360878"/>
      <w:bookmarkStart w:id="29" w:name="_Toc90983310"/>
      <w:bookmarkStart w:id="30" w:name="_Toc90983334"/>
      <w:bookmarkStart w:id="31" w:name="_Toc90984598"/>
      <w:r>
        <w:rPr>
          <w:noProof/>
          <w:color w:val="2B579A"/>
          <w:shd w:val="clear" w:color="auto" w:fill="E6E6E6"/>
        </w:rPr>
        <w:pict w14:anchorId="09195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78pt;margin-top:267.95pt;width:601.3pt;height:423.95pt;z-index:-251658752" wrapcoords="-82 0 -82 21479 21600 21479 21600 0 -82 0">
            <v:imagedata r:id="rId9" o:title="Hands helping"/>
          </v:shape>
        </w:pict>
      </w:r>
      <w:bookmarkEnd w:id="16"/>
      <w:bookmarkEnd w:id="17"/>
      <w:bookmarkEnd w:id="18"/>
      <w:bookmarkEnd w:id="19"/>
      <w:bookmarkEnd w:id="20"/>
      <w:bookmarkEnd w:id="21"/>
      <w:bookmarkEnd w:id="22"/>
      <w:bookmarkEnd w:id="23"/>
      <w:bookmarkEnd w:id="24"/>
      <w:bookmarkEnd w:id="25"/>
      <w:bookmarkEnd w:id="26"/>
      <w:bookmarkEnd w:id="27"/>
      <w:bookmarkEnd w:id="28"/>
      <w:r w:rsidR="004B5F8F">
        <w:t>202</w:t>
      </w:r>
      <w:r w:rsidR="008E4075">
        <w:t>2</w:t>
      </w:r>
      <w:r w:rsidR="004B5F8F">
        <w:t>-202</w:t>
      </w:r>
      <w:r w:rsidR="008E4075">
        <w:t xml:space="preserve">3 </w:t>
      </w:r>
      <w:r w:rsidR="00311AE3">
        <w:br/>
      </w:r>
      <w:r w:rsidR="00311AE3">
        <w:br/>
      </w:r>
      <w:r w:rsidR="49D275A9">
        <w:t>Submission to the Treasurer</w:t>
      </w:r>
      <w:bookmarkEnd w:id="29"/>
      <w:bookmarkEnd w:id="30"/>
      <w:bookmarkEnd w:id="31"/>
      <w:r w:rsidR="00436428">
        <w:br/>
      </w:r>
    </w:p>
    <w:p w14:paraId="3690F623" w14:textId="68DC3FDF" w:rsidR="00B40076" w:rsidRPr="00B40076" w:rsidRDefault="00B40076" w:rsidP="49D275A9">
      <w:pPr>
        <w:pStyle w:val="Subtitle"/>
        <w:ind w:left="0" w:firstLine="0"/>
        <w:sectPr w:rsidR="00B40076" w:rsidRPr="00B40076" w:rsidSect="008F6F9F">
          <w:headerReference w:type="default" r:id="rId10"/>
          <w:footerReference w:type="default" r:id="rId11"/>
          <w:footerReference w:type="first" r:id="rId12"/>
          <w:pgSz w:w="11907" w:h="16839" w:code="9"/>
          <w:pgMar w:top="1440" w:right="2886" w:bottom="1440" w:left="1440" w:header="709" w:footer="709" w:gutter="0"/>
          <w:cols w:space="708"/>
          <w:docGrid w:linePitch="360"/>
        </w:sectPr>
      </w:pPr>
    </w:p>
    <w:p w14:paraId="7B40EC19" w14:textId="38223A74" w:rsidR="004B5F8F" w:rsidRDefault="294F0AC8" w:rsidP="001D1B51">
      <w:pPr>
        <w:pStyle w:val="Heading2"/>
      </w:pPr>
      <w:bookmarkStart w:id="32" w:name="_Toc62768226"/>
      <w:bookmarkStart w:id="33" w:name="_Toc63685904"/>
      <w:bookmarkStart w:id="34" w:name="_Toc90983335"/>
      <w:bookmarkStart w:id="35" w:name="_Toc90984599"/>
      <w:bookmarkStart w:id="36" w:name="_Toc782403307"/>
      <w:bookmarkStart w:id="37" w:name="_Toc1794902525"/>
      <w:bookmarkStart w:id="38" w:name="_Toc1473709375"/>
      <w:bookmarkStart w:id="39" w:name="_Toc817724255"/>
      <w:bookmarkStart w:id="40" w:name="_Toc387389420"/>
      <w:bookmarkStart w:id="41" w:name="_Toc108305348"/>
      <w:bookmarkStart w:id="42" w:name="_Toc1200997520"/>
      <w:bookmarkStart w:id="43" w:name="_Toc1423893291"/>
      <w:bookmarkStart w:id="44" w:name="_Toc1983123760"/>
      <w:bookmarkStart w:id="45" w:name="_Toc1250433389"/>
      <w:bookmarkStart w:id="46" w:name="_Toc2007553109"/>
      <w:r>
        <w:lastRenderedPageBreak/>
        <w:t xml:space="preserve">Who we </w:t>
      </w:r>
      <w:proofErr w:type="gramStart"/>
      <w:r>
        <w:t>are</w:t>
      </w:r>
      <w:bookmarkEnd w:id="32"/>
      <w:bookmarkEnd w:id="33"/>
      <w:bookmarkEnd w:id="34"/>
      <w:bookmarkEnd w:id="35"/>
      <w:proofErr w:type="gramEnd"/>
      <w:r>
        <w:t xml:space="preserve"> </w:t>
      </w:r>
      <w:bookmarkEnd w:id="36"/>
      <w:bookmarkEnd w:id="37"/>
      <w:bookmarkEnd w:id="38"/>
      <w:bookmarkEnd w:id="39"/>
      <w:bookmarkEnd w:id="40"/>
      <w:bookmarkEnd w:id="41"/>
      <w:bookmarkEnd w:id="42"/>
      <w:bookmarkEnd w:id="43"/>
      <w:bookmarkEnd w:id="44"/>
      <w:bookmarkEnd w:id="45"/>
      <w:bookmarkEnd w:id="46"/>
    </w:p>
    <w:p w14:paraId="030327D4" w14:textId="48C3723A" w:rsidR="004B5F8F" w:rsidRDefault="004B5F8F">
      <w:r>
        <w:t>ACOSS is the peak body of the community services and welfare sector</w:t>
      </w:r>
      <w:r w:rsidR="2602F1D6">
        <w:t>,</w:t>
      </w:r>
      <w:r>
        <w:t xml:space="preserve"> and the national voice for the needs of people affected by poverty and inequality. </w:t>
      </w:r>
    </w:p>
    <w:p w14:paraId="13D9419F" w14:textId="7A695ACC" w:rsidR="004B5F8F" w:rsidRDefault="004B5F8F">
      <w:r>
        <w:t>Our vision is for a fair, inclusive and sustainable Australia</w:t>
      </w:r>
      <w:r w:rsidR="2602F1D6">
        <w:t>,</w:t>
      </w:r>
      <w:r>
        <w:t xml:space="preserve"> where all individuals and communities can participate in and benefit from social and economic life. </w:t>
      </w:r>
    </w:p>
    <w:p w14:paraId="02EB378F" w14:textId="77777777" w:rsidR="004B5F8F" w:rsidRDefault="004B5F8F"/>
    <w:p w14:paraId="38907B87" w14:textId="77777777" w:rsidR="004B5F8F" w:rsidRDefault="294F0AC8" w:rsidP="001D1B51">
      <w:pPr>
        <w:pStyle w:val="Heading2"/>
      </w:pPr>
      <w:bookmarkStart w:id="47" w:name="_Toc62768227"/>
      <w:bookmarkStart w:id="48" w:name="_Toc63685905"/>
      <w:bookmarkStart w:id="49" w:name="_Toc90983336"/>
      <w:bookmarkStart w:id="50" w:name="_Toc90984600"/>
      <w:bookmarkStart w:id="51" w:name="_Toc1533496269"/>
      <w:bookmarkStart w:id="52" w:name="_Toc1525844497"/>
      <w:bookmarkStart w:id="53" w:name="_Toc638964391"/>
      <w:bookmarkStart w:id="54" w:name="_Toc1728006267"/>
      <w:bookmarkStart w:id="55" w:name="_Toc804104660"/>
      <w:bookmarkStart w:id="56" w:name="_Toc1128224218"/>
      <w:bookmarkStart w:id="57" w:name="_Toc773710105"/>
      <w:bookmarkStart w:id="58" w:name="_Toc1913768154"/>
      <w:bookmarkStart w:id="59" w:name="_Toc1809388900"/>
      <w:bookmarkStart w:id="60" w:name="_Toc1535728550"/>
      <w:bookmarkStart w:id="61" w:name="_Toc341752422"/>
      <w:r>
        <w:t>What we do</w:t>
      </w:r>
      <w:bookmarkEnd w:id="47"/>
      <w:bookmarkEnd w:id="48"/>
      <w:bookmarkEnd w:id="49"/>
      <w:bookmarkEnd w:id="50"/>
      <w:r>
        <w:t xml:space="preserve"> </w:t>
      </w:r>
      <w:bookmarkEnd w:id="51"/>
      <w:bookmarkEnd w:id="52"/>
      <w:bookmarkEnd w:id="53"/>
      <w:bookmarkEnd w:id="54"/>
      <w:bookmarkEnd w:id="55"/>
      <w:bookmarkEnd w:id="56"/>
      <w:bookmarkEnd w:id="57"/>
      <w:bookmarkEnd w:id="58"/>
      <w:bookmarkEnd w:id="59"/>
      <w:bookmarkEnd w:id="60"/>
      <w:bookmarkEnd w:id="61"/>
    </w:p>
    <w:p w14:paraId="74319E0E" w14:textId="2DC0D25F" w:rsidR="004B5F8F" w:rsidRDefault="004B5F8F">
      <w:r>
        <w:t>ACOSS leads and supports initiatives within the community services and welfare sector</w:t>
      </w:r>
      <w:r w:rsidR="2602F1D6">
        <w:t>,</w:t>
      </w:r>
      <w:r>
        <w:t xml:space="preserve"> and acts as an independent non-party political voice.</w:t>
      </w:r>
    </w:p>
    <w:p w14:paraId="700FF2B1" w14:textId="77777777" w:rsidR="004B5F8F" w:rsidRDefault="004B5F8F">
      <w:r>
        <w:t xml:space="preserve">By drawing on the direct experiences of people affected by poverty and inequality and the expertise of its diverse member base, ACOSS develops and promotes socially and economically responsible public policy and action by government, </w:t>
      </w:r>
      <w:proofErr w:type="gramStart"/>
      <w:r>
        <w:t>community</w:t>
      </w:r>
      <w:proofErr w:type="gramEnd"/>
      <w:r>
        <w:t xml:space="preserve"> and business. </w:t>
      </w:r>
    </w:p>
    <w:p w14:paraId="3061B2CF" w14:textId="763D7257" w:rsidR="00520BA8" w:rsidRDefault="00520BA8">
      <w:pPr>
        <w:rPr>
          <w:rFonts w:eastAsia="Calibri" w:cs="Arial"/>
          <w:szCs w:val="20"/>
        </w:rPr>
      </w:pPr>
      <w:bookmarkStart w:id="62" w:name="_Toc62768228"/>
    </w:p>
    <w:bookmarkEnd w:id="62"/>
    <w:p w14:paraId="6AA17BA5" w14:textId="791CE693" w:rsidR="004B5F8F" w:rsidRDefault="004B5F8F">
      <w:r>
        <w:t xml:space="preserve">First published in </w:t>
      </w:r>
      <w:r w:rsidR="00D24BCC">
        <w:t xml:space="preserve">2022 </w:t>
      </w:r>
      <w:r>
        <w:t xml:space="preserve">by the Australian Council of Social Service </w:t>
      </w:r>
    </w:p>
    <w:p w14:paraId="47CCEE54" w14:textId="77777777" w:rsidR="004B5F8F" w:rsidRDefault="004B5F8F">
      <w:r>
        <w:t xml:space="preserve">Locked Bag 4777 </w:t>
      </w:r>
      <w:r>
        <w:br/>
        <w:t>Strawberry Hills</w:t>
      </w:r>
      <w:r>
        <w:br/>
        <w:t>NSW, 2012 Australia</w:t>
      </w:r>
    </w:p>
    <w:p w14:paraId="24D55303" w14:textId="77777777" w:rsidR="004B5F8F" w:rsidRDefault="004B5F8F">
      <w:r>
        <w:t xml:space="preserve">Email: </w:t>
      </w:r>
      <w:hyperlink r:id="rId13" w:history="1">
        <w:r w:rsidRPr="00967B1A">
          <w:rPr>
            <w:rStyle w:val="Hyperlink"/>
          </w:rPr>
          <w:t>info@acoss.org.au</w:t>
        </w:r>
      </w:hyperlink>
      <w:r>
        <w:t xml:space="preserve">  </w:t>
      </w:r>
    </w:p>
    <w:p w14:paraId="6BBFB7E8" w14:textId="77777777" w:rsidR="004B5F8F" w:rsidRDefault="004B5F8F">
      <w:r>
        <w:t xml:space="preserve">Website: </w:t>
      </w:r>
      <w:hyperlink r:id="rId14" w:history="1">
        <w:r w:rsidRPr="00967B1A">
          <w:rPr>
            <w:rStyle w:val="Hyperlink"/>
          </w:rPr>
          <w:t>www.acoss.org.au</w:t>
        </w:r>
      </w:hyperlink>
      <w:r>
        <w:t xml:space="preserve"> </w:t>
      </w:r>
    </w:p>
    <w:p w14:paraId="345181A8" w14:textId="77777777" w:rsidR="004B5F8F" w:rsidRPr="008E4075" w:rsidRDefault="294F0AC8" w:rsidP="294F0AC8">
      <w:r>
        <w:t xml:space="preserve">ISSN: 1326 7124 </w:t>
      </w:r>
    </w:p>
    <w:p w14:paraId="021428DC" w14:textId="20673752" w:rsidR="004B5F8F" w:rsidRDefault="004B5F8F" w:rsidP="294F0AC8">
      <w:pPr>
        <w:rPr>
          <w:rFonts w:ascii="Tahoma" w:hAnsi="Tahoma" w:cs="Tahoma"/>
        </w:rPr>
      </w:pPr>
      <w:r w:rsidRPr="294F0AC8">
        <w:t xml:space="preserve">ISBN: </w:t>
      </w:r>
      <w:r w:rsidR="294F0AC8">
        <w:t>978-0-85871-095-5</w:t>
      </w:r>
    </w:p>
    <w:p w14:paraId="678C0B4D" w14:textId="77777777" w:rsidR="004B5F8F" w:rsidRDefault="004B5F8F">
      <w:r>
        <w:t>© Australian Council of Social Service</w:t>
      </w:r>
    </w:p>
    <w:p w14:paraId="4D87E53D" w14:textId="134040BB" w:rsidR="294F0AC8" w:rsidRDefault="294F0AC8" w:rsidP="294F0AC8">
      <w:r>
        <w:t xml:space="preserve">This publication is copyright. Apart from fair dealing for the purpose of private study, research, criticism, or review, as permitted under the Copyright Act, no part may be reproduced by any </w:t>
      </w:r>
      <w:r w:rsidR="2602F1D6">
        <w:t>process</w:t>
      </w:r>
      <w:r>
        <w:t xml:space="preserve"> without written permission. Enquiries should be addressed to the Publications Officer, Australian Council of Social Service. Copies are available from the address above.</w:t>
      </w:r>
    </w:p>
    <w:p w14:paraId="29B6CBE7" w14:textId="0A007A87" w:rsidR="294F0AC8" w:rsidRDefault="0025219F" w:rsidP="00323AC2">
      <w:pPr>
        <w:pStyle w:val="Heading1"/>
        <w:numPr>
          <w:ilvl w:val="0"/>
          <w:numId w:val="0"/>
        </w:numPr>
        <w:tabs>
          <w:tab w:val="left" w:pos="2880"/>
        </w:tabs>
      </w:pPr>
      <w:bookmarkStart w:id="63" w:name="_Toc1166248113"/>
      <w:bookmarkStart w:id="64" w:name="_Toc1648671998"/>
      <w:bookmarkStart w:id="65" w:name="_Toc751006202"/>
      <w:r>
        <w:br w:type="column"/>
      </w:r>
      <w:bookmarkStart w:id="66" w:name="_Toc90983311"/>
      <w:bookmarkStart w:id="67" w:name="_Toc90983337"/>
      <w:bookmarkStart w:id="68" w:name="_Toc90984601"/>
      <w:r w:rsidR="294F0AC8">
        <w:lastRenderedPageBreak/>
        <w:t>Contents</w:t>
      </w:r>
      <w:bookmarkEnd w:id="63"/>
      <w:bookmarkEnd w:id="64"/>
      <w:bookmarkEnd w:id="65"/>
      <w:bookmarkEnd w:id="66"/>
      <w:bookmarkEnd w:id="67"/>
      <w:bookmarkEnd w:id="68"/>
    </w:p>
    <w:p w14:paraId="451E9326" w14:textId="77777777" w:rsidR="00D44316" w:rsidRDefault="00392CCD" w:rsidP="00D44316">
      <w:pPr>
        <w:pStyle w:val="TOC1"/>
      </w:pPr>
      <w:r>
        <w:rPr>
          <w:rFonts w:eastAsia="Calibri" w:cs="Arial"/>
          <w:szCs w:val="20"/>
        </w:rPr>
        <w:fldChar w:fldCharType="begin"/>
      </w:r>
      <w:r>
        <w:rPr>
          <w:rFonts w:eastAsia="Calibri" w:cs="Arial"/>
          <w:szCs w:val="20"/>
        </w:rPr>
        <w:instrText xml:space="preserve"> TOC \o "1-1" \h \z \u </w:instrText>
      </w:r>
      <w:r>
        <w:rPr>
          <w:rFonts w:eastAsia="Calibri" w:cs="Arial"/>
          <w:szCs w:val="20"/>
        </w:rPr>
        <w:fldChar w:fldCharType="separate"/>
      </w:r>
      <w:r w:rsidR="00D44316">
        <w:rPr>
          <w:rStyle w:val="Hyperlink"/>
        </w:rPr>
        <w:fldChar w:fldCharType="begin"/>
      </w:r>
      <w:r w:rsidR="00D44316">
        <w:rPr>
          <w:rStyle w:val="Hyperlink"/>
        </w:rPr>
        <w:instrText xml:space="preserve"> TOC \o "1-2" \h \z \u </w:instrText>
      </w:r>
      <w:r w:rsidR="00D44316">
        <w:rPr>
          <w:rStyle w:val="Hyperlink"/>
        </w:rPr>
        <w:fldChar w:fldCharType="separate"/>
      </w:r>
    </w:p>
    <w:p w14:paraId="64D34F44" w14:textId="559722AD" w:rsidR="00D44316" w:rsidRDefault="00B10971">
      <w:pPr>
        <w:pStyle w:val="TOC1"/>
        <w:rPr>
          <w:rFonts w:asciiTheme="minorHAnsi" w:eastAsiaTheme="minorEastAsia" w:hAnsiTheme="minorHAnsi"/>
          <w:b w:val="0"/>
          <w:color w:val="auto"/>
          <w:sz w:val="22"/>
          <w:lang w:val="en-AU" w:eastAsia="en-AU"/>
        </w:rPr>
      </w:pPr>
      <w:hyperlink w:anchor="_Toc90984602" w:history="1">
        <w:r w:rsidR="00D44316" w:rsidRPr="00D276E2">
          <w:rPr>
            <w:rStyle w:val="Hyperlink"/>
          </w:rPr>
          <w:t>Executive Summary</w:t>
        </w:r>
        <w:r w:rsidR="00D44316">
          <w:rPr>
            <w:webHidden/>
          </w:rPr>
          <w:tab/>
        </w:r>
        <w:r w:rsidR="00D44316">
          <w:rPr>
            <w:webHidden/>
          </w:rPr>
          <w:fldChar w:fldCharType="begin"/>
        </w:r>
        <w:r w:rsidR="00D44316">
          <w:rPr>
            <w:webHidden/>
          </w:rPr>
          <w:instrText xml:space="preserve"> PAGEREF _Toc90984602 \h </w:instrText>
        </w:r>
        <w:r w:rsidR="00D44316">
          <w:rPr>
            <w:webHidden/>
          </w:rPr>
        </w:r>
        <w:r w:rsidR="00D44316">
          <w:rPr>
            <w:webHidden/>
          </w:rPr>
          <w:fldChar w:fldCharType="separate"/>
        </w:r>
        <w:r w:rsidR="00B44869">
          <w:rPr>
            <w:webHidden/>
          </w:rPr>
          <w:t>4</w:t>
        </w:r>
        <w:r w:rsidR="00D44316">
          <w:rPr>
            <w:webHidden/>
          </w:rPr>
          <w:fldChar w:fldCharType="end"/>
        </w:r>
      </w:hyperlink>
    </w:p>
    <w:p w14:paraId="1994D1C7" w14:textId="06B957AF"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03" w:history="1">
        <w:r w:rsidR="00D44316" w:rsidRPr="00D276E2">
          <w:rPr>
            <w:rStyle w:val="Hyperlink"/>
            <w:noProof/>
          </w:rPr>
          <w:t>The big challenges are not behind us</w:t>
        </w:r>
        <w:r w:rsidR="00D44316">
          <w:rPr>
            <w:noProof/>
            <w:webHidden/>
          </w:rPr>
          <w:tab/>
        </w:r>
        <w:r w:rsidR="00D44316">
          <w:rPr>
            <w:noProof/>
            <w:webHidden/>
          </w:rPr>
          <w:fldChar w:fldCharType="begin"/>
        </w:r>
        <w:r w:rsidR="00D44316">
          <w:rPr>
            <w:noProof/>
            <w:webHidden/>
          </w:rPr>
          <w:instrText xml:space="preserve"> PAGEREF _Toc90984603 \h </w:instrText>
        </w:r>
        <w:r w:rsidR="00D44316">
          <w:rPr>
            <w:noProof/>
            <w:webHidden/>
          </w:rPr>
        </w:r>
        <w:r w:rsidR="00D44316">
          <w:rPr>
            <w:noProof/>
            <w:webHidden/>
          </w:rPr>
          <w:fldChar w:fldCharType="separate"/>
        </w:r>
        <w:r w:rsidR="00B44869">
          <w:rPr>
            <w:noProof/>
            <w:webHidden/>
          </w:rPr>
          <w:t>4</w:t>
        </w:r>
        <w:r w:rsidR="00D44316">
          <w:rPr>
            <w:noProof/>
            <w:webHidden/>
          </w:rPr>
          <w:fldChar w:fldCharType="end"/>
        </w:r>
      </w:hyperlink>
    </w:p>
    <w:p w14:paraId="7D406C3F" w14:textId="453DEB1A"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04" w:history="1">
        <w:r w:rsidR="00D44316" w:rsidRPr="00D276E2">
          <w:rPr>
            <w:rStyle w:val="Hyperlink"/>
            <w:noProof/>
          </w:rPr>
          <w:t>A Guarantee to the Nation: jobs, services, safety nets and climate action</w:t>
        </w:r>
        <w:r w:rsidR="00D44316">
          <w:rPr>
            <w:noProof/>
            <w:webHidden/>
          </w:rPr>
          <w:tab/>
        </w:r>
        <w:r w:rsidR="00D44316">
          <w:rPr>
            <w:noProof/>
            <w:webHidden/>
          </w:rPr>
          <w:fldChar w:fldCharType="begin"/>
        </w:r>
        <w:r w:rsidR="00D44316">
          <w:rPr>
            <w:noProof/>
            <w:webHidden/>
          </w:rPr>
          <w:instrText xml:space="preserve"> PAGEREF _Toc90984604 \h </w:instrText>
        </w:r>
        <w:r w:rsidR="00D44316">
          <w:rPr>
            <w:noProof/>
            <w:webHidden/>
          </w:rPr>
        </w:r>
        <w:r w:rsidR="00D44316">
          <w:rPr>
            <w:noProof/>
            <w:webHidden/>
          </w:rPr>
          <w:fldChar w:fldCharType="separate"/>
        </w:r>
        <w:r w:rsidR="00B44869">
          <w:rPr>
            <w:noProof/>
            <w:webHidden/>
          </w:rPr>
          <w:t>4</w:t>
        </w:r>
        <w:r w:rsidR="00D44316">
          <w:rPr>
            <w:noProof/>
            <w:webHidden/>
          </w:rPr>
          <w:fldChar w:fldCharType="end"/>
        </w:r>
      </w:hyperlink>
    </w:p>
    <w:p w14:paraId="2B85AC7E" w14:textId="55252DE1"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05" w:history="1">
        <w:r w:rsidR="00D44316" w:rsidRPr="00D276E2">
          <w:rPr>
            <w:rStyle w:val="Hyperlink"/>
            <w:noProof/>
          </w:rPr>
          <w:t>A responsible budget strategy</w:t>
        </w:r>
        <w:r w:rsidR="00D44316">
          <w:rPr>
            <w:noProof/>
            <w:webHidden/>
          </w:rPr>
          <w:tab/>
        </w:r>
        <w:r w:rsidR="00D44316">
          <w:rPr>
            <w:noProof/>
            <w:webHidden/>
          </w:rPr>
          <w:fldChar w:fldCharType="begin"/>
        </w:r>
        <w:r w:rsidR="00D44316">
          <w:rPr>
            <w:noProof/>
            <w:webHidden/>
          </w:rPr>
          <w:instrText xml:space="preserve"> PAGEREF _Toc90984605 \h </w:instrText>
        </w:r>
        <w:r w:rsidR="00D44316">
          <w:rPr>
            <w:noProof/>
            <w:webHidden/>
          </w:rPr>
        </w:r>
        <w:r w:rsidR="00D44316">
          <w:rPr>
            <w:noProof/>
            <w:webHidden/>
          </w:rPr>
          <w:fldChar w:fldCharType="separate"/>
        </w:r>
        <w:r w:rsidR="00B44869">
          <w:rPr>
            <w:noProof/>
            <w:webHidden/>
          </w:rPr>
          <w:t>5</w:t>
        </w:r>
        <w:r w:rsidR="00D44316">
          <w:rPr>
            <w:noProof/>
            <w:webHidden/>
          </w:rPr>
          <w:fldChar w:fldCharType="end"/>
        </w:r>
      </w:hyperlink>
    </w:p>
    <w:p w14:paraId="42371E23" w14:textId="481ED1D8"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06" w:history="1">
        <w:r w:rsidR="00D44316" w:rsidRPr="00D276E2">
          <w:rPr>
            <w:rStyle w:val="Hyperlink"/>
            <w:noProof/>
          </w:rPr>
          <w:t>Major recommendations</w:t>
        </w:r>
        <w:r w:rsidR="00D44316">
          <w:rPr>
            <w:noProof/>
            <w:webHidden/>
          </w:rPr>
          <w:tab/>
        </w:r>
        <w:r w:rsidR="00D44316">
          <w:rPr>
            <w:noProof/>
            <w:webHidden/>
          </w:rPr>
          <w:fldChar w:fldCharType="begin"/>
        </w:r>
        <w:r w:rsidR="00D44316">
          <w:rPr>
            <w:noProof/>
            <w:webHidden/>
          </w:rPr>
          <w:instrText xml:space="preserve"> PAGEREF _Toc90984606 \h </w:instrText>
        </w:r>
        <w:r w:rsidR="00D44316">
          <w:rPr>
            <w:noProof/>
            <w:webHidden/>
          </w:rPr>
        </w:r>
        <w:r w:rsidR="00D44316">
          <w:rPr>
            <w:noProof/>
            <w:webHidden/>
          </w:rPr>
          <w:fldChar w:fldCharType="separate"/>
        </w:r>
        <w:r w:rsidR="00B44869">
          <w:rPr>
            <w:noProof/>
            <w:webHidden/>
          </w:rPr>
          <w:t>6</w:t>
        </w:r>
        <w:r w:rsidR="00D44316">
          <w:rPr>
            <w:noProof/>
            <w:webHidden/>
          </w:rPr>
          <w:fldChar w:fldCharType="end"/>
        </w:r>
      </w:hyperlink>
    </w:p>
    <w:p w14:paraId="578BFFAD" w14:textId="02F5BB1D"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07" w:history="1">
        <w:r w:rsidR="00D44316" w:rsidRPr="00D276E2">
          <w:rPr>
            <w:rStyle w:val="Hyperlink"/>
            <w:noProof/>
          </w:rPr>
          <w:t>A note on costings</w:t>
        </w:r>
        <w:r w:rsidR="00D44316">
          <w:rPr>
            <w:noProof/>
            <w:webHidden/>
          </w:rPr>
          <w:tab/>
        </w:r>
        <w:r w:rsidR="00D44316">
          <w:rPr>
            <w:noProof/>
            <w:webHidden/>
          </w:rPr>
          <w:fldChar w:fldCharType="begin"/>
        </w:r>
        <w:r w:rsidR="00D44316">
          <w:rPr>
            <w:noProof/>
            <w:webHidden/>
          </w:rPr>
          <w:instrText xml:space="preserve"> PAGEREF _Toc90984607 \h </w:instrText>
        </w:r>
        <w:r w:rsidR="00D44316">
          <w:rPr>
            <w:noProof/>
            <w:webHidden/>
          </w:rPr>
        </w:r>
        <w:r w:rsidR="00D44316">
          <w:rPr>
            <w:noProof/>
            <w:webHidden/>
          </w:rPr>
          <w:fldChar w:fldCharType="separate"/>
        </w:r>
        <w:r w:rsidR="00B44869">
          <w:rPr>
            <w:noProof/>
            <w:webHidden/>
          </w:rPr>
          <w:t>8</w:t>
        </w:r>
        <w:r w:rsidR="00D44316">
          <w:rPr>
            <w:noProof/>
            <w:webHidden/>
          </w:rPr>
          <w:fldChar w:fldCharType="end"/>
        </w:r>
      </w:hyperlink>
    </w:p>
    <w:p w14:paraId="30DC7D52" w14:textId="3A2AFD98" w:rsidR="00D44316" w:rsidRDefault="00B10971">
      <w:pPr>
        <w:pStyle w:val="TOC1"/>
        <w:rPr>
          <w:rFonts w:asciiTheme="minorHAnsi" w:eastAsiaTheme="minorEastAsia" w:hAnsiTheme="minorHAnsi"/>
          <w:b w:val="0"/>
          <w:color w:val="auto"/>
          <w:sz w:val="22"/>
          <w:lang w:val="en-AU" w:eastAsia="en-AU"/>
        </w:rPr>
      </w:pPr>
      <w:hyperlink w:anchor="_Toc90984608" w:history="1">
        <w:r w:rsidR="00D44316" w:rsidRPr="00D276E2">
          <w:rPr>
            <w:rStyle w:val="Hyperlink"/>
          </w:rPr>
          <w:t>1. A permanent boost to the lowest incomes</w:t>
        </w:r>
        <w:r w:rsidR="00D44316">
          <w:rPr>
            <w:webHidden/>
          </w:rPr>
          <w:tab/>
        </w:r>
        <w:r w:rsidR="00D44316">
          <w:rPr>
            <w:webHidden/>
          </w:rPr>
          <w:fldChar w:fldCharType="begin"/>
        </w:r>
        <w:r w:rsidR="00D44316">
          <w:rPr>
            <w:webHidden/>
          </w:rPr>
          <w:instrText xml:space="preserve"> PAGEREF _Toc90984608 \h </w:instrText>
        </w:r>
        <w:r w:rsidR="00D44316">
          <w:rPr>
            <w:webHidden/>
          </w:rPr>
        </w:r>
        <w:r w:rsidR="00D44316">
          <w:rPr>
            <w:webHidden/>
          </w:rPr>
          <w:fldChar w:fldCharType="separate"/>
        </w:r>
        <w:r w:rsidR="00B44869">
          <w:rPr>
            <w:webHidden/>
          </w:rPr>
          <w:t>9</w:t>
        </w:r>
        <w:r w:rsidR="00D44316">
          <w:rPr>
            <w:webHidden/>
          </w:rPr>
          <w:fldChar w:fldCharType="end"/>
        </w:r>
      </w:hyperlink>
    </w:p>
    <w:p w14:paraId="15C074BB" w14:textId="6B03238B"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09" w:history="1">
        <w:r w:rsidR="00D44316" w:rsidRPr="00D276E2">
          <w:rPr>
            <w:rStyle w:val="Hyperlink"/>
            <w:noProof/>
          </w:rPr>
          <w:t>Increase base rates of income support</w:t>
        </w:r>
        <w:r w:rsidR="00D44316">
          <w:rPr>
            <w:noProof/>
            <w:webHidden/>
          </w:rPr>
          <w:tab/>
        </w:r>
        <w:r w:rsidR="00D44316">
          <w:rPr>
            <w:noProof/>
            <w:webHidden/>
          </w:rPr>
          <w:fldChar w:fldCharType="begin"/>
        </w:r>
        <w:r w:rsidR="00D44316">
          <w:rPr>
            <w:noProof/>
            <w:webHidden/>
          </w:rPr>
          <w:instrText xml:space="preserve"> PAGEREF _Toc90984609 \h </w:instrText>
        </w:r>
        <w:r w:rsidR="00D44316">
          <w:rPr>
            <w:noProof/>
            <w:webHidden/>
          </w:rPr>
        </w:r>
        <w:r w:rsidR="00D44316">
          <w:rPr>
            <w:noProof/>
            <w:webHidden/>
          </w:rPr>
          <w:fldChar w:fldCharType="separate"/>
        </w:r>
        <w:r w:rsidR="00B44869">
          <w:rPr>
            <w:noProof/>
            <w:webHidden/>
          </w:rPr>
          <w:t>10</w:t>
        </w:r>
        <w:r w:rsidR="00D44316">
          <w:rPr>
            <w:noProof/>
            <w:webHidden/>
          </w:rPr>
          <w:fldChar w:fldCharType="end"/>
        </w:r>
      </w:hyperlink>
    </w:p>
    <w:p w14:paraId="134AD76B" w14:textId="6D17DC4A"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10" w:history="1">
        <w:r w:rsidR="00D44316" w:rsidRPr="00D276E2">
          <w:rPr>
            <w:rStyle w:val="Hyperlink"/>
            <w:noProof/>
          </w:rPr>
          <w:t>Provide supplementary payments to meet need</w:t>
        </w:r>
        <w:r w:rsidR="00D44316">
          <w:rPr>
            <w:noProof/>
            <w:webHidden/>
          </w:rPr>
          <w:tab/>
        </w:r>
        <w:r w:rsidR="00D44316">
          <w:rPr>
            <w:noProof/>
            <w:webHidden/>
          </w:rPr>
          <w:fldChar w:fldCharType="begin"/>
        </w:r>
        <w:r w:rsidR="00D44316">
          <w:rPr>
            <w:noProof/>
            <w:webHidden/>
          </w:rPr>
          <w:instrText xml:space="preserve"> PAGEREF _Toc90984610 \h </w:instrText>
        </w:r>
        <w:r w:rsidR="00D44316">
          <w:rPr>
            <w:noProof/>
            <w:webHidden/>
          </w:rPr>
        </w:r>
        <w:r w:rsidR="00D44316">
          <w:rPr>
            <w:noProof/>
            <w:webHidden/>
          </w:rPr>
          <w:fldChar w:fldCharType="separate"/>
        </w:r>
        <w:r w:rsidR="00B44869">
          <w:rPr>
            <w:noProof/>
            <w:webHidden/>
          </w:rPr>
          <w:t>10</w:t>
        </w:r>
        <w:r w:rsidR="00D44316">
          <w:rPr>
            <w:noProof/>
            <w:webHidden/>
          </w:rPr>
          <w:fldChar w:fldCharType="end"/>
        </w:r>
      </w:hyperlink>
    </w:p>
    <w:p w14:paraId="3936E12A" w14:textId="6D684B7F"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11" w:history="1">
        <w:r w:rsidR="00D44316" w:rsidRPr="00D276E2">
          <w:rPr>
            <w:rStyle w:val="Hyperlink"/>
            <w:noProof/>
          </w:rPr>
          <w:t>Establish a Social Security Commission</w:t>
        </w:r>
        <w:r w:rsidR="00D44316">
          <w:rPr>
            <w:noProof/>
            <w:webHidden/>
          </w:rPr>
          <w:tab/>
        </w:r>
        <w:r w:rsidR="00D44316">
          <w:rPr>
            <w:noProof/>
            <w:webHidden/>
          </w:rPr>
          <w:fldChar w:fldCharType="begin"/>
        </w:r>
        <w:r w:rsidR="00D44316">
          <w:rPr>
            <w:noProof/>
            <w:webHidden/>
          </w:rPr>
          <w:instrText xml:space="preserve"> PAGEREF _Toc90984611 \h </w:instrText>
        </w:r>
        <w:r w:rsidR="00D44316">
          <w:rPr>
            <w:noProof/>
            <w:webHidden/>
          </w:rPr>
        </w:r>
        <w:r w:rsidR="00D44316">
          <w:rPr>
            <w:noProof/>
            <w:webHidden/>
          </w:rPr>
          <w:fldChar w:fldCharType="separate"/>
        </w:r>
        <w:r w:rsidR="00B44869">
          <w:rPr>
            <w:noProof/>
            <w:webHidden/>
          </w:rPr>
          <w:t>12</w:t>
        </w:r>
        <w:r w:rsidR="00D44316">
          <w:rPr>
            <w:noProof/>
            <w:webHidden/>
          </w:rPr>
          <w:fldChar w:fldCharType="end"/>
        </w:r>
      </w:hyperlink>
    </w:p>
    <w:p w14:paraId="0968D211" w14:textId="129EC163"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12" w:history="1">
        <w:r w:rsidR="00D44316" w:rsidRPr="00D276E2">
          <w:rPr>
            <w:rStyle w:val="Hyperlink"/>
            <w:noProof/>
          </w:rPr>
          <w:t>Abolish mandatory cashless debit and income management</w:t>
        </w:r>
        <w:r w:rsidR="00D44316">
          <w:rPr>
            <w:noProof/>
            <w:webHidden/>
          </w:rPr>
          <w:tab/>
        </w:r>
        <w:r w:rsidR="00D44316">
          <w:rPr>
            <w:noProof/>
            <w:webHidden/>
          </w:rPr>
          <w:fldChar w:fldCharType="begin"/>
        </w:r>
        <w:r w:rsidR="00D44316">
          <w:rPr>
            <w:noProof/>
            <w:webHidden/>
          </w:rPr>
          <w:instrText xml:space="preserve"> PAGEREF _Toc90984612 \h </w:instrText>
        </w:r>
        <w:r w:rsidR="00D44316">
          <w:rPr>
            <w:noProof/>
            <w:webHidden/>
          </w:rPr>
        </w:r>
        <w:r w:rsidR="00D44316">
          <w:rPr>
            <w:noProof/>
            <w:webHidden/>
          </w:rPr>
          <w:fldChar w:fldCharType="separate"/>
        </w:r>
        <w:r w:rsidR="00B44869">
          <w:rPr>
            <w:noProof/>
            <w:webHidden/>
          </w:rPr>
          <w:t>12</w:t>
        </w:r>
        <w:r w:rsidR="00D44316">
          <w:rPr>
            <w:noProof/>
            <w:webHidden/>
          </w:rPr>
          <w:fldChar w:fldCharType="end"/>
        </w:r>
      </w:hyperlink>
    </w:p>
    <w:p w14:paraId="154F866F" w14:textId="5D85A3FD"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13" w:history="1">
        <w:r w:rsidR="00D44316" w:rsidRPr="00D276E2">
          <w:rPr>
            <w:rStyle w:val="Hyperlink"/>
            <w:noProof/>
          </w:rPr>
          <w:t>Reform unfair waiting periods</w:t>
        </w:r>
        <w:r w:rsidR="00D44316">
          <w:rPr>
            <w:noProof/>
            <w:webHidden/>
          </w:rPr>
          <w:tab/>
        </w:r>
        <w:r w:rsidR="00D44316">
          <w:rPr>
            <w:noProof/>
            <w:webHidden/>
          </w:rPr>
          <w:fldChar w:fldCharType="begin"/>
        </w:r>
        <w:r w:rsidR="00D44316">
          <w:rPr>
            <w:noProof/>
            <w:webHidden/>
          </w:rPr>
          <w:instrText xml:space="preserve"> PAGEREF _Toc90984613 \h </w:instrText>
        </w:r>
        <w:r w:rsidR="00D44316">
          <w:rPr>
            <w:noProof/>
            <w:webHidden/>
          </w:rPr>
        </w:r>
        <w:r w:rsidR="00D44316">
          <w:rPr>
            <w:noProof/>
            <w:webHidden/>
          </w:rPr>
          <w:fldChar w:fldCharType="separate"/>
        </w:r>
        <w:r w:rsidR="00B44869">
          <w:rPr>
            <w:noProof/>
            <w:webHidden/>
          </w:rPr>
          <w:t>13</w:t>
        </w:r>
        <w:r w:rsidR="00D44316">
          <w:rPr>
            <w:noProof/>
            <w:webHidden/>
          </w:rPr>
          <w:fldChar w:fldCharType="end"/>
        </w:r>
      </w:hyperlink>
    </w:p>
    <w:p w14:paraId="26E502E7" w14:textId="3A3DA482"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14" w:history="1">
        <w:r w:rsidR="00D44316" w:rsidRPr="00D276E2">
          <w:rPr>
            <w:rStyle w:val="Hyperlink"/>
            <w:noProof/>
          </w:rPr>
          <w:t>Reforms to improve the operation of our income support system</w:t>
        </w:r>
        <w:r w:rsidR="00D44316">
          <w:rPr>
            <w:noProof/>
            <w:webHidden/>
          </w:rPr>
          <w:tab/>
        </w:r>
        <w:r w:rsidR="00D44316">
          <w:rPr>
            <w:noProof/>
            <w:webHidden/>
          </w:rPr>
          <w:fldChar w:fldCharType="begin"/>
        </w:r>
        <w:r w:rsidR="00D44316">
          <w:rPr>
            <w:noProof/>
            <w:webHidden/>
          </w:rPr>
          <w:instrText xml:space="preserve"> PAGEREF _Toc90984614 \h </w:instrText>
        </w:r>
        <w:r w:rsidR="00D44316">
          <w:rPr>
            <w:noProof/>
            <w:webHidden/>
          </w:rPr>
        </w:r>
        <w:r w:rsidR="00D44316">
          <w:rPr>
            <w:noProof/>
            <w:webHidden/>
          </w:rPr>
          <w:fldChar w:fldCharType="separate"/>
        </w:r>
        <w:r w:rsidR="00B44869">
          <w:rPr>
            <w:noProof/>
            <w:webHidden/>
          </w:rPr>
          <w:t>14</w:t>
        </w:r>
        <w:r w:rsidR="00D44316">
          <w:rPr>
            <w:noProof/>
            <w:webHidden/>
          </w:rPr>
          <w:fldChar w:fldCharType="end"/>
        </w:r>
      </w:hyperlink>
    </w:p>
    <w:p w14:paraId="3AAD22B2" w14:textId="5A5C090E" w:rsidR="00D44316" w:rsidRDefault="00B10971">
      <w:pPr>
        <w:pStyle w:val="TOC1"/>
        <w:rPr>
          <w:rFonts w:asciiTheme="minorHAnsi" w:eastAsiaTheme="minorEastAsia" w:hAnsiTheme="minorHAnsi"/>
          <w:b w:val="0"/>
          <w:color w:val="auto"/>
          <w:sz w:val="22"/>
          <w:lang w:val="en-AU" w:eastAsia="en-AU"/>
        </w:rPr>
      </w:pPr>
      <w:hyperlink w:anchor="_Toc90984615" w:history="1">
        <w:r w:rsidR="00D44316" w:rsidRPr="00D276E2">
          <w:rPr>
            <w:rStyle w:val="Hyperlink"/>
          </w:rPr>
          <w:t>2. Restoring jobs for people out of paid work</w:t>
        </w:r>
        <w:r w:rsidR="00D44316">
          <w:rPr>
            <w:webHidden/>
          </w:rPr>
          <w:tab/>
        </w:r>
        <w:r w:rsidR="00D44316">
          <w:rPr>
            <w:webHidden/>
          </w:rPr>
          <w:fldChar w:fldCharType="begin"/>
        </w:r>
        <w:r w:rsidR="00D44316">
          <w:rPr>
            <w:webHidden/>
          </w:rPr>
          <w:instrText xml:space="preserve"> PAGEREF _Toc90984615 \h </w:instrText>
        </w:r>
        <w:r w:rsidR="00D44316">
          <w:rPr>
            <w:webHidden/>
          </w:rPr>
        </w:r>
        <w:r w:rsidR="00D44316">
          <w:rPr>
            <w:webHidden/>
          </w:rPr>
          <w:fldChar w:fldCharType="separate"/>
        </w:r>
        <w:r w:rsidR="00B44869">
          <w:rPr>
            <w:webHidden/>
          </w:rPr>
          <w:t>15</w:t>
        </w:r>
        <w:r w:rsidR="00D44316">
          <w:rPr>
            <w:webHidden/>
          </w:rPr>
          <w:fldChar w:fldCharType="end"/>
        </w:r>
      </w:hyperlink>
    </w:p>
    <w:p w14:paraId="1F18EB25" w14:textId="44470733"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16" w:history="1">
        <w:r w:rsidR="00D44316" w:rsidRPr="00D276E2">
          <w:rPr>
            <w:rStyle w:val="Hyperlink"/>
            <w:noProof/>
          </w:rPr>
          <w:t>A jobs and training guarantee to reduce long-term unemployment</w:t>
        </w:r>
        <w:r w:rsidR="00D44316">
          <w:rPr>
            <w:noProof/>
            <w:webHidden/>
          </w:rPr>
          <w:tab/>
        </w:r>
        <w:r w:rsidR="00D44316">
          <w:rPr>
            <w:noProof/>
            <w:webHidden/>
          </w:rPr>
          <w:fldChar w:fldCharType="begin"/>
        </w:r>
        <w:r w:rsidR="00D44316">
          <w:rPr>
            <w:noProof/>
            <w:webHidden/>
          </w:rPr>
          <w:instrText xml:space="preserve"> PAGEREF _Toc90984616 \h </w:instrText>
        </w:r>
        <w:r w:rsidR="00D44316">
          <w:rPr>
            <w:noProof/>
            <w:webHidden/>
          </w:rPr>
        </w:r>
        <w:r w:rsidR="00D44316">
          <w:rPr>
            <w:noProof/>
            <w:webHidden/>
          </w:rPr>
          <w:fldChar w:fldCharType="separate"/>
        </w:r>
        <w:r w:rsidR="00B44869">
          <w:rPr>
            <w:noProof/>
            <w:webHidden/>
          </w:rPr>
          <w:t>16</w:t>
        </w:r>
        <w:r w:rsidR="00D44316">
          <w:rPr>
            <w:noProof/>
            <w:webHidden/>
          </w:rPr>
          <w:fldChar w:fldCharType="end"/>
        </w:r>
      </w:hyperlink>
    </w:p>
    <w:p w14:paraId="1A01B42C" w14:textId="4169AA3C"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17" w:history="1">
        <w:r w:rsidR="00D44316" w:rsidRPr="00D276E2">
          <w:rPr>
            <w:rStyle w:val="Hyperlink"/>
            <w:noProof/>
          </w:rPr>
          <w:t>Infrastructure to plan for Jobs and Training Guarantees in local communities</w:t>
        </w:r>
        <w:r w:rsidR="00D44316">
          <w:rPr>
            <w:noProof/>
            <w:webHidden/>
          </w:rPr>
          <w:tab/>
        </w:r>
        <w:r w:rsidR="00D44316">
          <w:rPr>
            <w:noProof/>
            <w:webHidden/>
          </w:rPr>
          <w:fldChar w:fldCharType="begin"/>
        </w:r>
        <w:r w:rsidR="00D44316">
          <w:rPr>
            <w:noProof/>
            <w:webHidden/>
          </w:rPr>
          <w:instrText xml:space="preserve"> PAGEREF _Toc90984617 \h </w:instrText>
        </w:r>
        <w:r w:rsidR="00D44316">
          <w:rPr>
            <w:noProof/>
            <w:webHidden/>
          </w:rPr>
        </w:r>
        <w:r w:rsidR="00D44316">
          <w:rPr>
            <w:noProof/>
            <w:webHidden/>
          </w:rPr>
          <w:fldChar w:fldCharType="separate"/>
        </w:r>
        <w:r w:rsidR="00B44869">
          <w:rPr>
            <w:noProof/>
            <w:webHidden/>
          </w:rPr>
          <w:t>18</w:t>
        </w:r>
        <w:r w:rsidR="00D44316">
          <w:rPr>
            <w:noProof/>
            <w:webHidden/>
          </w:rPr>
          <w:fldChar w:fldCharType="end"/>
        </w:r>
      </w:hyperlink>
    </w:p>
    <w:p w14:paraId="4E69CBA2" w14:textId="6390DE3B"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18" w:history="1">
        <w:r w:rsidR="00D44316" w:rsidRPr="00D276E2">
          <w:rPr>
            <w:rStyle w:val="Hyperlink"/>
            <w:noProof/>
          </w:rPr>
          <w:t>Put the 'service’ back in employment services</w:t>
        </w:r>
        <w:r w:rsidR="00D44316">
          <w:rPr>
            <w:noProof/>
            <w:webHidden/>
          </w:rPr>
          <w:tab/>
        </w:r>
        <w:r w:rsidR="00D44316">
          <w:rPr>
            <w:noProof/>
            <w:webHidden/>
          </w:rPr>
          <w:fldChar w:fldCharType="begin"/>
        </w:r>
        <w:r w:rsidR="00D44316">
          <w:rPr>
            <w:noProof/>
            <w:webHidden/>
          </w:rPr>
          <w:instrText xml:space="preserve"> PAGEREF _Toc90984618 \h </w:instrText>
        </w:r>
        <w:r w:rsidR="00D44316">
          <w:rPr>
            <w:noProof/>
            <w:webHidden/>
          </w:rPr>
        </w:r>
        <w:r w:rsidR="00D44316">
          <w:rPr>
            <w:noProof/>
            <w:webHidden/>
          </w:rPr>
          <w:fldChar w:fldCharType="separate"/>
        </w:r>
        <w:r w:rsidR="00B44869">
          <w:rPr>
            <w:noProof/>
            <w:webHidden/>
          </w:rPr>
          <w:t>19</w:t>
        </w:r>
        <w:r w:rsidR="00D44316">
          <w:rPr>
            <w:noProof/>
            <w:webHidden/>
          </w:rPr>
          <w:fldChar w:fldCharType="end"/>
        </w:r>
      </w:hyperlink>
    </w:p>
    <w:p w14:paraId="4BB5E2EA" w14:textId="703B838F"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19" w:history="1">
        <w:r w:rsidR="00D44316" w:rsidRPr="00D276E2">
          <w:rPr>
            <w:rStyle w:val="Hyperlink"/>
            <w:noProof/>
          </w:rPr>
          <w:t>Remove harsh and onerous elements from the Mutual Obligation framework</w:t>
        </w:r>
        <w:r w:rsidR="00D44316">
          <w:rPr>
            <w:noProof/>
            <w:webHidden/>
          </w:rPr>
          <w:tab/>
        </w:r>
        <w:r w:rsidR="00D44316">
          <w:rPr>
            <w:noProof/>
            <w:webHidden/>
          </w:rPr>
          <w:fldChar w:fldCharType="begin"/>
        </w:r>
        <w:r w:rsidR="00D44316">
          <w:rPr>
            <w:noProof/>
            <w:webHidden/>
          </w:rPr>
          <w:instrText xml:space="preserve"> PAGEREF _Toc90984619 \h </w:instrText>
        </w:r>
        <w:r w:rsidR="00D44316">
          <w:rPr>
            <w:noProof/>
            <w:webHidden/>
          </w:rPr>
        </w:r>
        <w:r w:rsidR="00D44316">
          <w:rPr>
            <w:noProof/>
            <w:webHidden/>
          </w:rPr>
          <w:fldChar w:fldCharType="separate"/>
        </w:r>
        <w:r w:rsidR="00B44869">
          <w:rPr>
            <w:noProof/>
            <w:webHidden/>
          </w:rPr>
          <w:t>19</w:t>
        </w:r>
        <w:r w:rsidR="00D44316">
          <w:rPr>
            <w:noProof/>
            <w:webHidden/>
          </w:rPr>
          <w:fldChar w:fldCharType="end"/>
        </w:r>
      </w:hyperlink>
    </w:p>
    <w:p w14:paraId="1BCEF56A" w14:textId="5E36FC77"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20" w:history="1">
        <w:r w:rsidR="00D44316" w:rsidRPr="00D276E2">
          <w:rPr>
            <w:rStyle w:val="Hyperlink"/>
            <w:noProof/>
          </w:rPr>
          <w:t>Career guidance and training to clear a path to decent jobs</w:t>
        </w:r>
        <w:r w:rsidR="00D44316">
          <w:rPr>
            <w:noProof/>
            <w:webHidden/>
          </w:rPr>
          <w:tab/>
        </w:r>
        <w:r w:rsidR="00D44316">
          <w:rPr>
            <w:noProof/>
            <w:webHidden/>
          </w:rPr>
          <w:fldChar w:fldCharType="begin"/>
        </w:r>
        <w:r w:rsidR="00D44316">
          <w:rPr>
            <w:noProof/>
            <w:webHidden/>
          </w:rPr>
          <w:instrText xml:space="preserve"> PAGEREF _Toc90984620 \h </w:instrText>
        </w:r>
        <w:r w:rsidR="00D44316">
          <w:rPr>
            <w:noProof/>
            <w:webHidden/>
          </w:rPr>
        </w:r>
        <w:r w:rsidR="00D44316">
          <w:rPr>
            <w:noProof/>
            <w:webHidden/>
          </w:rPr>
          <w:fldChar w:fldCharType="separate"/>
        </w:r>
        <w:r w:rsidR="00B44869">
          <w:rPr>
            <w:noProof/>
            <w:webHidden/>
          </w:rPr>
          <w:t>20</w:t>
        </w:r>
        <w:r w:rsidR="00D44316">
          <w:rPr>
            <w:noProof/>
            <w:webHidden/>
          </w:rPr>
          <w:fldChar w:fldCharType="end"/>
        </w:r>
      </w:hyperlink>
    </w:p>
    <w:p w14:paraId="6DA9A524" w14:textId="1B0A74D2" w:rsidR="00D44316" w:rsidRDefault="00B10971">
      <w:pPr>
        <w:pStyle w:val="TOC1"/>
        <w:rPr>
          <w:rFonts w:asciiTheme="minorHAnsi" w:eastAsiaTheme="minorEastAsia" w:hAnsiTheme="minorHAnsi"/>
          <w:b w:val="0"/>
          <w:color w:val="auto"/>
          <w:sz w:val="22"/>
          <w:lang w:val="en-AU" w:eastAsia="en-AU"/>
        </w:rPr>
      </w:pPr>
      <w:hyperlink w:anchor="_Toc90984621" w:history="1">
        <w:r w:rsidR="00D44316" w:rsidRPr="00D276E2">
          <w:rPr>
            <w:rStyle w:val="Hyperlink"/>
          </w:rPr>
          <w:t>3. Fair, fast and inclusive climate action</w:t>
        </w:r>
        <w:r w:rsidR="00D44316">
          <w:rPr>
            <w:webHidden/>
          </w:rPr>
          <w:tab/>
        </w:r>
        <w:r w:rsidR="00D44316">
          <w:rPr>
            <w:webHidden/>
          </w:rPr>
          <w:fldChar w:fldCharType="begin"/>
        </w:r>
        <w:r w:rsidR="00D44316">
          <w:rPr>
            <w:webHidden/>
          </w:rPr>
          <w:instrText xml:space="preserve"> PAGEREF _Toc90984621 \h </w:instrText>
        </w:r>
        <w:r w:rsidR="00D44316">
          <w:rPr>
            <w:webHidden/>
          </w:rPr>
        </w:r>
        <w:r w:rsidR="00D44316">
          <w:rPr>
            <w:webHidden/>
          </w:rPr>
          <w:fldChar w:fldCharType="separate"/>
        </w:r>
        <w:r w:rsidR="00B44869">
          <w:rPr>
            <w:webHidden/>
          </w:rPr>
          <w:t>22</w:t>
        </w:r>
        <w:r w:rsidR="00D44316">
          <w:rPr>
            <w:webHidden/>
          </w:rPr>
          <w:fldChar w:fldCharType="end"/>
        </w:r>
      </w:hyperlink>
    </w:p>
    <w:p w14:paraId="20315AC7" w14:textId="0BBAF27A"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22" w:history="1">
        <w:r w:rsidR="00D44316" w:rsidRPr="00D276E2">
          <w:rPr>
            <w:rStyle w:val="Hyperlink"/>
            <w:noProof/>
          </w:rPr>
          <w:t>Healthy, energy efficient homes</w:t>
        </w:r>
        <w:r w:rsidR="00D44316">
          <w:rPr>
            <w:noProof/>
            <w:webHidden/>
          </w:rPr>
          <w:tab/>
        </w:r>
        <w:r w:rsidR="00D44316">
          <w:rPr>
            <w:noProof/>
            <w:webHidden/>
          </w:rPr>
          <w:fldChar w:fldCharType="begin"/>
        </w:r>
        <w:r w:rsidR="00D44316">
          <w:rPr>
            <w:noProof/>
            <w:webHidden/>
          </w:rPr>
          <w:instrText xml:space="preserve"> PAGEREF _Toc90984622 \h </w:instrText>
        </w:r>
        <w:r w:rsidR="00D44316">
          <w:rPr>
            <w:noProof/>
            <w:webHidden/>
          </w:rPr>
        </w:r>
        <w:r w:rsidR="00D44316">
          <w:rPr>
            <w:noProof/>
            <w:webHidden/>
          </w:rPr>
          <w:fldChar w:fldCharType="separate"/>
        </w:r>
        <w:r w:rsidR="00B44869">
          <w:rPr>
            <w:noProof/>
            <w:webHidden/>
          </w:rPr>
          <w:t>22</w:t>
        </w:r>
        <w:r w:rsidR="00D44316">
          <w:rPr>
            <w:noProof/>
            <w:webHidden/>
          </w:rPr>
          <w:fldChar w:fldCharType="end"/>
        </w:r>
      </w:hyperlink>
    </w:p>
    <w:p w14:paraId="20745225" w14:textId="56DB97E2"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23" w:history="1">
        <w:r w:rsidR="00D44316" w:rsidRPr="00D276E2">
          <w:rPr>
            <w:rStyle w:val="Hyperlink"/>
            <w:noProof/>
          </w:rPr>
          <w:t>Clean, affordable, reliable energy for First Nations’ communities</w:t>
        </w:r>
        <w:r w:rsidR="00D44316">
          <w:rPr>
            <w:noProof/>
            <w:webHidden/>
          </w:rPr>
          <w:tab/>
        </w:r>
        <w:r w:rsidR="00D44316">
          <w:rPr>
            <w:noProof/>
            <w:webHidden/>
          </w:rPr>
          <w:fldChar w:fldCharType="begin"/>
        </w:r>
        <w:r w:rsidR="00D44316">
          <w:rPr>
            <w:noProof/>
            <w:webHidden/>
          </w:rPr>
          <w:instrText xml:space="preserve"> PAGEREF _Toc90984623 \h </w:instrText>
        </w:r>
        <w:r w:rsidR="00D44316">
          <w:rPr>
            <w:noProof/>
            <w:webHidden/>
          </w:rPr>
        </w:r>
        <w:r w:rsidR="00D44316">
          <w:rPr>
            <w:noProof/>
            <w:webHidden/>
          </w:rPr>
          <w:fldChar w:fldCharType="separate"/>
        </w:r>
        <w:r w:rsidR="00B44869">
          <w:rPr>
            <w:noProof/>
            <w:webHidden/>
          </w:rPr>
          <w:t>23</w:t>
        </w:r>
        <w:r w:rsidR="00D44316">
          <w:rPr>
            <w:noProof/>
            <w:webHidden/>
          </w:rPr>
          <w:fldChar w:fldCharType="end"/>
        </w:r>
      </w:hyperlink>
    </w:p>
    <w:p w14:paraId="298024B8" w14:textId="677993B7"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24" w:history="1">
        <w:r w:rsidR="00D44316" w:rsidRPr="00D276E2">
          <w:rPr>
            <w:rStyle w:val="Hyperlink"/>
            <w:noProof/>
          </w:rPr>
          <w:t>Provide emergency energy debt relief</w:t>
        </w:r>
        <w:r w:rsidR="00D44316">
          <w:rPr>
            <w:noProof/>
            <w:webHidden/>
          </w:rPr>
          <w:tab/>
        </w:r>
        <w:r w:rsidR="00D44316">
          <w:rPr>
            <w:noProof/>
            <w:webHidden/>
          </w:rPr>
          <w:fldChar w:fldCharType="begin"/>
        </w:r>
        <w:r w:rsidR="00D44316">
          <w:rPr>
            <w:noProof/>
            <w:webHidden/>
          </w:rPr>
          <w:instrText xml:space="preserve"> PAGEREF _Toc90984624 \h </w:instrText>
        </w:r>
        <w:r w:rsidR="00D44316">
          <w:rPr>
            <w:noProof/>
            <w:webHidden/>
          </w:rPr>
        </w:r>
        <w:r w:rsidR="00D44316">
          <w:rPr>
            <w:noProof/>
            <w:webHidden/>
          </w:rPr>
          <w:fldChar w:fldCharType="separate"/>
        </w:r>
        <w:r w:rsidR="00B44869">
          <w:rPr>
            <w:noProof/>
            <w:webHidden/>
          </w:rPr>
          <w:t>24</w:t>
        </w:r>
        <w:r w:rsidR="00D44316">
          <w:rPr>
            <w:noProof/>
            <w:webHidden/>
          </w:rPr>
          <w:fldChar w:fldCharType="end"/>
        </w:r>
      </w:hyperlink>
    </w:p>
    <w:p w14:paraId="340D6110" w14:textId="24E83D1D"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25" w:history="1">
        <w:r w:rsidR="00D44316" w:rsidRPr="00D276E2">
          <w:rPr>
            <w:rStyle w:val="Hyperlink"/>
            <w:noProof/>
          </w:rPr>
          <w:t>Fair and inclusive transition for fossil fuel dependent workers and communities</w:t>
        </w:r>
        <w:r w:rsidR="00D44316">
          <w:rPr>
            <w:noProof/>
            <w:webHidden/>
          </w:rPr>
          <w:tab/>
        </w:r>
        <w:r w:rsidR="00D44316">
          <w:rPr>
            <w:noProof/>
            <w:webHidden/>
          </w:rPr>
          <w:fldChar w:fldCharType="begin"/>
        </w:r>
        <w:r w:rsidR="00D44316">
          <w:rPr>
            <w:noProof/>
            <w:webHidden/>
          </w:rPr>
          <w:instrText xml:space="preserve"> PAGEREF _Toc90984625 \h </w:instrText>
        </w:r>
        <w:r w:rsidR="00D44316">
          <w:rPr>
            <w:noProof/>
            <w:webHidden/>
          </w:rPr>
        </w:r>
        <w:r w:rsidR="00D44316">
          <w:rPr>
            <w:noProof/>
            <w:webHidden/>
          </w:rPr>
          <w:fldChar w:fldCharType="separate"/>
        </w:r>
        <w:r w:rsidR="00B44869">
          <w:rPr>
            <w:noProof/>
            <w:webHidden/>
          </w:rPr>
          <w:t>25</w:t>
        </w:r>
        <w:r w:rsidR="00D44316">
          <w:rPr>
            <w:noProof/>
            <w:webHidden/>
          </w:rPr>
          <w:fldChar w:fldCharType="end"/>
        </w:r>
      </w:hyperlink>
    </w:p>
    <w:p w14:paraId="005181D3" w14:textId="6A78C4FC"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26" w:history="1">
        <w:r w:rsidR="00D44316" w:rsidRPr="00D276E2">
          <w:rPr>
            <w:rStyle w:val="Hyperlink"/>
            <w:noProof/>
          </w:rPr>
          <w:t>Shift subsidies off energy bills</w:t>
        </w:r>
        <w:r w:rsidR="00D44316">
          <w:rPr>
            <w:noProof/>
            <w:webHidden/>
          </w:rPr>
          <w:tab/>
        </w:r>
        <w:r w:rsidR="00D44316">
          <w:rPr>
            <w:noProof/>
            <w:webHidden/>
          </w:rPr>
          <w:fldChar w:fldCharType="begin"/>
        </w:r>
        <w:r w:rsidR="00D44316">
          <w:rPr>
            <w:noProof/>
            <w:webHidden/>
          </w:rPr>
          <w:instrText xml:space="preserve"> PAGEREF _Toc90984626 \h </w:instrText>
        </w:r>
        <w:r w:rsidR="00D44316">
          <w:rPr>
            <w:noProof/>
            <w:webHidden/>
          </w:rPr>
        </w:r>
        <w:r w:rsidR="00D44316">
          <w:rPr>
            <w:noProof/>
            <w:webHidden/>
          </w:rPr>
          <w:fldChar w:fldCharType="separate"/>
        </w:r>
        <w:r w:rsidR="00B44869">
          <w:rPr>
            <w:noProof/>
            <w:webHidden/>
          </w:rPr>
          <w:t>25</w:t>
        </w:r>
        <w:r w:rsidR="00D44316">
          <w:rPr>
            <w:noProof/>
            <w:webHidden/>
          </w:rPr>
          <w:fldChar w:fldCharType="end"/>
        </w:r>
      </w:hyperlink>
    </w:p>
    <w:p w14:paraId="51EE3B6A" w14:textId="7F4C7DDF"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27" w:history="1">
        <w:r w:rsidR="00D44316" w:rsidRPr="00D276E2">
          <w:rPr>
            <w:rStyle w:val="Hyperlink"/>
            <w:noProof/>
          </w:rPr>
          <w:t>Phase out fossil fuel subsidies</w:t>
        </w:r>
        <w:r w:rsidR="00D44316">
          <w:rPr>
            <w:noProof/>
            <w:webHidden/>
          </w:rPr>
          <w:tab/>
        </w:r>
        <w:r w:rsidR="00D44316">
          <w:rPr>
            <w:noProof/>
            <w:webHidden/>
          </w:rPr>
          <w:fldChar w:fldCharType="begin"/>
        </w:r>
        <w:r w:rsidR="00D44316">
          <w:rPr>
            <w:noProof/>
            <w:webHidden/>
          </w:rPr>
          <w:instrText xml:space="preserve"> PAGEREF _Toc90984627 \h </w:instrText>
        </w:r>
        <w:r w:rsidR="00D44316">
          <w:rPr>
            <w:noProof/>
            <w:webHidden/>
          </w:rPr>
        </w:r>
        <w:r w:rsidR="00D44316">
          <w:rPr>
            <w:noProof/>
            <w:webHidden/>
          </w:rPr>
          <w:fldChar w:fldCharType="separate"/>
        </w:r>
        <w:r w:rsidR="00B44869">
          <w:rPr>
            <w:noProof/>
            <w:webHidden/>
          </w:rPr>
          <w:t>26</w:t>
        </w:r>
        <w:r w:rsidR="00D44316">
          <w:rPr>
            <w:noProof/>
            <w:webHidden/>
          </w:rPr>
          <w:fldChar w:fldCharType="end"/>
        </w:r>
      </w:hyperlink>
    </w:p>
    <w:p w14:paraId="3B6A4174" w14:textId="0DA3CE4D" w:rsidR="00D44316" w:rsidRDefault="00B10971">
      <w:pPr>
        <w:pStyle w:val="TOC1"/>
        <w:rPr>
          <w:rFonts w:asciiTheme="minorHAnsi" w:eastAsiaTheme="minorEastAsia" w:hAnsiTheme="minorHAnsi"/>
          <w:b w:val="0"/>
          <w:color w:val="auto"/>
          <w:sz w:val="22"/>
          <w:lang w:val="en-AU" w:eastAsia="en-AU"/>
        </w:rPr>
      </w:pPr>
      <w:hyperlink w:anchor="_Toc90984628" w:history="1">
        <w:r w:rsidR="00D44316" w:rsidRPr="00D276E2">
          <w:rPr>
            <w:rStyle w:val="Hyperlink"/>
          </w:rPr>
          <w:t>4. Thriving climate-resilient communities</w:t>
        </w:r>
        <w:r w:rsidR="00D44316">
          <w:rPr>
            <w:webHidden/>
          </w:rPr>
          <w:tab/>
        </w:r>
        <w:r w:rsidR="00D44316">
          <w:rPr>
            <w:webHidden/>
          </w:rPr>
          <w:fldChar w:fldCharType="begin"/>
        </w:r>
        <w:r w:rsidR="00D44316">
          <w:rPr>
            <w:webHidden/>
          </w:rPr>
          <w:instrText xml:space="preserve"> PAGEREF _Toc90984628 \h </w:instrText>
        </w:r>
        <w:r w:rsidR="00D44316">
          <w:rPr>
            <w:webHidden/>
          </w:rPr>
        </w:r>
        <w:r w:rsidR="00D44316">
          <w:rPr>
            <w:webHidden/>
          </w:rPr>
          <w:fldChar w:fldCharType="separate"/>
        </w:r>
        <w:r w:rsidR="00B44869">
          <w:rPr>
            <w:webHidden/>
          </w:rPr>
          <w:t>27</w:t>
        </w:r>
        <w:r w:rsidR="00D44316">
          <w:rPr>
            <w:webHidden/>
          </w:rPr>
          <w:fldChar w:fldCharType="end"/>
        </w:r>
      </w:hyperlink>
    </w:p>
    <w:p w14:paraId="765DCF3C" w14:textId="60B5EB14"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29" w:history="1">
        <w:r w:rsidR="00D44316" w:rsidRPr="00D276E2">
          <w:rPr>
            <w:rStyle w:val="Hyperlink"/>
            <w:noProof/>
          </w:rPr>
          <w:t>Empower communities to build their resilience and lead disaster recovery efforts</w:t>
        </w:r>
        <w:r w:rsidR="00D44316">
          <w:rPr>
            <w:noProof/>
            <w:webHidden/>
          </w:rPr>
          <w:tab/>
        </w:r>
        <w:r w:rsidR="00D44316">
          <w:rPr>
            <w:noProof/>
            <w:webHidden/>
          </w:rPr>
          <w:fldChar w:fldCharType="begin"/>
        </w:r>
        <w:r w:rsidR="00D44316">
          <w:rPr>
            <w:noProof/>
            <w:webHidden/>
          </w:rPr>
          <w:instrText xml:space="preserve"> PAGEREF _Toc90984629 \h </w:instrText>
        </w:r>
        <w:r w:rsidR="00D44316">
          <w:rPr>
            <w:noProof/>
            <w:webHidden/>
          </w:rPr>
        </w:r>
        <w:r w:rsidR="00D44316">
          <w:rPr>
            <w:noProof/>
            <w:webHidden/>
          </w:rPr>
          <w:fldChar w:fldCharType="separate"/>
        </w:r>
        <w:r w:rsidR="00B44869">
          <w:rPr>
            <w:noProof/>
            <w:webHidden/>
          </w:rPr>
          <w:t>27</w:t>
        </w:r>
        <w:r w:rsidR="00D44316">
          <w:rPr>
            <w:noProof/>
            <w:webHidden/>
          </w:rPr>
          <w:fldChar w:fldCharType="end"/>
        </w:r>
      </w:hyperlink>
    </w:p>
    <w:p w14:paraId="07E437AC" w14:textId="60E3A15C"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30" w:history="1">
        <w:r w:rsidR="00D44316" w:rsidRPr="00D276E2">
          <w:rPr>
            <w:rStyle w:val="Hyperlink"/>
            <w:noProof/>
          </w:rPr>
          <w:t>Affordable, accessible, quality insurance</w:t>
        </w:r>
        <w:r w:rsidR="00D44316">
          <w:rPr>
            <w:noProof/>
            <w:webHidden/>
          </w:rPr>
          <w:tab/>
        </w:r>
        <w:r w:rsidR="00D44316">
          <w:rPr>
            <w:noProof/>
            <w:webHidden/>
          </w:rPr>
          <w:fldChar w:fldCharType="begin"/>
        </w:r>
        <w:r w:rsidR="00D44316">
          <w:rPr>
            <w:noProof/>
            <w:webHidden/>
          </w:rPr>
          <w:instrText xml:space="preserve"> PAGEREF _Toc90984630 \h </w:instrText>
        </w:r>
        <w:r w:rsidR="00D44316">
          <w:rPr>
            <w:noProof/>
            <w:webHidden/>
          </w:rPr>
        </w:r>
        <w:r w:rsidR="00D44316">
          <w:rPr>
            <w:noProof/>
            <w:webHidden/>
          </w:rPr>
          <w:fldChar w:fldCharType="separate"/>
        </w:r>
        <w:r w:rsidR="00B44869">
          <w:rPr>
            <w:noProof/>
            <w:webHidden/>
          </w:rPr>
          <w:t>28</w:t>
        </w:r>
        <w:r w:rsidR="00D44316">
          <w:rPr>
            <w:noProof/>
            <w:webHidden/>
          </w:rPr>
          <w:fldChar w:fldCharType="end"/>
        </w:r>
      </w:hyperlink>
    </w:p>
    <w:p w14:paraId="59387329" w14:textId="2B8EADD8"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31" w:history="1">
        <w:r w:rsidR="00D44316" w:rsidRPr="00D276E2">
          <w:rPr>
            <w:rStyle w:val="Hyperlink"/>
            <w:noProof/>
          </w:rPr>
          <w:t>Better meet the needs of people affected by natural disasters</w:t>
        </w:r>
        <w:r w:rsidR="00D44316">
          <w:rPr>
            <w:noProof/>
            <w:webHidden/>
          </w:rPr>
          <w:tab/>
        </w:r>
        <w:r w:rsidR="00D44316">
          <w:rPr>
            <w:noProof/>
            <w:webHidden/>
          </w:rPr>
          <w:fldChar w:fldCharType="begin"/>
        </w:r>
        <w:r w:rsidR="00D44316">
          <w:rPr>
            <w:noProof/>
            <w:webHidden/>
          </w:rPr>
          <w:instrText xml:space="preserve"> PAGEREF _Toc90984631 \h </w:instrText>
        </w:r>
        <w:r w:rsidR="00D44316">
          <w:rPr>
            <w:noProof/>
            <w:webHidden/>
          </w:rPr>
        </w:r>
        <w:r w:rsidR="00D44316">
          <w:rPr>
            <w:noProof/>
            <w:webHidden/>
          </w:rPr>
          <w:fldChar w:fldCharType="separate"/>
        </w:r>
        <w:r w:rsidR="00B44869">
          <w:rPr>
            <w:noProof/>
            <w:webHidden/>
          </w:rPr>
          <w:t>29</w:t>
        </w:r>
        <w:r w:rsidR="00D44316">
          <w:rPr>
            <w:noProof/>
            <w:webHidden/>
          </w:rPr>
          <w:fldChar w:fldCharType="end"/>
        </w:r>
      </w:hyperlink>
    </w:p>
    <w:p w14:paraId="65A6D624" w14:textId="4A810D4C"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32" w:history="1">
        <w:r w:rsidR="00D44316" w:rsidRPr="00D276E2">
          <w:rPr>
            <w:rStyle w:val="Hyperlink"/>
            <w:noProof/>
          </w:rPr>
          <w:t>Strengthen the resilience of community sector organisations</w:t>
        </w:r>
        <w:r w:rsidR="00D44316">
          <w:rPr>
            <w:noProof/>
            <w:webHidden/>
          </w:rPr>
          <w:tab/>
        </w:r>
        <w:r w:rsidR="00D44316">
          <w:rPr>
            <w:noProof/>
            <w:webHidden/>
          </w:rPr>
          <w:fldChar w:fldCharType="begin"/>
        </w:r>
        <w:r w:rsidR="00D44316">
          <w:rPr>
            <w:noProof/>
            <w:webHidden/>
          </w:rPr>
          <w:instrText xml:space="preserve"> PAGEREF _Toc90984632 \h </w:instrText>
        </w:r>
        <w:r w:rsidR="00D44316">
          <w:rPr>
            <w:noProof/>
            <w:webHidden/>
          </w:rPr>
        </w:r>
        <w:r w:rsidR="00D44316">
          <w:rPr>
            <w:noProof/>
            <w:webHidden/>
          </w:rPr>
          <w:fldChar w:fldCharType="separate"/>
        </w:r>
        <w:r w:rsidR="00B44869">
          <w:rPr>
            <w:noProof/>
            <w:webHidden/>
          </w:rPr>
          <w:t>30</w:t>
        </w:r>
        <w:r w:rsidR="00D44316">
          <w:rPr>
            <w:noProof/>
            <w:webHidden/>
          </w:rPr>
          <w:fldChar w:fldCharType="end"/>
        </w:r>
      </w:hyperlink>
    </w:p>
    <w:p w14:paraId="4C7212A5" w14:textId="041A54A3" w:rsidR="00D44316" w:rsidRDefault="00B10971">
      <w:pPr>
        <w:pStyle w:val="TOC1"/>
        <w:rPr>
          <w:rFonts w:asciiTheme="minorHAnsi" w:eastAsiaTheme="minorEastAsia" w:hAnsiTheme="minorHAnsi"/>
          <w:b w:val="0"/>
          <w:color w:val="auto"/>
          <w:sz w:val="22"/>
          <w:lang w:val="en-AU" w:eastAsia="en-AU"/>
        </w:rPr>
      </w:pPr>
      <w:hyperlink w:anchor="_Toc90984633" w:history="1">
        <w:r w:rsidR="00D44316" w:rsidRPr="00D276E2">
          <w:rPr>
            <w:rStyle w:val="Hyperlink"/>
          </w:rPr>
          <w:t>5. Make housing affordable for people with low incomes</w:t>
        </w:r>
        <w:r w:rsidR="00D44316">
          <w:rPr>
            <w:webHidden/>
          </w:rPr>
          <w:tab/>
        </w:r>
        <w:r w:rsidR="00D44316">
          <w:rPr>
            <w:webHidden/>
          </w:rPr>
          <w:fldChar w:fldCharType="begin"/>
        </w:r>
        <w:r w:rsidR="00D44316">
          <w:rPr>
            <w:webHidden/>
          </w:rPr>
          <w:instrText xml:space="preserve"> PAGEREF _Toc90984633 \h </w:instrText>
        </w:r>
        <w:r w:rsidR="00D44316">
          <w:rPr>
            <w:webHidden/>
          </w:rPr>
        </w:r>
        <w:r w:rsidR="00D44316">
          <w:rPr>
            <w:webHidden/>
          </w:rPr>
          <w:fldChar w:fldCharType="separate"/>
        </w:r>
        <w:r w:rsidR="00B44869">
          <w:rPr>
            <w:webHidden/>
          </w:rPr>
          <w:t>31</w:t>
        </w:r>
        <w:r w:rsidR="00D44316">
          <w:rPr>
            <w:webHidden/>
          </w:rPr>
          <w:fldChar w:fldCharType="end"/>
        </w:r>
      </w:hyperlink>
    </w:p>
    <w:p w14:paraId="4F422F8A" w14:textId="4CDDA573"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34" w:history="1">
        <w:r w:rsidR="00D44316" w:rsidRPr="00D276E2">
          <w:rPr>
            <w:rStyle w:val="Hyperlink"/>
            <w:noProof/>
          </w:rPr>
          <w:t>Boost social housing investment</w:t>
        </w:r>
        <w:r w:rsidR="00D44316">
          <w:rPr>
            <w:noProof/>
            <w:webHidden/>
          </w:rPr>
          <w:tab/>
        </w:r>
        <w:r w:rsidR="00D44316">
          <w:rPr>
            <w:noProof/>
            <w:webHidden/>
          </w:rPr>
          <w:fldChar w:fldCharType="begin"/>
        </w:r>
        <w:r w:rsidR="00D44316">
          <w:rPr>
            <w:noProof/>
            <w:webHidden/>
          </w:rPr>
          <w:instrText xml:space="preserve"> PAGEREF _Toc90984634 \h </w:instrText>
        </w:r>
        <w:r w:rsidR="00D44316">
          <w:rPr>
            <w:noProof/>
            <w:webHidden/>
          </w:rPr>
        </w:r>
        <w:r w:rsidR="00D44316">
          <w:rPr>
            <w:noProof/>
            <w:webHidden/>
          </w:rPr>
          <w:fldChar w:fldCharType="separate"/>
        </w:r>
        <w:r w:rsidR="00B44869">
          <w:rPr>
            <w:noProof/>
            <w:webHidden/>
          </w:rPr>
          <w:t>31</w:t>
        </w:r>
        <w:r w:rsidR="00D44316">
          <w:rPr>
            <w:noProof/>
            <w:webHidden/>
          </w:rPr>
          <w:fldChar w:fldCharType="end"/>
        </w:r>
      </w:hyperlink>
    </w:p>
    <w:p w14:paraId="392694AE" w14:textId="04E50E95"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35" w:history="1">
        <w:r w:rsidR="00D44316" w:rsidRPr="00D276E2">
          <w:rPr>
            <w:rStyle w:val="Hyperlink"/>
            <w:noProof/>
          </w:rPr>
          <w:t>Lift Commonwealth Rent Assistance by 50%</w:t>
        </w:r>
        <w:r w:rsidR="00D44316">
          <w:rPr>
            <w:noProof/>
            <w:webHidden/>
          </w:rPr>
          <w:tab/>
        </w:r>
        <w:r w:rsidR="00D44316">
          <w:rPr>
            <w:noProof/>
            <w:webHidden/>
          </w:rPr>
          <w:fldChar w:fldCharType="begin"/>
        </w:r>
        <w:r w:rsidR="00D44316">
          <w:rPr>
            <w:noProof/>
            <w:webHidden/>
          </w:rPr>
          <w:instrText xml:space="preserve"> PAGEREF _Toc90984635 \h </w:instrText>
        </w:r>
        <w:r w:rsidR="00D44316">
          <w:rPr>
            <w:noProof/>
            <w:webHidden/>
          </w:rPr>
        </w:r>
        <w:r w:rsidR="00D44316">
          <w:rPr>
            <w:noProof/>
            <w:webHidden/>
          </w:rPr>
          <w:fldChar w:fldCharType="separate"/>
        </w:r>
        <w:r w:rsidR="00B44869">
          <w:rPr>
            <w:noProof/>
            <w:webHidden/>
          </w:rPr>
          <w:t>32</w:t>
        </w:r>
        <w:r w:rsidR="00D44316">
          <w:rPr>
            <w:noProof/>
            <w:webHidden/>
          </w:rPr>
          <w:fldChar w:fldCharType="end"/>
        </w:r>
      </w:hyperlink>
    </w:p>
    <w:p w14:paraId="18229EFF" w14:textId="0C413593"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36" w:history="1">
        <w:r w:rsidR="00D44316" w:rsidRPr="00D276E2">
          <w:rPr>
            <w:rStyle w:val="Hyperlink"/>
            <w:noProof/>
          </w:rPr>
          <w:t>Create a new affordable rental investment incentive</w:t>
        </w:r>
        <w:r w:rsidR="00D44316">
          <w:rPr>
            <w:noProof/>
            <w:webHidden/>
          </w:rPr>
          <w:tab/>
        </w:r>
        <w:r w:rsidR="00D44316">
          <w:rPr>
            <w:noProof/>
            <w:webHidden/>
          </w:rPr>
          <w:fldChar w:fldCharType="begin"/>
        </w:r>
        <w:r w:rsidR="00D44316">
          <w:rPr>
            <w:noProof/>
            <w:webHidden/>
          </w:rPr>
          <w:instrText xml:space="preserve"> PAGEREF _Toc90984636 \h </w:instrText>
        </w:r>
        <w:r w:rsidR="00D44316">
          <w:rPr>
            <w:noProof/>
            <w:webHidden/>
          </w:rPr>
        </w:r>
        <w:r w:rsidR="00D44316">
          <w:rPr>
            <w:noProof/>
            <w:webHidden/>
          </w:rPr>
          <w:fldChar w:fldCharType="separate"/>
        </w:r>
        <w:r w:rsidR="00B44869">
          <w:rPr>
            <w:noProof/>
            <w:webHidden/>
          </w:rPr>
          <w:t>32</w:t>
        </w:r>
        <w:r w:rsidR="00D44316">
          <w:rPr>
            <w:noProof/>
            <w:webHidden/>
          </w:rPr>
          <w:fldChar w:fldCharType="end"/>
        </w:r>
      </w:hyperlink>
    </w:p>
    <w:p w14:paraId="033A5091" w14:textId="6D11F487"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37" w:history="1">
        <w:r w:rsidR="00D44316" w:rsidRPr="00D276E2">
          <w:rPr>
            <w:rStyle w:val="Hyperlink"/>
            <w:noProof/>
          </w:rPr>
          <w:t>Develop a new First Nations housing strategy</w:t>
        </w:r>
        <w:r w:rsidR="00D44316">
          <w:rPr>
            <w:noProof/>
            <w:webHidden/>
          </w:rPr>
          <w:tab/>
        </w:r>
        <w:r w:rsidR="00D44316">
          <w:rPr>
            <w:noProof/>
            <w:webHidden/>
          </w:rPr>
          <w:fldChar w:fldCharType="begin"/>
        </w:r>
        <w:r w:rsidR="00D44316">
          <w:rPr>
            <w:noProof/>
            <w:webHidden/>
          </w:rPr>
          <w:instrText xml:space="preserve"> PAGEREF _Toc90984637 \h </w:instrText>
        </w:r>
        <w:r w:rsidR="00D44316">
          <w:rPr>
            <w:noProof/>
            <w:webHidden/>
          </w:rPr>
        </w:r>
        <w:r w:rsidR="00D44316">
          <w:rPr>
            <w:noProof/>
            <w:webHidden/>
          </w:rPr>
          <w:fldChar w:fldCharType="separate"/>
        </w:r>
        <w:r w:rsidR="00B44869">
          <w:rPr>
            <w:noProof/>
            <w:webHidden/>
          </w:rPr>
          <w:t>32</w:t>
        </w:r>
        <w:r w:rsidR="00D44316">
          <w:rPr>
            <w:noProof/>
            <w:webHidden/>
          </w:rPr>
          <w:fldChar w:fldCharType="end"/>
        </w:r>
      </w:hyperlink>
    </w:p>
    <w:p w14:paraId="6F31796E" w14:textId="53CE5527"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38" w:history="1">
        <w:r w:rsidR="00D44316" w:rsidRPr="00D276E2">
          <w:rPr>
            <w:rStyle w:val="Hyperlink"/>
            <w:noProof/>
          </w:rPr>
          <w:t>Develop a new inter-governmental remote housing agreement</w:t>
        </w:r>
        <w:r w:rsidR="00D44316">
          <w:rPr>
            <w:noProof/>
            <w:webHidden/>
          </w:rPr>
          <w:tab/>
        </w:r>
        <w:r w:rsidR="00D44316">
          <w:rPr>
            <w:noProof/>
            <w:webHidden/>
          </w:rPr>
          <w:fldChar w:fldCharType="begin"/>
        </w:r>
        <w:r w:rsidR="00D44316">
          <w:rPr>
            <w:noProof/>
            <w:webHidden/>
          </w:rPr>
          <w:instrText xml:space="preserve"> PAGEREF _Toc90984638 \h </w:instrText>
        </w:r>
        <w:r w:rsidR="00D44316">
          <w:rPr>
            <w:noProof/>
            <w:webHidden/>
          </w:rPr>
        </w:r>
        <w:r w:rsidR="00D44316">
          <w:rPr>
            <w:noProof/>
            <w:webHidden/>
          </w:rPr>
          <w:fldChar w:fldCharType="separate"/>
        </w:r>
        <w:r w:rsidR="00B44869">
          <w:rPr>
            <w:noProof/>
            <w:webHidden/>
          </w:rPr>
          <w:t>33</w:t>
        </w:r>
        <w:r w:rsidR="00D44316">
          <w:rPr>
            <w:noProof/>
            <w:webHidden/>
          </w:rPr>
          <w:fldChar w:fldCharType="end"/>
        </w:r>
      </w:hyperlink>
    </w:p>
    <w:p w14:paraId="580C57FD" w14:textId="445EA164" w:rsidR="00D44316" w:rsidRDefault="00B10971">
      <w:pPr>
        <w:pStyle w:val="TOC1"/>
        <w:rPr>
          <w:rFonts w:asciiTheme="minorHAnsi" w:eastAsiaTheme="minorEastAsia" w:hAnsiTheme="minorHAnsi"/>
          <w:b w:val="0"/>
          <w:color w:val="auto"/>
          <w:sz w:val="22"/>
          <w:lang w:val="en-AU" w:eastAsia="en-AU"/>
        </w:rPr>
      </w:pPr>
      <w:hyperlink w:anchor="_Toc90984639" w:history="1">
        <w:r w:rsidR="00D44316" w:rsidRPr="00D276E2">
          <w:rPr>
            <w:rStyle w:val="Hyperlink"/>
          </w:rPr>
          <w:t>6. Improve access and affordability of essential community services</w:t>
        </w:r>
        <w:r w:rsidR="00D44316">
          <w:rPr>
            <w:webHidden/>
          </w:rPr>
          <w:tab/>
        </w:r>
        <w:r w:rsidR="00D44316">
          <w:rPr>
            <w:webHidden/>
          </w:rPr>
          <w:fldChar w:fldCharType="begin"/>
        </w:r>
        <w:r w:rsidR="00D44316">
          <w:rPr>
            <w:webHidden/>
          </w:rPr>
          <w:instrText xml:space="preserve"> PAGEREF _Toc90984639 \h </w:instrText>
        </w:r>
        <w:r w:rsidR="00D44316">
          <w:rPr>
            <w:webHidden/>
          </w:rPr>
        </w:r>
        <w:r w:rsidR="00D44316">
          <w:rPr>
            <w:webHidden/>
          </w:rPr>
          <w:fldChar w:fldCharType="separate"/>
        </w:r>
        <w:r w:rsidR="00B44869">
          <w:rPr>
            <w:webHidden/>
          </w:rPr>
          <w:t>34</w:t>
        </w:r>
        <w:r w:rsidR="00D44316">
          <w:rPr>
            <w:webHidden/>
          </w:rPr>
          <w:fldChar w:fldCharType="end"/>
        </w:r>
      </w:hyperlink>
    </w:p>
    <w:p w14:paraId="6C986C62" w14:textId="3E2660ED"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40" w:history="1">
        <w:r w:rsidR="00D44316" w:rsidRPr="00D276E2">
          <w:rPr>
            <w:rStyle w:val="Hyperlink"/>
            <w:noProof/>
          </w:rPr>
          <w:t>Create a Community Sector Continuity of Service Enabling Fund</w:t>
        </w:r>
        <w:r w:rsidR="00D44316">
          <w:rPr>
            <w:noProof/>
            <w:webHidden/>
          </w:rPr>
          <w:tab/>
        </w:r>
        <w:r w:rsidR="00D44316">
          <w:rPr>
            <w:noProof/>
            <w:webHidden/>
          </w:rPr>
          <w:fldChar w:fldCharType="begin"/>
        </w:r>
        <w:r w:rsidR="00D44316">
          <w:rPr>
            <w:noProof/>
            <w:webHidden/>
          </w:rPr>
          <w:instrText xml:space="preserve"> PAGEREF _Toc90984640 \h </w:instrText>
        </w:r>
        <w:r w:rsidR="00D44316">
          <w:rPr>
            <w:noProof/>
            <w:webHidden/>
          </w:rPr>
        </w:r>
        <w:r w:rsidR="00D44316">
          <w:rPr>
            <w:noProof/>
            <w:webHidden/>
          </w:rPr>
          <w:fldChar w:fldCharType="separate"/>
        </w:r>
        <w:r w:rsidR="00B44869">
          <w:rPr>
            <w:noProof/>
            <w:webHidden/>
          </w:rPr>
          <w:t>34</w:t>
        </w:r>
        <w:r w:rsidR="00D44316">
          <w:rPr>
            <w:noProof/>
            <w:webHidden/>
          </w:rPr>
          <w:fldChar w:fldCharType="end"/>
        </w:r>
      </w:hyperlink>
    </w:p>
    <w:p w14:paraId="2E82E5E3" w14:textId="695B7FD3"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41" w:history="1">
        <w:r w:rsidR="00D44316" w:rsidRPr="00D276E2">
          <w:rPr>
            <w:rStyle w:val="Hyperlink"/>
            <w:noProof/>
          </w:rPr>
          <w:t>Apply fair and uniform indexation to all grants and contracts for community sector organisations</w:t>
        </w:r>
        <w:r w:rsidR="00D44316">
          <w:rPr>
            <w:noProof/>
            <w:webHidden/>
          </w:rPr>
          <w:tab/>
        </w:r>
        <w:r w:rsidR="00D44316">
          <w:rPr>
            <w:noProof/>
            <w:webHidden/>
          </w:rPr>
          <w:fldChar w:fldCharType="begin"/>
        </w:r>
        <w:r w:rsidR="00D44316">
          <w:rPr>
            <w:noProof/>
            <w:webHidden/>
          </w:rPr>
          <w:instrText xml:space="preserve"> PAGEREF _Toc90984641 \h </w:instrText>
        </w:r>
        <w:r w:rsidR="00D44316">
          <w:rPr>
            <w:noProof/>
            <w:webHidden/>
          </w:rPr>
        </w:r>
        <w:r w:rsidR="00D44316">
          <w:rPr>
            <w:noProof/>
            <w:webHidden/>
          </w:rPr>
          <w:fldChar w:fldCharType="separate"/>
        </w:r>
        <w:r w:rsidR="00B44869">
          <w:rPr>
            <w:noProof/>
            <w:webHidden/>
          </w:rPr>
          <w:t>35</w:t>
        </w:r>
        <w:r w:rsidR="00D44316">
          <w:rPr>
            <w:noProof/>
            <w:webHidden/>
          </w:rPr>
          <w:fldChar w:fldCharType="end"/>
        </w:r>
      </w:hyperlink>
    </w:p>
    <w:p w14:paraId="6EB9F9B9" w14:textId="1E151B64"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42" w:history="1">
        <w:r w:rsidR="00D44316" w:rsidRPr="00D276E2">
          <w:rPr>
            <w:rStyle w:val="Hyperlink"/>
            <w:noProof/>
          </w:rPr>
          <w:t>Improve access to preschool</w:t>
        </w:r>
        <w:r w:rsidR="00D44316">
          <w:rPr>
            <w:noProof/>
            <w:webHidden/>
          </w:rPr>
          <w:tab/>
        </w:r>
        <w:r w:rsidR="00D44316">
          <w:rPr>
            <w:noProof/>
            <w:webHidden/>
          </w:rPr>
          <w:fldChar w:fldCharType="begin"/>
        </w:r>
        <w:r w:rsidR="00D44316">
          <w:rPr>
            <w:noProof/>
            <w:webHidden/>
          </w:rPr>
          <w:instrText xml:space="preserve"> PAGEREF _Toc90984642 \h </w:instrText>
        </w:r>
        <w:r w:rsidR="00D44316">
          <w:rPr>
            <w:noProof/>
            <w:webHidden/>
          </w:rPr>
        </w:r>
        <w:r w:rsidR="00D44316">
          <w:rPr>
            <w:noProof/>
            <w:webHidden/>
          </w:rPr>
          <w:fldChar w:fldCharType="separate"/>
        </w:r>
        <w:r w:rsidR="00B44869">
          <w:rPr>
            <w:noProof/>
            <w:webHidden/>
          </w:rPr>
          <w:t>35</w:t>
        </w:r>
        <w:r w:rsidR="00D44316">
          <w:rPr>
            <w:noProof/>
            <w:webHidden/>
          </w:rPr>
          <w:fldChar w:fldCharType="end"/>
        </w:r>
      </w:hyperlink>
    </w:p>
    <w:p w14:paraId="6FAE1A40" w14:textId="6BDA524B"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43" w:history="1">
        <w:r w:rsidR="00D44316" w:rsidRPr="00D276E2">
          <w:rPr>
            <w:rStyle w:val="Hyperlink"/>
            <w:noProof/>
          </w:rPr>
          <w:t>Improve the affordability of early childhood education and care</w:t>
        </w:r>
        <w:r w:rsidR="00D44316">
          <w:rPr>
            <w:noProof/>
            <w:webHidden/>
          </w:rPr>
          <w:tab/>
        </w:r>
        <w:r w:rsidR="00D44316">
          <w:rPr>
            <w:noProof/>
            <w:webHidden/>
          </w:rPr>
          <w:fldChar w:fldCharType="begin"/>
        </w:r>
        <w:r w:rsidR="00D44316">
          <w:rPr>
            <w:noProof/>
            <w:webHidden/>
          </w:rPr>
          <w:instrText xml:space="preserve"> PAGEREF _Toc90984643 \h </w:instrText>
        </w:r>
        <w:r w:rsidR="00D44316">
          <w:rPr>
            <w:noProof/>
            <w:webHidden/>
          </w:rPr>
        </w:r>
        <w:r w:rsidR="00D44316">
          <w:rPr>
            <w:noProof/>
            <w:webHidden/>
          </w:rPr>
          <w:fldChar w:fldCharType="separate"/>
        </w:r>
        <w:r w:rsidR="00B44869">
          <w:rPr>
            <w:noProof/>
            <w:webHidden/>
          </w:rPr>
          <w:t>36</w:t>
        </w:r>
        <w:r w:rsidR="00D44316">
          <w:rPr>
            <w:noProof/>
            <w:webHidden/>
          </w:rPr>
          <w:fldChar w:fldCharType="end"/>
        </w:r>
      </w:hyperlink>
    </w:p>
    <w:p w14:paraId="053206C2" w14:textId="166A5E7A"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44" w:history="1">
        <w:r w:rsidR="00D44316" w:rsidRPr="00D276E2">
          <w:rPr>
            <w:rStyle w:val="Hyperlink"/>
            <w:noProof/>
          </w:rPr>
          <w:t>Ensure equality for Aboriginal and Torres Strait Islander children in their early years</w:t>
        </w:r>
        <w:r w:rsidR="00D44316">
          <w:rPr>
            <w:noProof/>
            <w:webHidden/>
          </w:rPr>
          <w:tab/>
        </w:r>
        <w:r w:rsidR="00D44316">
          <w:rPr>
            <w:noProof/>
            <w:webHidden/>
          </w:rPr>
          <w:fldChar w:fldCharType="begin"/>
        </w:r>
        <w:r w:rsidR="00D44316">
          <w:rPr>
            <w:noProof/>
            <w:webHidden/>
          </w:rPr>
          <w:instrText xml:space="preserve"> PAGEREF _Toc90984644 \h </w:instrText>
        </w:r>
        <w:r w:rsidR="00D44316">
          <w:rPr>
            <w:noProof/>
            <w:webHidden/>
          </w:rPr>
        </w:r>
        <w:r w:rsidR="00D44316">
          <w:rPr>
            <w:noProof/>
            <w:webHidden/>
          </w:rPr>
          <w:fldChar w:fldCharType="separate"/>
        </w:r>
        <w:r w:rsidR="00B44869">
          <w:rPr>
            <w:noProof/>
            <w:webHidden/>
          </w:rPr>
          <w:t>37</w:t>
        </w:r>
        <w:r w:rsidR="00D44316">
          <w:rPr>
            <w:noProof/>
            <w:webHidden/>
          </w:rPr>
          <w:fldChar w:fldCharType="end"/>
        </w:r>
      </w:hyperlink>
    </w:p>
    <w:p w14:paraId="6B39FD8A" w14:textId="523C3969"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45" w:history="1">
        <w:r w:rsidR="00D44316" w:rsidRPr="00D276E2">
          <w:rPr>
            <w:rStyle w:val="Hyperlink"/>
            <w:noProof/>
          </w:rPr>
          <w:t>Establish an Evaluator-General to oversee the evaluation and monitoring of policy, programs and initiatives</w:t>
        </w:r>
        <w:r w:rsidR="00D44316">
          <w:rPr>
            <w:noProof/>
            <w:webHidden/>
          </w:rPr>
          <w:tab/>
        </w:r>
        <w:r w:rsidR="00D44316">
          <w:rPr>
            <w:noProof/>
            <w:webHidden/>
          </w:rPr>
          <w:fldChar w:fldCharType="begin"/>
        </w:r>
        <w:r w:rsidR="00D44316">
          <w:rPr>
            <w:noProof/>
            <w:webHidden/>
          </w:rPr>
          <w:instrText xml:space="preserve"> PAGEREF _Toc90984645 \h </w:instrText>
        </w:r>
        <w:r w:rsidR="00D44316">
          <w:rPr>
            <w:noProof/>
            <w:webHidden/>
          </w:rPr>
        </w:r>
        <w:r w:rsidR="00D44316">
          <w:rPr>
            <w:noProof/>
            <w:webHidden/>
          </w:rPr>
          <w:fldChar w:fldCharType="separate"/>
        </w:r>
        <w:r w:rsidR="00B44869">
          <w:rPr>
            <w:noProof/>
            <w:webHidden/>
          </w:rPr>
          <w:t>38</w:t>
        </w:r>
        <w:r w:rsidR="00D44316">
          <w:rPr>
            <w:noProof/>
            <w:webHidden/>
          </w:rPr>
          <w:fldChar w:fldCharType="end"/>
        </w:r>
      </w:hyperlink>
    </w:p>
    <w:p w14:paraId="2AC098C3" w14:textId="404A2024"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46" w:history="1">
        <w:r w:rsidR="00D44316" w:rsidRPr="00D276E2">
          <w:rPr>
            <w:rStyle w:val="Hyperlink"/>
            <w:noProof/>
          </w:rPr>
          <w:t>Conduct a service needs analysis to inform investment decisions in services</w:t>
        </w:r>
        <w:r w:rsidR="00D44316">
          <w:rPr>
            <w:noProof/>
            <w:webHidden/>
          </w:rPr>
          <w:tab/>
        </w:r>
        <w:r w:rsidR="00D44316">
          <w:rPr>
            <w:noProof/>
            <w:webHidden/>
          </w:rPr>
          <w:fldChar w:fldCharType="begin"/>
        </w:r>
        <w:r w:rsidR="00D44316">
          <w:rPr>
            <w:noProof/>
            <w:webHidden/>
          </w:rPr>
          <w:instrText xml:space="preserve"> PAGEREF _Toc90984646 \h </w:instrText>
        </w:r>
        <w:r w:rsidR="00D44316">
          <w:rPr>
            <w:noProof/>
            <w:webHidden/>
          </w:rPr>
        </w:r>
        <w:r w:rsidR="00D44316">
          <w:rPr>
            <w:noProof/>
            <w:webHidden/>
          </w:rPr>
          <w:fldChar w:fldCharType="separate"/>
        </w:r>
        <w:r w:rsidR="00B44869">
          <w:rPr>
            <w:noProof/>
            <w:webHidden/>
          </w:rPr>
          <w:t>38</w:t>
        </w:r>
        <w:r w:rsidR="00D44316">
          <w:rPr>
            <w:noProof/>
            <w:webHidden/>
          </w:rPr>
          <w:fldChar w:fldCharType="end"/>
        </w:r>
      </w:hyperlink>
    </w:p>
    <w:p w14:paraId="39B12D9B" w14:textId="3C27D467"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47" w:history="1">
        <w:r w:rsidR="00D44316" w:rsidRPr="00D276E2">
          <w:rPr>
            <w:rStyle w:val="Hyperlink"/>
            <w:noProof/>
          </w:rPr>
          <w:t>Increase funding to peaks and advocacy organisations to ensure marginalised voices are heard in public and policy debates</w:t>
        </w:r>
        <w:r w:rsidR="00D44316">
          <w:rPr>
            <w:noProof/>
            <w:webHidden/>
          </w:rPr>
          <w:tab/>
        </w:r>
        <w:r w:rsidR="00D44316">
          <w:rPr>
            <w:noProof/>
            <w:webHidden/>
          </w:rPr>
          <w:fldChar w:fldCharType="begin"/>
        </w:r>
        <w:r w:rsidR="00D44316">
          <w:rPr>
            <w:noProof/>
            <w:webHidden/>
          </w:rPr>
          <w:instrText xml:space="preserve"> PAGEREF _Toc90984647 \h </w:instrText>
        </w:r>
        <w:r w:rsidR="00D44316">
          <w:rPr>
            <w:noProof/>
            <w:webHidden/>
          </w:rPr>
        </w:r>
        <w:r w:rsidR="00D44316">
          <w:rPr>
            <w:noProof/>
            <w:webHidden/>
          </w:rPr>
          <w:fldChar w:fldCharType="separate"/>
        </w:r>
        <w:r w:rsidR="00B44869">
          <w:rPr>
            <w:noProof/>
            <w:webHidden/>
          </w:rPr>
          <w:t>39</w:t>
        </w:r>
        <w:r w:rsidR="00D44316">
          <w:rPr>
            <w:noProof/>
            <w:webHidden/>
          </w:rPr>
          <w:fldChar w:fldCharType="end"/>
        </w:r>
      </w:hyperlink>
    </w:p>
    <w:p w14:paraId="5D2F790F" w14:textId="752DB7F5" w:rsidR="00D44316" w:rsidRDefault="00B10971">
      <w:pPr>
        <w:pStyle w:val="TOC1"/>
        <w:rPr>
          <w:rFonts w:asciiTheme="minorHAnsi" w:eastAsiaTheme="minorEastAsia" w:hAnsiTheme="minorHAnsi"/>
          <w:b w:val="0"/>
          <w:color w:val="auto"/>
          <w:sz w:val="22"/>
          <w:lang w:val="en-AU" w:eastAsia="en-AU"/>
        </w:rPr>
      </w:pPr>
      <w:hyperlink w:anchor="_Toc90984648" w:history="1">
        <w:r w:rsidR="00D44316" w:rsidRPr="00D276E2">
          <w:rPr>
            <w:rStyle w:val="Hyperlink"/>
          </w:rPr>
          <w:t>7. Strengthen preventive health care and public health services</w:t>
        </w:r>
        <w:r w:rsidR="00D44316">
          <w:rPr>
            <w:webHidden/>
          </w:rPr>
          <w:tab/>
        </w:r>
        <w:r w:rsidR="00D44316">
          <w:rPr>
            <w:webHidden/>
          </w:rPr>
          <w:fldChar w:fldCharType="begin"/>
        </w:r>
        <w:r w:rsidR="00D44316">
          <w:rPr>
            <w:webHidden/>
          </w:rPr>
          <w:instrText xml:space="preserve"> PAGEREF _Toc90984648 \h </w:instrText>
        </w:r>
        <w:r w:rsidR="00D44316">
          <w:rPr>
            <w:webHidden/>
          </w:rPr>
        </w:r>
        <w:r w:rsidR="00D44316">
          <w:rPr>
            <w:webHidden/>
          </w:rPr>
          <w:fldChar w:fldCharType="separate"/>
        </w:r>
        <w:r w:rsidR="00B44869">
          <w:rPr>
            <w:webHidden/>
          </w:rPr>
          <w:t>40</w:t>
        </w:r>
        <w:r w:rsidR="00D44316">
          <w:rPr>
            <w:webHidden/>
          </w:rPr>
          <w:fldChar w:fldCharType="end"/>
        </w:r>
      </w:hyperlink>
    </w:p>
    <w:p w14:paraId="014427EB" w14:textId="25B5BF5E"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49" w:history="1">
        <w:r w:rsidR="00D44316" w:rsidRPr="00D276E2">
          <w:rPr>
            <w:rStyle w:val="Hyperlink"/>
            <w:noProof/>
          </w:rPr>
          <w:t>Shift investment to health promotion and prevention</w:t>
        </w:r>
        <w:r w:rsidR="00D44316">
          <w:rPr>
            <w:noProof/>
            <w:webHidden/>
          </w:rPr>
          <w:tab/>
        </w:r>
        <w:r w:rsidR="00D44316">
          <w:rPr>
            <w:noProof/>
            <w:webHidden/>
          </w:rPr>
          <w:fldChar w:fldCharType="begin"/>
        </w:r>
        <w:r w:rsidR="00D44316">
          <w:rPr>
            <w:noProof/>
            <w:webHidden/>
          </w:rPr>
          <w:instrText xml:space="preserve"> PAGEREF _Toc90984649 \h </w:instrText>
        </w:r>
        <w:r w:rsidR="00D44316">
          <w:rPr>
            <w:noProof/>
            <w:webHidden/>
          </w:rPr>
        </w:r>
        <w:r w:rsidR="00D44316">
          <w:rPr>
            <w:noProof/>
            <w:webHidden/>
          </w:rPr>
          <w:fldChar w:fldCharType="separate"/>
        </w:r>
        <w:r w:rsidR="00B44869">
          <w:rPr>
            <w:noProof/>
            <w:webHidden/>
          </w:rPr>
          <w:t>40</w:t>
        </w:r>
        <w:r w:rsidR="00D44316">
          <w:rPr>
            <w:noProof/>
            <w:webHidden/>
          </w:rPr>
          <w:fldChar w:fldCharType="end"/>
        </w:r>
      </w:hyperlink>
    </w:p>
    <w:p w14:paraId="2EBC1254" w14:textId="3ADE6B9B"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50" w:history="1">
        <w:r w:rsidR="00D44316" w:rsidRPr="00D276E2">
          <w:rPr>
            <w:rStyle w:val="Hyperlink"/>
            <w:noProof/>
          </w:rPr>
          <w:t>Invest in community-led health promotion for COVID-19 vaccination rollout</w:t>
        </w:r>
        <w:r w:rsidR="00D44316">
          <w:rPr>
            <w:noProof/>
            <w:webHidden/>
          </w:rPr>
          <w:tab/>
        </w:r>
        <w:r w:rsidR="00D44316">
          <w:rPr>
            <w:noProof/>
            <w:webHidden/>
          </w:rPr>
          <w:fldChar w:fldCharType="begin"/>
        </w:r>
        <w:r w:rsidR="00D44316">
          <w:rPr>
            <w:noProof/>
            <w:webHidden/>
          </w:rPr>
          <w:instrText xml:space="preserve"> PAGEREF _Toc90984650 \h </w:instrText>
        </w:r>
        <w:r w:rsidR="00D44316">
          <w:rPr>
            <w:noProof/>
            <w:webHidden/>
          </w:rPr>
        </w:r>
        <w:r w:rsidR="00D44316">
          <w:rPr>
            <w:noProof/>
            <w:webHidden/>
          </w:rPr>
          <w:fldChar w:fldCharType="separate"/>
        </w:r>
        <w:r w:rsidR="00B44869">
          <w:rPr>
            <w:noProof/>
            <w:webHidden/>
          </w:rPr>
          <w:t>41</w:t>
        </w:r>
        <w:r w:rsidR="00D44316">
          <w:rPr>
            <w:noProof/>
            <w:webHidden/>
          </w:rPr>
          <w:fldChar w:fldCharType="end"/>
        </w:r>
      </w:hyperlink>
    </w:p>
    <w:p w14:paraId="0017DD96" w14:textId="124E66EE"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51" w:history="1">
        <w:r w:rsidR="00D44316" w:rsidRPr="00D276E2">
          <w:rPr>
            <w:rStyle w:val="Hyperlink"/>
            <w:noProof/>
          </w:rPr>
          <w:t>Strengthen the oral health safety net</w:t>
        </w:r>
        <w:r w:rsidR="00D44316">
          <w:rPr>
            <w:noProof/>
            <w:webHidden/>
          </w:rPr>
          <w:tab/>
        </w:r>
        <w:r w:rsidR="00D44316">
          <w:rPr>
            <w:noProof/>
            <w:webHidden/>
          </w:rPr>
          <w:fldChar w:fldCharType="begin"/>
        </w:r>
        <w:r w:rsidR="00D44316">
          <w:rPr>
            <w:noProof/>
            <w:webHidden/>
          </w:rPr>
          <w:instrText xml:space="preserve"> PAGEREF _Toc90984651 \h </w:instrText>
        </w:r>
        <w:r w:rsidR="00D44316">
          <w:rPr>
            <w:noProof/>
            <w:webHidden/>
          </w:rPr>
        </w:r>
        <w:r w:rsidR="00D44316">
          <w:rPr>
            <w:noProof/>
            <w:webHidden/>
          </w:rPr>
          <w:fldChar w:fldCharType="separate"/>
        </w:r>
        <w:r w:rsidR="00B44869">
          <w:rPr>
            <w:noProof/>
            <w:webHidden/>
          </w:rPr>
          <w:t>42</w:t>
        </w:r>
        <w:r w:rsidR="00D44316">
          <w:rPr>
            <w:noProof/>
            <w:webHidden/>
          </w:rPr>
          <w:fldChar w:fldCharType="end"/>
        </w:r>
      </w:hyperlink>
    </w:p>
    <w:p w14:paraId="2E9C83E5" w14:textId="07FED5BE"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52" w:history="1">
        <w:r w:rsidR="00D44316" w:rsidRPr="00D276E2">
          <w:rPr>
            <w:rStyle w:val="Hyperlink"/>
            <w:noProof/>
          </w:rPr>
          <w:t>Abolish the Private Health Insurance Rebate</w:t>
        </w:r>
        <w:r w:rsidR="00D44316">
          <w:rPr>
            <w:noProof/>
            <w:webHidden/>
          </w:rPr>
          <w:tab/>
        </w:r>
        <w:r w:rsidR="00D44316">
          <w:rPr>
            <w:noProof/>
            <w:webHidden/>
          </w:rPr>
          <w:fldChar w:fldCharType="begin"/>
        </w:r>
        <w:r w:rsidR="00D44316">
          <w:rPr>
            <w:noProof/>
            <w:webHidden/>
          </w:rPr>
          <w:instrText xml:space="preserve"> PAGEREF _Toc90984652 \h </w:instrText>
        </w:r>
        <w:r w:rsidR="00D44316">
          <w:rPr>
            <w:noProof/>
            <w:webHidden/>
          </w:rPr>
        </w:r>
        <w:r w:rsidR="00D44316">
          <w:rPr>
            <w:noProof/>
            <w:webHidden/>
          </w:rPr>
          <w:fldChar w:fldCharType="separate"/>
        </w:r>
        <w:r w:rsidR="00B44869">
          <w:rPr>
            <w:noProof/>
            <w:webHidden/>
          </w:rPr>
          <w:t>42</w:t>
        </w:r>
        <w:r w:rsidR="00D44316">
          <w:rPr>
            <w:noProof/>
            <w:webHidden/>
          </w:rPr>
          <w:fldChar w:fldCharType="end"/>
        </w:r>
      </w:hyperlink>
    </w:p>
    <w:p w14:paraId="457CB375" w14:textId="689A7433"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53" w:history="1">
        <w:r w:rsidR="00D44316" w:rsidRPr="00D276E2">
          <w:rPr>
            <w:rStyle w:val="Hyperlink"/>
            <w:noProof/>
          </w:rPr>
          <w:t>Abolish the Extended Medicare Safety Net</w:t>
        </w:r>
        <w:r w:rsidR="00D44316">
          <w:rPr>
            <w:noProof/>
            <w:webHidden/>
          </w:rPr>
          <w:tab/>
        </w:r>
        <w:r w:rsidR="00D44316">
          <w:rPr>
            <w:noProof/>
            <w:webHidden/>
          </w:rPr>
          <w:fldChar w:fldCharType="begin"/>
        </w:r>
        <w:r w:rsidR="00D44316">
          <w:rPr>
            <w:noProof/>
            <w:webHidden/>
          </w:rPr>
          <w:instrText xml:space="preserve"> PAGEREF _Toc90984653 \h </w:instrText>
        </w:r>
        <w:r w:rsidR="00D44316">
          <w:rPr>
            <w:noProof/>
            <w:webHidden/>
          </w:rPr>
        </w:r>
        <w:r w:rsidR="00D44316">
          <w:rPr>
            <w:noProof/>
            <w:webHidden/>
          </w:rPr>
          <w:fldChar w:fldCharType="separate"/>
        </w:r>
        <w:r w:rsidR="00B44869">
          <w:rPr>
            <w:noProof/>
            <w:webHidden/>
          </w:rPr>
          <w:t>43</w:t>
        </w:r>
        <w:r w:rsidR="00D44316">
          <w:rPr>
            <w:noProof/>
            <w:webHidden/>
          </w:rPr>
          <w:fldChar w:fldCharType="end"/>
        </w:r>
      </w:hyperlink>
    </w:p>
    <w:p w14:paraId="5BFD755E" w14:textId="33B084B9" w:rsidR="00D44316" w:rsidRDefault="00B10971">
      <w:pPr>
        <w:pStyle w:val="TOC1"/>
        <w:rPr>
          <w:rFonts w:asciiTheme="minorHAnsi" w:eastAsiaTheme="minorEastAsia" w:hAnsiTheme="minorHAnsi"/>
          <w:b w:val="0"/>
          <w:color w:val="auto"/>
          <w:sz w:val="22"/>
          <w:lang w:val="en-AU" w:eastAsia="en-AU"/>
        </w:rPr>
      </w:pPr>
      <w:hyperlink w:anchor="_Toc90984654" w:history="1">
        <w:r w:rsidR="00D44316" w:rsidRPr="00D276E2">
          <w:rPr>
            <w:rStyle w:val="Hyperlink"/>
          </w:rPr>
          <w:t>8. First Nations communities</w:t>
        </w:r>
        <w:r w:rsidR="00D44316">
          <w:rPr>
            <w:webHidden/>
          </w:rPr>
          <w:tab/>
        </w:r>
        <w:r w:rsidR="00D44316">
          <w:rPr>
            <w:webHidden/>
          </w:rPr>
          <w:fldChar w:fldCharType="begin"/>
        </w:r>
        <w:r w:rsidR="00D44316">
          <w:rPr>
            <w:webHidden/>
          </w:rPr>
          <w:instrText xml:space="preserve"> PAGEREF _Toc90984654 \h </w:instrText>
        </w:r>
        <w:r w:rsidR="00D44316">
          <w:rPr>
            <w:webHidden/>
          </w:rPr>
        </w:r>
        <w:r w:rsidR="00D44316">
          <w:rPr>
            <w:webHidden/>
          </w:rPr>
          <w:fldChar w:fldCharType="separate"/>
        </w:r>
        <w:r w:rsidR="00B44869">
          <w:rPr>
            <w:webHidden/>
          </w:rPr>
          <w:t>44</w:t>
        </w:r>
        <w:r w:rsidR="00D44316">
          <w:rPr>
            <w:webHidden/>
          </w:rPr>
          <w:fldChar w:fldCharType="end"/>
        </w:r>
      </w:hyperlink>
    </w:p>
    <w:p w14:paraId="258C81D9" w14:textId="609E550F" w:rsidR="00D44316" w:rsidRDefault="00B10971">
      <w:pPr>
        <w:pStyle w:val="TOC1"/>
        <w:rPr>
          <w:rFonts w:asciiTheme="minorHAnsi" w:eastAsiaTheme="minorEastAsia" w:hAnsiTheme="minorHAnsi"/>
          <w:b w:val="0"/>
          <w:color w:val="auto"/>
          <w:sz w:val="22"/>
          <w:lang w:val="en-AU" w:eastAsia="en-AU"/>
        </w:rPr>
      </w:pPr>
      <w:hyperlink w:anchor="_Toc90984655" w:history="1">
        <w:r w:rsidR="00D44316" w:rsidRPr="00D276E2">
          <w:rPr>
            <w:rStyle w:val="Hyperlink"/>
          </w:rPr>
          <w:t>9. Decent retirement incomes and services</w:t>
        </w:r>
        <w:r w:rsidR="00D44316">
          <w:rPr>
            <w:webHidden/>
          </w:rPr>
          <w:tab/>
        </w:r>
        <w:r w:rsidR="00D44316">
          <w:rPr>
            <w:webHidden/>
          </w:rPr>
          <w:fldChar w:fldCharType="begin"/>
        </w:r>
        <w:r w:rsidR="00D44316">
          <w:rPr>
            <w:webHidden/>
          </w:rPr>
          <w:instrText xml:space="preserve"> PAGEREF _Toc90984655 \h </w:instrText>
        </w:r>
        <w:r w:rsidR="00D44316">
          <w:rPr>
            <w:webHidden/>
          </w:rPr>
        </w:r>
        <w:r w:rsidR="00D44316">
          <w:rPr>
            <w:webHidden/>
          </w:rPr>
          <w:fldChar w:fldCharType="separate"/>
        </w:r>
        <w:r w:rsidR="00B44869">
          <w:rPr>
            <w:webHidden/>
          </w:rPr>
          <w:t>45</w:t>
        </w:r>
        <w:r w:rsidR="00D44316">
          <w:rPr>
            <w:webHidden/>
          </w:rPr>
          <w:fldChar w:fldCharType="end"/>
        </w:r>
      </w:hyperlink>
    </w:p>
    <w:p w14:paraId="1A5E2E7C" w14:textId="593C1BFA"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56" w:history="1">
        <w:r w:rsidR="00D44316" w:rsidRPr="00D276E2">
          <w:rPr>
            <w:rStyle w:val="Hyperlink"/>
            <w:noProof/>
          </w:rPr>
          <w:t>Compulsory superannuation that's fit for purpose</w:t>
        </w:r>
        <w:r w:rsidR="00D44316">
          <w:rPr>
            <w:noProof/>
            <w:webHidden/>
          </w:rPr>
          <w:tab/>
        </w:r>
        <w:r w:rsidR="00D44316">
          <w:rPr>
            <w:noProof/>
            <w:webHidden/>
          </w:rPr>
          <w:fldChar w:fldCharType="begin"/>
        </w:r>
        <w:r w:rsidR="00D44316">
          <w:rPr>
            <w:noProof/>
            <w:webHidden/>
          </w:rPr>
          <w:instrText xml:space="preserve"> PAGEREF _Toc90984656 \h </w:instrText>
        </w:r>
        <w:r w:rsidR="00D44316">
          <w:rPr>
            <w:noProof/>
            <w:webHidden/>
          </w:rPr>
        </w:r>
        <w:r w:rsidR="00D44316">
          <w:rPr>
            <w:noProof/>
            <w:webHidden/>
          </w:rPr>
          <w:fldChar w:fldCharType="separate"/>
        </w:r>
        <w:r w:rsidR="00B44869">
          <w:rPr>
            <w:noProof/>
            <w:webHidden/>
          </w:rPr>
          <w:t>45</w:t>
        </w:r>
        <w:r w:rsidR="00D44316">
          <w:rPr>
            <w:noProof/>
            <w:webHidden/>
          </w:rPr>
          <w:fldChar w:fldCharType="end"/>
        </w:r>
      </w:hyperlink>
    </w:p>
    <w:p w14:paraId="2A2A1DEB" w14:textId="0A677CD2"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57" w:history="1">
        <w:r w:rsidR="00D44316" w:rsidRPr="00D276E2">
          <w:rPr>
            <w:rStyle w:val="Hyperlink"/>
            <w:noProof/>
          </w:rPr>
          <w:t>A levy on superannuation fund income post-retirement to help pay for aged care</w:t>
        </w:r>
        <w:r w:rsidR="00D44316">
          <w:rPr>
            <w:noProof/>
            <w:webHidden/>
          </w:rPr>
          <w:tab/>
        </w:r>
        <w:r w:rsidR="00D44316">
          <w:rPr>
            <w:noProof/>
            <w:webHidden/>
          </w:rPr>
          <w:fldChar w:fldCharType="begin"/>
        </w:r>
        <w:r w:rsidR="00D44316">
          <w:rPr>
            <w:noProof/>
            <w:webHidden/>
          </w:rPr>
          <w:instrText xml:space="preserve"> PAGEREF _Toc90984657 \h </w:instrText>
        </w:r>
        <w:r w:rsidR="00D44316">
          <w:rPr>
            <w:noProof/>
            <w:webHidden/>
          </w:rPr>
        </w:r>
        <w:r w:rsidR="00D44316">
          <w:rPr>
            <w:noProof/>
            <w:webHidden/>
          </w:rPr>
          <w:fldChar w:fldCharType="separate"/>
        </w:r>
        <w:r w:rsidR="00B44869">
          <w:rPr>
            <w:noProof/>
            <w:webHidden/>
          </w:rPr>
          <w:t>48</w:t>
        </w:r>
        <w:r w:rsidR="00D44316">
          <w:rPr>
            <w:noProof/>
            <w:webHidden/>
          </w:rPr>
          <w:fldChar w:fldCharType="end"/>
        </w:r>
      </w:hyperlink>
    </w:p>
    <w:p w14:paraId="2CCA962A" w14:textId="1C59036A" w:rsidR="00D44316" w:rsidRDefault="00B10971">
      <w:pPr>
        <w:pStyle w:val="TOC1"/>
        <w:rPr>
          <w:rFonts w:asciiTheme="minorHAnsi" w:eastAsiaTheme="minorEastAsia" w:hAnsiTheme="minorHAnsi"/>
          <w:b w:val="0"/>
          <w:color w:val="auto"/>
          <w:sz w:val="22"/>
          <w:lang w:val="en-AU" w:eastAsia="en-AU"/>
        </w:rPr>
      </w:pPr>
      <w:hyperlink w:anchor="_Toc90984658" w:history="1">
        <w:r w:rsidR="00D44316" w:rsidRPr="00D276E2">
          <w:rPr>
            <w:rStyle w:val="Hyperlink"/>
          </w:rPr>
          <w:t>10. A fairer tax system that supports services, safety nets and economic development</w:t>
        </w:r>
        <w:r w:rsidR="00D44316">
          <w:rPr>
            <w:webHidden/>
          </w:rPr>
          <w:tab/>
        </w:r>
        <w:r w:rsidR="00D44316">
          <w:rPr>
            <w:webHidden/>
          </w:rPr>
          <w:fldChar w:fldCharType="begin"/>
        </w:r>
        <w:r w:rsidR="00D44316">
          <w:rPr>
            <w:webHidden/>
          </w:rPr>
          <w:instrText xml:space="preserve"> PAGEREF _Toc90984658 \h </w:instrText>
        </w:r>
        <w:r w:rsidR="00D44316">
          <w:rPr>
            <w:webHidden/>
          </w:rPr>
        </w:r>
        <w:r w:rsidR="00D44316">
          <w:rPr>
            <w:webHidden/>
          </w:rPr>
          <w:fldChar w:fldCharType="separate"/>
        </w:r>
        <w:r w:rsidR="00B44869">
          <w:rPr>
            <w:webHidden/>
          </w:rPr>
          <w:t>51</w:t>
        </w:r>
        <w:r w:rsidR="00D44316">
          <w:rPr>
            <w:webHidden/>
          </w:rPr>
          <w:fldChar w:fldCharType="end"/>
        </w:r>
      </w:hyperlink>
    </w:p>
    <w:p w14:paraId="72EFA245" w14:textId="6BE66D86"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59" w:history="1">
        <w:r w:rsidR="00D44316" w:rsidRPr="00D276E2">
          <w:rPr>
            <w:rStyle w:val="Hyperlink"/>
            <w:rFonts w:eastAsia="MS Gothic" w:cs="Times New Roman"/>
            <w:noProof/>
          </w:rPr>
          <w:t>Cancel the tax cuts</w:t>
        </w:r>
        <w:r w:rsidR="00D44316">
          <w:rPr>
            <w:noProof/>
            <w:webHidden/>
          </w:rPr>
          <w:tab/>
        </w:r>
        <w:r w:rsidR="00D44316">
          <w:rPr>
            <w:noProof/>
            <w:webHidden/>
          </w:rPr>
          <w:fldChar w:fldCharType="begin"/>
        </w:r>
        <w:r w:rsidR="00D44316">
          <w:rPr>
            <w:noProof/>
            <w:webHidden/>
          </w:rPr>
          <w:instrText xml:space="preserve"> PAGEREF _Toc90984659 \h </w:instrText>
        </w:r>
        <w:r w:rsidR="00D44316">
          <w:rPr>
            <w:noProof/>
            <w:webHidden/>
          </w:rPr>
        </w:r>
        <w:r w:rsidR="00D44316">
          <w:rPr>
            <w:noProof/>
            <w:webHidden/>
          </w:rPr>
          <w:fldChar w:fldCharType="separate"/>
        </w:r>
        <w:r w:rsidR="00B44869">
          <w:rPr>
            <w:noProof/>
            <w:webHidden/>
          </w:rPr>
          <w:t>52</w:t>
        </w:r>
        <w:r w:rsidR="00D44316">
          <w:rPr>
            <w:noProof/>
            <w:webHidden/>
          </w:rPr>
          <w:fldChar w:fldCharType="end"/>
        </w:r>
      </w:hyperlink>
    </w:p>
    <w:p w14:paraId="6E31292D" w14:textId="04C3F490"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60" w:history="1">
        <w:r w:rsidR="00D44316" w:rsidRPr="00D276E2">
          <w:rPr>
            <w:rStyle w:val="Hyperlink"/>
            <w:rFonts w:eastAsia="MS Gothic" w:cs="Times New Roman"/>
            <w:noProof/>
          </w:rPr>
          <w:t>Tax investment income more fairly and consistently</w:t>
        </w:r>
        <w:r w:rsidR="00D44316">
          <w:rPr>
            <w:noProof/>
            <w:webHidden/>
          </w:rPr>
          <w:tab/>
        </w:r>
        <w:r w:rsidR="00D44316">
          <w:rPr>
            <w:noProof/>
            <w:webHidden/>
          </w:rPr>
          <w:fldChar w:fldCharType="begin"/>
        </w:r>
        <w:r w:rsidR="00D44316">
          <w:rPr>
            <w:noProof/>
            <w:webHidden/>
          </w:rPr>
          <w:instrText xml:space="preserve"> PAGEREF _Toc90984660 \h </w:instrText>
        </w:r>
        <w:r w:rsidR="00D44316">
          <w:rPr>
            <w:noProof/>
            <w:webHidden/>
          </w:rPr>
        </w:r>
        <w:r w:rsidR="00D44316">
          <w:rPr>
            <w:noProof/>
            <w:webHidden/>
          </w:rPr>
          <w:fldChar w:fldCharType="separate"/>
        </w:r>
        <w:r w:rsidR="00B44869">
          <w:rPr>
            <w:noProof/>
            <w:webHidden/>
          </w:rPr>
          <w:t>53</w:t>
        </w:r>
        <w:r w:rsidR="00D44316">
          <w:rPr>
            <w:noProof/>
            <w:webHidden/>
          </w:rPr>
          <w:fldChar w:fldCharType="end"/>
        </w:r>
      </w:hyperlink>
    </w:p>
    <w:p w14:paraId="6F0583C7" w14:textId="04E7CD5E"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61" w:history="1">
        <w:r w:rsidR="00D44316" w:rsidRPr="00D276E2">
          <w:rPr>
            <w:rStyle w:val="Hyperlink"/>
            <w:rFonts w:eastAsia="MS Gothic" w:cs="Times New Roman"/>
            <w:noProof/>
          </w:rPr>
          <w:t>Curb personal tax avoidance using private trusts and companies</w:t>
        </w:r>
        <w:r w:rsidR="00D44316">
          <w:rPr>
            <w:noProof/>
            <w:webHidden/>
          </w:rPr>
          <w:tab/>
        </w:r>
        <w:r w:rsidR="00D44316">
          <w:rPr>
            <w:noProof/>
            <w:webHidden/>
          </w:rPr>
          <w:fldChar w:fldCharType="begin"/>
        </w:r>
        <w:r w:rsidR="00D44316">
          <w:rPr>
            <w:noProof/>
            <w:webHidden/>
          </w:rPr>
          <w:instrText xml:space="preserve"> PAGEREF _Toc90984661 \h </w:instrText>
        </w:r>
        <w:r w:rsidR="00D44316">
          <w:rPr>
            <w:noProof/>
            <w:webHidden/>
          </w:rPr>
        </w:r>
        <w:r w:rsidR="00D44316">
          <w:rPr>
            <w:noProof/>
            <w:webHidden/>
          </w:rPr>
          <w:fldChar w:fldCharType="separate"/>
        </w:r>
        <w:r w:rsidR="00B44869">
          <w:rPr>
            <w:noProof/>
            <w:webHidden/>
          </w:rPr>
          <w:t>54</w:t>
        </w:r>
        <w:r w:rsidR="00D44316">
          <w:rPr>
            <w:noProof/>
            <w:webHidden/>
          </w:rPr>
          <w:fldChar w:fldCharType="end"/>
        </w:r>
      </w:hyperlink>
    </w:p>
    <w:p w14:paraId="419D60CE" w14:textId="5D484335"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62" w:history="1">
        <w:r w:rsidR="00D44316" w:rsidRPr="00D276E2">
          <w:rPr>
            <w:rStyle w:val="Hyperlink"/>
            <w:noProof/>
          </w:rPr>
          <w:t>Curb international business tax avoidance</w:t>
        </w:r>
        <w:r w:rsidR="00D44316">
          <w:rPr>
            <w:noProof/>
            <w:webHidden/>
          </w:rPr>
          <w:tab/>
        </w:r>
        <w:r w:rsidR="00D44316">
          <w:rPr>
            <w:noProof/>
            <w:webHidden/>
          </w:rPr>
          <w:fldChar w:fldCharType="begin"/>
        </w:r>
        <w:r w:rsidR="00D44316">
          <w:rPr>
            <w:noProof/>
            <w:webHidden/>
          </w:rPr>
          <w:instrText xml:space="preserve"> PAGEREF _Toc90984662 \h </w:instrText>
        </w:r>
        <w:r w:rsidR="00D44316">
          <w:rPr>
            <w:noProof/>
            <w:webHidden/>
          </w:rPr>
        </w:r>
        <w:r w:rsidR="00D44316">
          <w:rPr>
            <w:noProof/>
            <w:webHidden/>
          </w:rPr>
          <w:fldChar w:fldCharType="separate"/>
        </w:r>
        <w:r w:rsidR="00B44869">
          <w:rPr>
            <w:noProof/>
            <w:webHidden/>
          </w:rPr>
          <w:t>57</w:t>
        </w:r>
        <w:r w:rsidR="00D44316">
          <w:rPr>
            <w:noProof/>
            <w:webHidden/>
          </w:rPr>
          <w:fldChar w:fldCharType="end"/>
        </w:r>
      </w:hyperlink>
    </w:p>
    <w:p w14:paraId="4D978DE3" w14:textId="20C7CCC8" w:rsidR="00D44316" w:rsidRDefault="00B10971">
      <w:pPr>
        <w:pStyle w:val="TOC2"/>
        <w:tabs>
          <w:tab w:val="right" w:leader="dot" w:pos="8990"/>
        </w:tabs>
        <w:rPr>
          <w:rFonts w:asciiTheme="minorHAnsi" w:eastAsiaTheme="minorEastAsia" w:hAnsiTheme="minorHAnsi"/>
          <w:noProof/>
          <w:color w:val="auto"/>
          <w:sz w:val="22"/>
          <w:lang w:val="en-AU" w:eastAsia="en-AU"/>
        </w:rPr>
      </w:pPr>
      <w:hyperlink w:anchor="_Toc90984663" w:history="1">
        <w:r w:rsidR="00D44316" w:rsidRPr="00D276E2">
          <w:rPr>
            <w:rStyle w:val="Hyperlink"/>
            <w:noProof/>
          </w:rPr>
          <w:t>Remove fossil fuel subsidies</w:t>
        </w:r>
        <w:r w:rsidR="00D44316">
          <w:rPr>
            <w:noProof/>
            <w:webHidden/>
          </w:rPr>
          <w:tab/>
        </w:r>
        <w:r w:rsidR="00D44316">
          <w:rPr>
            <w:noProof/>
            <w:webHidden/>
          </w:rPr>
          <w:fldChar w:fldCharType="begin"/>
        </w:r>
        <w:r w:rsidR="00D44316">
          <w:rPr>
            <w:noProof/>
            <w:webHidden/>
          </w:rPr>
          <w:instrText xml:space="preserve"> PAGEREF _Toc90984663 \h </w:instrText>
        </w:r>
        <w:r w:rsidR="00D44316">
          <w:rPr>
            <w:noProof/>
            <w:webHidden/>
          </w:rPr>
        </w:r>
        <w:r w:rsidR="00D44316">
          <w:rPr>
            <w:noProof/>
            <w:webHidden/>
          </w:rPr>
          <w:fldChar w:fldCharType="separate"/>
        </w:r>
        <w:r w:rsidR="00B44869">
          <w:rPr>
            <w:noProof/>
            <w:webHidden/>
          </w:rPr>
          <w:t>57</w:t>
        </w:r>
        <w:r w:rsidR="00D44316">
          <w:rPr>
            <w:noProof/>
            <w:webHidden/>
          </w:rPr>
          <w:fldChar w:fldCharType="end"/>
        </w:r>
      </w:hyperlink>
    </w:p>
    <w:p w14:paraId="76FFD559" w14:textId="78ED5D3B" w:rsidR="294F0AC8" w:rsidRDefault="00D44316" w:rsidP="00D44316">
      <w:pPr>
        <w:pStyle w:val="TOC1"/>
        <w:rPr>
          <w:rFonts w:eastAsia="Calibri" w:cs="Arial"/>
          <w:szCs w:val="20"/>
        </w:rPr>
      </w:pPr>
      <w:r>
        <w:rPr>
          <w:rStyle w:val="Hyperlink"/>
        </w:rPr>
        <w:fldChar w:fldCharType="end"/>
      </w:r>
      <w:r w:rsidR="00392CCD">
        <w:rPr>
          <w:rFonts w:eastAsia="Calibri" w:cs="Arial"/>
          <w:szCs w:val="20"/>
        </w:rPr>
        <w:fldChar w:fldCharType="end"/>
      </w:r>
    </w:p>
    <w:p w14:paraId="7C0010C9" w14:textId="742F2362" w:rsidR="280C9BAE" w:rsidRDefault="00392CCD" w:rsidP="00002866">
      <w:pPr>
        <w:pStyle w:val="Heading1"/>
        <w:numPr>
          <w:ilvl w:val="0"/>
          <w:numId w:val="0"/>
        </w:numPr>
        <w:rPr>
          <w:rFonts w:eastAsia="Calibri" w:cs="Arial"/>
        </w:rPr>
      </w:pPr>
      <w:bookmarkStart w:id="69" w:name="_Toc673759383"/>
      <w:bookmarkStart w:id="70" w:name="_Toc590083067"/>
      <w:bookmarkStart w:id="71" w:name="_Toc1484227277"/>
      <w:bookmarkStart w:id="72" w:name="_Toc1499633065"/>
      <w:bookmarkStart w:id="73" w:name="_Toc1319048366"/>
      <w:bookmarkStart w:id="74" w:name="_Toc2100737612"/>
      <w:bookmarkStart w:id="75" w:name="_Toc33814316"/>
      <w:bookmarkStart w:id="76" w:name="_Toc544565608"/>
      <w:bookmarkStart w:id="77" w:name="_Toc1433632603"/>
      <w:bookmarkStart w:id="78" w:name="_Toc1694329723"/>
      <w:bookmarkStart w:id="79" w:name="_Toc585030890"/>
      <w:r>
        <w:br w:type="column"/>
      </w:r>
      <w:bookmarkStart w:id="80" w:name="_Toc90983312"/>
      <w:bookmarkStart w:id="81" w:name="_Toc90983338"/>
      <w:bookmarkStart w:id="82" w:name="_Toc90984602"/>
      <w:r w:rsidR="294F0AC8">
        <w:lastRenderedPageBreak/>
        <w:t>Executive Summary</w:t>
      </w:r>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8740D4A" w14:textId="3B7748E3" w:rsidR="280C9BAE" w:rsidRDefault="294F0AC8" w:rsidP="001D1B51">
      <w:pPr>
        <w:pStyle w:val="Heading2"/>
      </w:pPr>
      <w:bookmarkStart w:id="83" w:name="_Toc1933345002"/>
      <w:bookmarkStart w:id="84" w:name="_Toc573210853"/>
      <w:bookmarkStart w:id="85" w:name="_Toc1080748874"/>
      <w:bookmarkStart w:id="86" w:name="_Toc1506076804"/>
      <w:bookmarkStart w:id="87" w:name="_Toc260564248"/>
      <w:bookmarkStart w:id="88" w:name="_Toc1511745736"/>
      <w:bookmarkStart w:id="89" w:name="_Toc1450857374"/>
      <w:bookmarkStart w:id="90" w:name="_Toc923268734"/>
      <w:bookmarkStart w:id="91" w:name="_Toc90983339"/>
      <w:bookmarkStart w:id="92" w:name="_Toc90984603"/>
      <w:r w:rsidRPr="294F0AC8">
        <w:t>The big challenges are not behind us</w:t>
      </w:r>
      <w:bookmarkEnd w:id="83"/>
      <w:bookmarkEnd w:id="84"/>
      <w:bookmarkEnd w:id="85"/>
      <w:bookmarkEnd w:id="86"/>
      <w:bookmarkEnd w:id="87"/>
      <w:bookmarkEnd w:id="88"/>
      <w:bookmarkEnd w:id="89"/>
      <w:bookmarkEnd w:id="90"/>
      <w:bookmarkEnd w:id="91"/>
      <w:bookmarkEnd w:id="92"/>
    </w:p>
    <w:p w14:paraId="68311992" w14:textId="3B7748E3" w:rsidR="280C9BAE" w:rsidRDefault="294F0AC8" w:rsidP="294F0AC8">
      <w:pPr>
        <w:rPr>
          <w:rFonts w:eastAsia="Calibri" w:cs="Arial"/>
        </w:rPr>
      </w:pPr>
      <w:r w:rsidRPr="294F0AC8">
        <w:t xml:space="preserve">The COVID19 Pandemic and the ‘Black Summer’ Bushfires exposed the weaknesses of our most basic social, </w:t>
      </w:r>
      <w:proofErr w:type="gramStart"/>
      <w:r w:rsidRPr="294F0AC8">
        <w:t>economic</w:t>
      </w:r>
      <w:proofErr w:type="gramEnd"/>
      <w:r w:rsidRPr="294F0AC8">
        <w:t xml:space="preserve"> and environmental supports. However, these crises also demonstrated the power of governments to protect and advance our incomes, </w:t>
      </w:r>
      <w:proofErr w:type="gramStart"/>
      <w:r w:rsidRPr="294F0AC8">
        <w:t>jobs</w:t>
      </w:r>
      <w:proofErr w:type="gramEnd"/>
      <w:r w:rsidRPr="294F0AC8">
        <w:t xml:space="preserve"> and health. </w:t>
      </w:r>
    </w:p>
    <w:p w14:paraId="08090506" w14:textId="3B7748E3" w:rsidR="280C9BAE" w:rsidRDefault="294F0AC8" w:rsidP="294F0AC8">
      <w:pPr>
        <w:rPr>
          <w:rFonts w:eastAsia="Calibri" w:cs="Arial"/>
        </w:rPr>
      </w:pPr>
      <w:r w:rsidRPr="294F0AC8">
        <w:t xml:space="preserve">In the initial response to COVID19: </w:t>
      </w:r>
    </w:p>
    <w:p w14:paraId="1518373E" w14:textId="3B7748E3" w:rsidR="280C9BAE" w:rsidRDefault="294F0AC8" w:rsidP="00DD3DC0">
      <w:pPr>
        <w:pStyle w:val="ListParagraph"/>
        <w:numPr>
          <w:ilvl w:val="0"/>
          <w:numId w:val="47"/>
        </w:numPr>
        <w:rPr>
          <w:rFonts w:asciiTheme="minorHAnsi" w:eastAsiaTheme="minorEastAsia" w:hAnsiTheme="minorHAnsi"/>
        </w:rPr>
      </w:pPr>
      <w:r w:rsidRPr="294F0AC8">
        <w:t>Poverty was halved when the COVID supplement was available</w:t>
      </w:r>
      <w:r w:rsidR="2602F1D6">
        <w:t>.</w:t>
      </w:r>
      <w:r w:rsidRPr="294F0AC8">
        <w:t xml:space="preserve"> </w:t>
      </w:r>
    </w:p>
    <w:p w14:paraId="52435986" w14:textId="3B7748E3" w:rsidR="280C9BAE" w:rsidRDefault="294F0AC8" w:rsidP="00DD3DC0">
      <w:pPr>
        <w:pStyle w:val="ListParagraph"/>
        <w:numPr>
          <w:ilvl w:val="0"/>
          <w:numId w:val="47"/>
        </w:numPr>
        <w:rPr>
          <w:rFonts w:asciiTheme="minorHAnsi" w:eastAsiaTheme="minorEastAsia" w:hAnsiTheme="minorHAnsi"/>
        </w:rPr>
      </w:pPr>
      <w:r w:rsidRPr="294F0AC8">
        <w:t>Over 700,000 jobs were saved</w:t>
      </w:r>
      <w:r w:rsidR="2602F1D6">
        <w:t>.</w:t>
      </w:r>
      <w:r w:rsidRPr="294F0AC8">
        <w:t xml:space="preserve"> </w:t>
      </w:r>
    </w:p>
    <w:p w14:paraId="05B73068" w14:textId="3B7748E3" w:rsidR="280C9BAE" w:rsidRDefault="294F0AC8" w:rsidP="00DD3DC0">
      <w:pPr>
        <w:pStyle w:val="ListParagraph"/>
        <w:numPr>
          <w:ilvl w:val="0"/>
          <w:numId w:val="47"/>
        </w:numPr>
        <w:rPr>
          <w:rFonts w:asciiTheme="minorHAnsi" w:eastAsiaTheme="minorEastAsia" w:hAnsiTheme="minorHAnsi"/>
        </w:rPr>
      </w:pPr>
      <w:r w:rsidRPr="294F0AC8">
        <w:t xml:space="preserve">Childcare was affordable; and </w:t>
      </w:r>
    </w:p>
    <w:p w14:paraId="4BB470F5" w14:textId="3B7748E3" w:rsidR="280C9BAE" w:rsidRDefault="294F0AC8" w:rsidP="00DD3DC0">
      <w:pPr>
        <w:pStyle w:val="ListParagraph"/>
        <w:numPr>
          <w:ilvl w:val="0"/>
          <w:numId w:val="47"/>
        </w:numPr>
        <w:rPr>
          <w:rFonts w:asciiTheme="minorHAnsi" w:eastAsiaTheme="minorEastAsia" w:hAnsiTheme="minorHAnsi"/>
        </w:rPr>
      </w:pPr>
      <w:r w:rsidRPr="294F0AC8">
        <w:t xml:space="preserve">People sleeping on the streets were housed. </w:t>
      </w:r>
    </w:p>
    <w:p w14:paraId="1AC80DA2" w14:textId="3B7748E3" w:rsidR="280C9BAE" w:rsidRDefault="294F0AC8" w:rsidP="294F0AC8">
      <w:pPr>
        <w:rPr>
          <w:rFonts w:eastAsia="Calibri" w:cs="Arial"/>
        </w:rPr>
      </w:pPr>
      <w:r>
        <w:br/>
      </w:r>
      <w:r w:rsidRPr="294F0AC8">
        <w:t xml:space="preserve">We are among the wealthiest nations in the world. However, major weaknesses </w:t>
      </w:r>
      <w:r w:rsidR="2602F1D6">
        <w:t xml:space="preserve">remain </w:t>
      </w:r>
      <w:r w:rsidRPr="294F0AC8">
        <w:t xml:space="preserve">in our economic, </w:t>
      </w:r>
      <w:proofErr w:type="gramStart"/>
      <w:r w:rsidRPr="294F0AC8">
        <w:t>social</w:t>
      </w:r>
      <w:proofErr w:type="gramEnd"/>
      <w:r w:rsidRPr="294F0AC8">
        <w:t xml:space="preserve"> and environmental protections: </w:t>
      </w:r>
    </w:p>
    <w:p w14:paraId="005954B0" w14:textId="3B7748E3" w:rsidR="280C9BAE" w:rsidRDefault="294F0AC8" w:rsidP="00DD3DC0">
      <w:pPr>
        <w:pStyle w:val="ListParagraph"/>
        <w:numPr>
          <w:ilvl w:val="0"/>
          <w:numId w:val="46"/>
        </w:numPr>
        <w:rPr>
          <w:rFonts w:asciiTheme="minorHAnsi" w:eastAsiaTheme="minorEastAsia" w:hAnsiTheme="minorHAnsi"/>
        </w:rPr>
      </w:pPr>
      <w:r w:rsidRPr="294F0AC8">
        <w:t xml:space="preserve">Income support payments of $45 a day, well below the poverty line </w:t>
      </w:r>
    </w:p>
    <w:p w14:paraId="7EFD79E2" w14:textId="3B7748E3" w:rsidR="280C9BAE" w:rsidRDefault="294F0AC8" w:rsidP="00DD3DC0">
      <w:pPr>
        <w:pStyle w:val="ListParagraph"/>
        <w:numPr>
          <w:ilvl w:val="0"/>
          <w:numId w:val="46"/>
        </w:numPr>
        <w:rPr>
          <w:rFonts w:asciiTheme="minorHAnsi" w:eastAsiaTheme="minorEastAsia" w:hAnsiTheme="minorHAnsi"/>
        </w:rPr>
      </w:pPr>
      <w:r w:rsidRPr="294F0AC8">
        <w:t xml:space="preserve">A growing number of people </w:t>
      </w:r>
      <w:r w:rsidR="2602F1D6">
        <w:t>cannot</w:t>
      </w:r>
      <w:r w:rsidRPr="294F0AC8">
        <w:t xml:space="preserve"> afford housing </w:t>
      </w:r>
    </w:p>
    <w:p w14:paraId="36A92804" w14:textId="3B7748E3" w:rsidR="280C9BAE" w:rsidRDefault="294F0AC8" w:rsidP="00DD3DC0">
      <w:pPr>
        <w:pStyle w:val="ListParagraph"/>
        <w:numPr>
          <w:ilvl w:val="0"/>
          <w:numId w:val="46"/>
        </w:numPr>
        <w:rPr>
          <w:rFonts w:asciiTheme="minorHAnsi" w:eastAsiaTheme="minorEastAsia" w:hAnsiTheme="minorHAnsi"/>
        </w:rPr>
      </w:pPr>
      <w:r w:rsidRPr="294F0AC8">
        <w:t xml:space="preserve">Long waits for care services that are often of poor quality </w:t>
      </w:r>
    </w:p>
    <w:p w14:paraId="505631A2" w14:textId="3B7748E3" w:rsidR="280C9BAE" w:rsidRDefault="294F0AC8" w:rsidP="00DD3DC0">
      <w:pPr>
        <w:pStyle w:val="ListParagraph"/>
        <w:numPr>
          <w:ilvl w:val="0"/>
          <w:numId w:val="46"/>
        </w:numPr>
        <w:rPr>
          <w:rFonts w:asciiTheme="minorHAnsi" w:eastAsiaTheme="minorEastAsia" w:hAnsiTheme="minorHAnsi"/>
        </w:rPr>
      </w:pPr>
      <w:r w:rsidRPr="294F0AC8">
        <w:t xml:space="preserve">Pressure to reduce funding for the National Disability Insurance Scheme </w:t>
      </w:r>
    </w:p>
    <w:p w14:paraId="299DB9F5" w14:textId="3B7748E3" w:rsidR="280C9BAE" w:rsidRDefault="294F0AC8" w:rsidP="00DD3DC0">
      <w:pPr>
        <w:pStyle w:val="ListParagraph"/>
        <w:numPr>
          <w:ilvl w:val="0"/>
          <w:numId w:val="46"/>
        </w:numPr>
        <w:rPr>
          <w:rFonts w:asciiTheme="minorHAnsi" w:eastAsiaTheme="minorEastAsia" w:hAnsiTheme="minorHAnsi"/>
        </w:rPr>
      </w:pPr>
      <w:r w:rsidRPr="294F0AC8">
        <w:t xml:space="preserve">Neglect of dental and mental health care </w:t>
      </w:r>
    </w:p>
    <w:p w14:paraId="6BEDBC2C" w14:textId="3B7748E3" w:rsidR="280C9BAE" w:rsidRDefault="294F0AC8" w:rsidP="00DD3DC0">
      <w:pPr>
        <w:pStyle w:val="ListParagraph"/>
        <w:numPr>
          <w:ilvl w:val="0"/>
          <w:numId w:val="46"/>
        </w:numPr>
        <w:rPr>
          <w:rFonts w:asciiTheme="minorHAnsi" w:eastAsiaTheme="minorEastAsia" w:hAnsiTheme="minorHAnsi"/>
        </w:rPr>
      </w:pPr>
      <w:r w:rsidRPr="294F0AC8">
        <w:t>Employment services that have failed to reduce entrenched, long-term unemployment</w:t>
      </w:r>
    </w:p>
    <w:p w14:paraId="010F8897" w14:textId="3B7748E3" w:rsidR="280C9BAE" w:rsidRDefault="294F0AC8" w:rsidP="00DD3DC0">
      <w:pPr>
        <w:pStyle w:val="ListParagraph"/>
        <w:numPr>
          <w:ilvl w:val="0"/>
          <w:numId w:val="46"/>
        </w:numPr>
        <w:rPr>
          <w:rFonts w:asciiTheme="minorHAnsi" w:eastAsiaTheme="minorEastAsia" w:hAnsiTheme="minorHAnsi"/>
        </w:rPr>
      </w:pPr>
      <w:r w:rsidRPr="294F0AC8">
        <w:t xml:space="preserve">The decline of our public and community education and training infrastructure </w:t>
      </w:r>
    </w:p>
    <w:p w14:paraId="0E0E7C9C" w14:textId="3B7748E3" w:rsidR="280C9BAE" w:rsidRDefault="294F0AC8" w:rsidP="00DD3DC0">
      <w:pPr>
        <w:pStyle w:val="ListParagraph"/>
        <w:numPr>
          <w:ilvl w:val="0"/>
          <w:numId w:val="46"/>
        </w:numPr>
        <w:rPr>
          <w:rFonts w:asciiTheme="minorHAnsi" w:eastAsiaTheme="minorEastAsia" w:hAnsiTheme="minorHAnsi"/>
        </w:rPr>
      </w:pPr>
      <w:r w:rsidRPr="294F0AC8">
        <w:t xml:space="preserve">Failure to ‘close the gap’ with community-controlled Aboriginal and Torres Strait Islander services </w:t>
      </w:r>
    </w:p>
    <w:p w14:paraId="1BD926BA" w14:textId="3B7748E3" w:rsidR="280C9BAE" w:rsidRDefault="294F0AC8" w:rsidP="00002866">
      <w:pPr>
        <w:pStyle w:val="ListParagraph"/>
        <w:numPr>
          <w:ilvl w:val="0"/>
          <w:numId w:val="46"/>
        </w:numPr>
        <w:rPr>
          <w:rFonts w:eastAsia="Calibri" w:cs="Arial"/>
        </w:rPr>
      </w:pPr>
      <w:r w:rsidRPr="294F0AC8">
        <w:t xml:space="preserve">Inadequate public investment in the transition to a clean economy, disaster resilience and help for people to adapt to global warming. </w:t>
      </w:r>
    </w:p>
    <w:p w14:paraId="69EE70C2" w14:textId="3B7748E3" w:rsidR="00002866" w:rsidRPr="00002866" w:rsidRDefault="00002866" w:rsidP="00002866">
      <w:pPr>
        <w:pStyle w:val="List3"/>
      </w:pPr>
    </w:p>
    <w:p w14:paraId="1A648A56" w14:textId="3B7748E3" w:rsidR="280C9BAE" w:rsidRDefault="294F0AC8" w:rsidP="001D1B51">
      <w:pPr>
        <w:pStyle w:val="Heading2"/>
      </w:pPr>
      <w:bookmarkStart w:id="93" w:name="_Toc1581923872"/>
      <w:bookmarkStart w:id="94" w:name="_Toc1511143786"/>
      <w:bookmarkStart w:id="95" w:name="_Toc1337719140"/>
      <w:bookmarkStart w:id="96" w:name="_Toc1028049519"/>
      <w:bookmarkStart w:id="97" w:name="_Toc1663409144"/>
      <w:bookmarkStart w:id="98" w:name="_Toc1463664354"/>
      <w:bookmarkStart w:id="99" w:name="_Toc981419434"/>
      <w:bookmarkStart w:id="100" w:name="_Toc2080015625"/>
      <w:bookmarkStart w:id="101" w:name="_Toc90983340"/>
      <w:bookmarkStart w:id="102" w:name="_Toc90984604"/>
      <w:r w:rsidRPr="294F0AC8">
        <w:t xml:space="preserve">A </w:t>
      </w:r>
      <w:r w:rsidR="2602F1D6">
        <w:t>Guarantee</w:t>
      </w:r>
      <w:r w:rsidRPr="294F0AC8">
        <w:t xml:space="preserve"> to the Nation: jobs, services, safety nets and climate action</w:t>
      </w:r>
      <w:bookmarkEnd w:id="93"/>
      <w:bookmarkEnd w:id="94"/>
      <w:bookmarkEnd w:id="95"/>
      <w:bookmarkEnd w:id="96"/>
      <w:bookmarkEnd w:id="97"/>
      <w:bookmarkEnd w:id="98"/>
      <w:bookmarkEnd w:id="99"/>
      <w:bookmarkEnd w:id="100"/>
      <w:bookmarkEnd w:id="101"/>
      <w:bookmarkEnd w:id="102"/>
    </w:p>
    <w:p w14:paraId="3B922D37" w14:textId="3B7748E3" w:rsidR="280C9BAE" w:rsidRDefault="294F0AC8" w:rsidP="294F0AC8">
      <w:pPr>
        <w:rPr>
          <w:rFonts w:eastAsia="Calibri" w:cs="Arial"/>
        </w:rPr>
      </w:pPr>
      <w:r w:rsidRPr="294F0AC8">
        <w:t xml:space="preserve">This Budget should continue to support community resilience and recovery as we navigate our way through, and hopefully beyond, the COVID pandemic. </w:t>
      </w:r>
    </w:p>
    <w:p w14:paraId="696C2D32" w14:textId="3B7748E3" w:rsidR="280C9BAE" w:rsidRDefault="2602F1D6" w:rsidP="294F0AC8">
      <w:pPr>
        <w:rPr>
          <w:rFonts w:eastAsia="Calibri" w:cs="Arial"/>
        </w:rPr>
      </w:pPr>
      <w:r w:rsidRPr="2602F1D6">
        <w:rPr>
          <w:rFonts w:eastAsia="Calibri" w:cs="Arial"/>
        </w:rPr>
        <w:t xml:space="preserve">In our community sector </w:t>
      </w:r>
      <w:hyperlink r:id="rId15">
        <w:r w:rsidRPr="2602F1D6">
          <w:rPr>
            <w:rStyle w:val="Hyperlink"/>
            <w:rFonts w:eastAsia="Calibri" w:cs="Arial"/>
          </w:rPr>
          <w:t>statement on budget policy</w:t>
        </w:r>
      </w:hyperlink>
      <w:r w:rsidRPr="2602F1D6">
        <w:rPr>
          <w:rFonts w:eastAsia="Calibri" w:cs="Arial"/>
        </w:rPr>
        <w:t xml:space="preserve">, </w:t>
      </w:r>
      <w:r w:rsidRPr="40F15BBA">
        <w:rPr>
          <w:rFonts w:eastAsiaTheme="minorEastAsia"/>
        </w:rPr>
        <w:t>we are calling on the parties</w:t>
      </w:r>
      <w:r w:rsidRPr="2602F1D6">
        <w:rPr>
          <w:rFonts w:eastAsia="Calibri" w:cs="Arial"/>
        </w:rPr>
        <w:t xml:space="preserve"> to </w:t>
      </w:r>
      <w:r w:rsidRPr="40F15BBA">
        <w:rPr>
          <w:rFonts w:eastAsiaTheme="minorEastAsia"/>
        </w:rPr>
        <w:t>guarantee that the next government will give priority to the most pressing challenges we face including persistent poverty and inequality, services for an ageing population, unaffordable housing, mental health and domestic violence, and the catastrophic threat of climate change.</w:t>
      </w:r>
      <w:r w:rsidRPr="2602F1D6">
        <w:rPr>
          <w:rFonts w:ascii="Arial" w:eastAsia="Arial" w:hAnsi="Arial" w:cs="Arial"/>
          <w:sz w:val="18"/>
          <w:szCs w:val="18"/>
          <w:vertAlign w:val="superscript"/>
        </w:rPr>
        <w:t>1</w:t>
      </w:r>
      <w:r w:rsidRPr="2602F1D6">
        <w:rPr>
          <w:rFonts w:eastAsia="Verdana" w:cs="Verdana"/>
          <w:sz w:val="18"/>
          <w:szCs w:val="18"/>
          <w:vertAlign w:val="superscript"/>
        </w:rPr>
        <w:t xml:space="preserve"> </w:t>
      </w:r>
    </w:p>
    <w:p w14:paraId="059DC56E" w14:textId="5A94D253" w:rsidR="280C9BAE" w:rsidRDefault="294F0AC8" w:rsidP="294F0AC8">
      <w:pPr>
        <w:rPr>
          <w:rFonts w:eastAsia="Verdana" w:cs="Verdana"/>
        </w:rPr>
      </w:pPr>
      <w:r w:rsidRPr="294F0AC8">
        <w:rPr>
          <w:rFonts w:eastAsia="Verdana" w:cs="Verdana"/>
        </w:rPr>
        <w:t xml:space="preserve">We have an historic opportunity to achieve full employment, where </w:t>
      </w:r>
      <w:proofErr w:type="gramStart"/>
      <w:r w:rsidRPr="294F0AC8">
        <w:rPr>
          <w:rFonts w:eastAsia="Verdana" w:cs="Verdana"/>
        </w:rPr>
        <w:t>the vast majority of</w:t>
      </w:r>
      <w:proofErr w:type="gramEnd"/>
      <w:r w:rsidRPr="294F0AC8">
        <w:rPr>
          <w:rFonts w:eastAsia="Verdana" w:cs="Verdana"/>
        </w:rPr>
        <w:t xml:space="preserve"> people seeking paid employment can readily find a job. The government has committed to maintain fiscal stimulus and the Reserve Bank has committed not to lift interest rates until unemployment is low enough to trigger sustained increases in real wages of around 3% a year. To reach full employment in the 21st century </w:t>
      </w:r>
      <w:proofErr w:type="spellStart"/>
      <w:r w:rsidRPr="294F0AC8">
        <w:rPr>
          <w:rFonts w:eastAsia="Verdana" w:cs="Verdana"/>
        </w:rPr>
        <w:t>labour</w:t>
      </w:r>
      <w:proofErr w:type="spellEnd"/>
      <w:r w:rsidRPr="294F0AC8">
        <w:rPr>
          <w:rFonts w:eastAsia="Verdana" w:cs="Verdana"/>
        </w:rPr>
        <w:t xml:space="preserve"> market, attention must also be paid to Australia's high levels of underemployment and insecure employment, and over-reliance on temporary migrants to fill entry-level jobs.</w:t>
      </w:r>
    </w:p>
    <w:p w14:paraId="48D60360" w14:textId="3B7748E3" w:rsidR="2602F1D6" w:rsidRDefault="2602F1D6" w:rsidP="2602F1D6">
      <w:pPr>
        <w:rPr>
          <w:rFonts w:eastAsia="Calibri" w:cs="Arial"/>
        </w:rPr>
      </w:pPr>
    </w:p>
    <w:p w14:paraId="7C60D088" w14:textId="3B7748E3" w:rsidR="280C9BAE" w:rsidRDefault="294F0AC8" w:rsidP="001D1B51">
      <w:pPr>
        <w:pStyle w:val="Heading2"/>
      </w:pPr>
      <w:bookmarkStart w:id="103" w:name="_Toc1773061962"/>
      <w:bookmarkStart w:id="104" w:name="_Toc1492474433"/>
      <w:bookmarkStart w:id="105" w:name="_Toc348617368"/>
      <w:bookmarkStart w:id="106" w:name="_Toc1974091256"/>
      <w:bookmarkStart w:id="107" w:name="_Toc187460182"/>
      <w:bookmarkStart w:id="108" w:name="_Toc1113753526"/>
      <w:bookmarkStart w:id="109" w:name="_Toc1061426575"/>
      <w:bookmarkStart w:id="110" w:name="_Toc623532121"/>
      <w:bookmarkStart w:id="111" w:name="_Toc90983341"/>
      <w:bookmarkStart w:id="112" w:name="_Toc90984605"/>
      <w:r w:rsidRPr="294F0AC8">
        <w:lastRenderedPageBreak/>
        <w:t>A responsible budget strategy</w:t>
      </w:r>
      <w:bookmarkEnd w:id="103"/>
      <w:bookmarkEnd w:id="104"/>
      <w:bookmarkEnd w:id="105"/>
      <w:bookmarkEnd w:id="106"/>
      <w:bookmarkEnd w:id="107"/>
      <w:bookmarkEnd w:id="108"/>
      <w:bookmarkEnd w:id="109"/>
      <w:bookmarkEnd w:id="110"/>
      <w:bookmarkEnd w:id="111"/>
      <w:bookmarkEnd w:id="112"/>
    </w:p>
    <w:p w14:paraId="3E5D1C27" w14:textId="18910570" w:rsidR="280C9BAE" w:rsidRDefault="294F0AC8" w:rsidP="294F0AC8">
      <w:pPr>
        <w:rPr>
          <w:rFonts w:eastAsia="Calibri" w:cs="Arial"/>
          <w:b/>
        </w:rPr>
      </w:pPr>
      <w:r w:rsidRPr="2602F1D6">
        <w:rPr>
          <w:rFonts w:eastAsia="Calibri" w:cs="Arial"/>
        </w:rPr>
        <w:t xml:space="preserve">This submission </w:t>
      </w:r>
      <w:r w:rsidR="2602F1D6" w:rsidRPr="2602F1D6">
        <w:rPr>
          <w:rFonts w:eastAsia="Calibri" w:cs="Arial"/>
        </w:rPr>
        <w:t>recommends that the government invests in policies and programs that meet the</w:t>
      </w:r>
      <w:r w:rsidRPr="2602F1D6">
        <w:rPr>
          <w:rFonts w:eastAsia="Calibri" w:cs="Arial"/>
        </w:rPr>
        <w:t xml:space="preserve"> challenges </w:t>
      </w:r>
      <w:r w:rsidR="2602F1D6" w:rsidRPr="2602F1D6">
        <w:rPr>
          <w:rFonts w:eastAsia="Calibri" w:cs="Arial"/>
        </w:rPr>
        <w:t xml:space="preserve">we face </w:t>
      </w:r>
      <w:r w:rsidRPr="2602F1D6">
        <w:rPr>
          <w:rFonts w:eastAsia="Calibri" w:cs="Arial"/>
        </w:rPr>
        <w:t xml:space="preserve">and strengthen public revenue to pay for </w:t>
      </w:r>
      <w:r w:rsidR="2602F1D6" w:rsidRPr="2602F1D6">
        <w:rPr>
          <w:rFonts w:eastAsia="Calibri" w:cs="Arial"/>
        </w:rPr>
        <w:t>that</w:t>
      </w:r>
      <w:r w:rsidRPr="2602F1D6">
        <w:rPr>
          <w:rFonts w:eastAsia="Calibri" w:cs="Arial"/>
        </w:rPr>
        <w:t xml:space="preserve"> investment </w:t>
      </w:r>
      <w:r w:rsidR="2602F1D6" w:rsidRPr="2602F1D6">
        <w:rPr>
          <w:rFonts w:eastAsia="Calibri" w:cs="Arial"/>
        </w:rPr>
        <w:t>in a fair and sustainable way</w:t>
      </w:r>
      <w:r w:rsidRPr="2602F1D6">
        <w:rPr>
          <w:rFonts w:eastAsia="Calibri" w:cs="Arial"/>
        </w:rPr>
        <w:t xml:space="preserve">. </w:t>
      </w:r>
    </w:p>
    <w:p w14:paraId="5893221A" w14:textId="481176E9" w:rsidR="280C9BAE" w:rsidRDefault="294F0AC8" w:rsidP="2602F1D6">
      <w:pPr>
        <w:rPr>
          <w:rFonts w:eastAsia="Calibri" w:cs="Arial"/>
        </w:rPr>
      </w:pPr>
      <w:r w:rsidRPr="294F0AC8">
        <w:rPr>
          <w:rFonts w:eastAsia="Calibri" w:cs="Arial"/>
        </w:rPr>
        <w:t xml:space="preserve">There is no urgency to reduce the budget deficit and we support the government's strategy to </w:t>
      </w:r>
      <w:proofErr w:type="spellStart"/>
      <w:r w:rsidRPr="294F0AC8">
        <w:rPr>
          <w:rFonts w:eastAsia="Calibri" w:cs="Arial"/>
        </w:rPr>
        <w:t>prioritise</w:t>
      </w:r>
      <w:proofErr w:type="spellEnd"/>
      <w:r w:rsidRPr="294F0AC8">
        <w:rPr>
          <w:rFonts w:eastAsia="Calibri" w:cs="Arial"/>
        </w:rPr>
        <w:t xml:space="preserve"> employment </w:t>
      </w:r>
      <w:proofErr w:type="gramStart"/>
      <w:r w:rsidRPr="294F0AC8">
        <w:rPr>
          <w:rFonts w:eastAsia="Calibri" w:cs="Arial"/>
        </w:rPr>
        <w:t>at this time</w:t>
      </w:r>
      <w:proofErr w:type="gramEnd"/>
      <w:r w:rsidRPr="294F0AC8">
        <w:rPr>
          <w:rFonts w:eastAsia="Calibri" w:cs="Arial"/>
        </w:rPr>
        <w:t xml:space="preserve">. </w:t>
      </w:r>
      <w:r w:rsidR="002A67A0">
        <w:rPr>
          <w:rFonts w:eastAsia="Calibri" w:cs="Arial"/>
        </w:rPr>
        <w:t>The</w:t>
      </w:r>
      <w:r w:rsidRPr="294F0AC8">
        <w:rPr>
          <w:rFonts w:eastAsia="Calibri" w:cs="Arial"/>
        </w:rPr>
        <w:t xml:space="preserve"> government should shore up the revenue base needed to finance essential services and income support and action on climate change. </w:t>
      </w:r>
    </w:p>
    <w:p w14:paraId="2798826D" w14:textId="3B7748E3" w:rsidR="280C9BAE" w:rsidRDefault="294F0AC8" w:rsidP="294F0AC8">
      <w:pPr>
        <w:rPr>
          <w:rFonts w:eastAsia="Calibri" w:cs="Arial"/>
        </w:rPr>
      </w:pPr>
      <w:r w:rsidRPr="294F0AC8">
        <w:rPr>
          <w:rFonts w:eastAsia="Calibri" w:cs="Arial"/>
        </w:rPr>
        <w:t>The present budget settings are not fit for purpose. Historically low growth in public expenditure (falling over the next four years and rising by just 1.4% a year after the big tax cuts begin in 2024) is baked into the budget</w:t>
      </w:r>
      <w:r w:rsidR="2602F1D6" w:rsidRPr="2602F1D6">
        <w:rPr>
          <w:rFonts w:eastAsia="Verdana" w:cs="Verdana"/>
          <w:sz w:val="19"/>
          <w:szCs w:val="19"/>
        </w:rPr>
        <w:t xml:space="preserve"> (Figure 1)</w:t>
      </w:r>
      <w:r w:rsidRPr="294F0AC8">
        <w:rPr>
          <w:rFonts w:eastAsia="Calibri" w:cs="Arial"/>
        </w:rPr>
        <w:t>. Built on the back of harsh spending cuts before the pandemic, these curbs on expenditure on essential services and payments are not sustainable, as pressures on funding for disability and aged care services demonstrate.</w:t>
      </w:r>
    </w:p>
    <w:p w14:paraId="0678B42D" w14:textId="3B7748E3" w:rsidR="280C9BAE" w:rsidRDefault="294F0AC8" w:rsidP="294F0AC8">
      <w:pPr>
        <w:pStyle w:val="Heading3"/>
        <w:rPr>
          <w:rFonts w:asciiTheme="minorHAnsi" w:eastAsiaTheme="minorEastAsia" w:hAnsiTheme="minorHAnsi" w:cstheme="minorBidi"/>
          <w:bCs/>
          <w:color w:val="CE2028"/>
          <w:sz w:val="24"/>
        </w:rPr>
      </w:pPr>
      <w:bookmarkStart w:id="113" w:name="_Toc2040242591"/>
      <w:bookmarkStart w:id="114" w:name="_Toc1215938677"/>
      <w:bookmarkStart w:id="115" w:name="_Toc306887539"/>
      <w:bookmarkStart w:id="116" w:name="_Toc2126955422"/>
      <w:bookmarkStart w:id="117" w:name="_Toc1244925179"/>
      <w:bookmarkStart w:id="118" w:name="_Toc1906893915"/>
      <w:bookmarkStart w:id="119" w:name="_Toc1612463278"/>
      <w:bookmarkStart w:id="120" w:name="_Toc82574211"/>
      <w:r w:rsidRPr="294F0AC8">
        <w:rPr>
          <w:rFonts w:asciiTheme="minorHAnsi" w:eastAsiaTheme="minorEastAsia" w:hAnsiTheme="minorHAnsi" w:cstheme="minorBidi"/>
          <w:bCs/>
          <w:color w:val="CE2028"/>
          <w:sz w:val="24"/>
        </w:rPr>
        <w:t>Figure 1: Average annual growth in Commonwealth budget expenditures per person, after inflation</w:t>
      </w:r>
      <w:bookmarkEnd w:id="113"/>
      <w:bookmarkEnd w:id="114"/>
      <w:bookmarkEnd w:id="115"/>
      <w:bookmarkEnd w:id="116"/>
      <w:bookmarkEnd w:id="117"/>
      <w:bookmarkEnd w:id="118"/>
      <w:bookmarkEnd w:id="119"/>
      <w:bookmarkEnd w:id="120"/>
    </w:p>
    <w:p w14:paraId="59B47965" w14:textId="3B7748E3" w:rsidR="280C9BAE" w:rsidRDefault="280C9BAE" w:rsidP="294F0AC8">
      <w:pPr>
        <w:rPr>
          <w:rFonts w:eastAsia="Calibri" w:cs="Arial"/>
        </w:rPr>
      </w:pPr>
      <w:r>
        <w:rPr>
          <w:noProof/>
        </w:rPr>
        <w:drawing>
          <wp:inline distT="0" distB="0" distL="0" distR="0" wp14:anchorId="6168D039" wp14:editId="68602A49">
            <wp:extent cx="4572000" cy="2743200"/>
            <wp:effectExtent l="0" t="0" r="0" b="0"/>
            <wp:docPr id="603926854" name="Picture 603926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926854"/>
                    <pic:cNvPicPr/>
                  </pic:nvPicPr>
                  <pic:blipFill>
                    <a:blip r:embed="rId16">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7E5972AE" w14:textId="3B7748E3" w:rsidR="280C9BAE" w:rsidRDefault="294F0AC8" w:rsidP="294F0AC8">
      <w:pPr>
        <w:rPr>
          <w:rFonts w:eastAsia="Calibri" w:cs="Arial"/>
        </w:rPr>
      </w:pPr>
      <w:r w:rsidRPr="40F15BBA">
        <w:rPr>
          <w:rFonts w:ascii="Calibri" w:eastAsia="Calibri" w:hAnsi="Calibri" w:cs="Calibri"/>
        </w:rPr>
        <w:t xml:space="preserve">Source: Parliamentary Budget Office (2021), </w:t>
      </w:r>
      <w:hyperlink r:id="rId17">
        <w:r w:rsidRPr="40F15BBA">
          <w:rPr>
            <w:rStyle w:val="Hyperlink"/>
            <w:rFonts w:ascii="Calibri" w:eastAsia="Calibri" w:hAnsi="Calibri" w:cs="Calibri"/>
            <w:i/>
          </w:rPr>
          <w:t xml:space="preserve">Beyond the Budget - 2021-22: Fiscal outlook and scenarios, </w:t>
        </w:r>
        <w:r w:rsidRPr="40F15BBA">
          <w:rPr>
            <w:rStyle w:val="Hyperlink"/>
            <w:rFonts w:ascii="Calibri" w:eastAsia="Calibri" w:hAnsi="Calibri" w:cs="Calibri"/>
          </w:rPr>
          <w:t>Report No 2/2021.</w:t>
        </w:r>
      </w:hyperlink>
    </w:p>
    <w:p w14:paraId="6B2268BE" w14:textId="7B9F83FD" w:rsidR="280C9BAE" w:rsidRDefault="294F0AC8" w:rsidP="294F0AC8">
      <w:pPr>
        <w:rPr>
          <w:rFonts w:eastAsia="Calibri" w:cs="Arial"/>
        </w:rPr>
      </w:pPr>
      <w:r w:rsidRPr="294F0AC8">
        <w:rPr>
          <w:rFonts w:eastAsia="Calibri" w:cs="Arial"/>
        </w:rPr>
        <w:t>This is not the time for more income tax cuts, especially those scheduled for 2024</w:t>
      </w:r>
      <w:r w:rsidR="00BF457A">
        <w:rPr>
          <w:rFonts w:eastAsia="Calibri" w:cs="Arial"/>
        </w:rPr>
        <w:t>,</w:t>
      </w:r>
      <w:r w:rsidRPr="294F0AC8">
        <w:rPr>
          <w:rFonts w:eastAsia="Calibri" w:cs="Arial"/>
        </w:rPr>
        <w:t xml:space="preserve"> which cost over $16 billion a year and mainly go to men with high incomes. Instead of cutting taxes, the government should restructure them so that revenue is raised more fairly and efficiently. High priority should be given to reforms to taxes on investment incomes from property and shares, superannuation, the use of private companies and trusts to avoid tax, curbs on tax avoidance by multi-national companies, and the removal of business tax concessions that are economically and environmentally harmful such as fossil fuel subsidies.</w:t>
      </w:r>
    </w:p>
    <w:p w14:paraId="29178771" w14:textId="3B7748E3" w:rsidR="2602F1D6" w:rsidRDefault="2602F1D6">
      <w:r>
        <w:br w:type="page"/>
      </w:r>
    </w:p>
    <w:p w14:paraId="6524FDC7" w14:textId="3B7748E3" w:rsidR="280C9BAE" w:rsidRPr="00002866" w:rsidRDefault="294F0AC8" w:rsidP="001D1B51">
      <w:pPr>
        <w:pStyle w:val="Heading2"/>
        <w:rPr>
          <w:rFonts w:eastAsia="MS Gothic" w:cs="Times New Roman"/>
        </w:rPr>
      </w:pPr>
      <w:bookmarkStart w:id="121" w:name="_Toc1302379799"/>
      <w:bookmarkStart w:id="122" w:name="_Toc238510748"/>
      <w:bookmarkStart w:id="123" w:name="_Toc1279523027"/>
      <w:bookmarkStart w:id="124" w:name="_Toc257136600"/>
      <w:bookmarkStart w:id="125" w:name="_Toc1037220844"/>
      <w:bookmarkStart w:id="126" w:name="_Toc1604958805"/>
      <w:bookmarkStart w:id="127" w:name="_Toc574003855"/>
      <w:bookmarkStart w:id="128" w:name="_Toc528519334"/>
      <w:bookmarkStart w:id="129" w:name="_Toc1671884988"/>
      <w:bookmarkStart w:id="130" w:name="_Toc2064872096"/>
      <w:bookmarkStart w:id="131" w:name="_Toc10907247"/>
      <w:bookmarkStart w:id="132" w:name="_Toc90983342"/>
      <w:bookmarkStart w:id="133" w:name="_Toc90984606"/>
      <w:r w:rsidRPr="294F0AC8">
        <w:lastRenderedPageBreak/>
        <w:t>Major recommendations</w:t>
      </w:r>
      <w:bookmarkEnd w:id="121"/>
      <w:bookmarkEnd w:id="122"/>
      <w:bookmarkEnd w:id="123"/>
      <w:bookmarkEnd w:id="124"/>
      <w:bookmarkEnd w:id="125"/>
      <w:bookmarkEnd w:id="126"/>
      <w:bookmarkEnd w:id="127"/>
      <w:bookmarkEnd w:id="128"/>
      <w:bookmarkEnd w:id="129"/>
      <w:bookmarkEnd w:id="130"/>
      <w:bookmarkEnd w:id="131"/>
      <w:bookmarkEnd w:id="132"/>
      <w:bookmarkEnd w:id="133"/>
    </w:p>
    <w:p w14:paraId="5262C1AB" w14:textId="3B7748E3" w:rsidR="280C9BAE" w:rsidRDefault="294F0AC8" w:rsidP="294F0AC8">
      <w:pPr>
        <w:rPr>
          <w:rFonts w:eastAsia="Calibri" w:cs="Arial"/>
          <w:b/>
        </w:rPr>
      </w:pPr>
      <w:r w:rsidRPr="40F15BBA">
        <w:rPr>
          <w:rFonts w:eastAsia="Calibri" w:cs="Arial"/>
          <w:b/>
        </w:rPr>
        <w:t>Social security</w:t>
      </w:r>
    </w:p>
    <w:p w14:paraId="46748EDF" w14:textId="3774E0A2" w:rsidR="280C9BAE" w:rsidRDefault="294F0AC8" w:rsidP="294F0AC8">
      <w:pPr>
        <w:pStyle w:val="ListParagraph"/>
        <w:rPr>
          <w:rFonts w:eastAsia="Verdana" w:cs="Verdana"/>
        </w:rPr>
      </w:pPr>
      <w:r w:rsidRPr="294F0AC8">
        <w:rPr>
          <w:rFonts w:eastAsia="Verdana" w:cs="Verdana"/>
          <w:bCs w:val="0"/>
          <w:color w:val="201F1E"/>
        </w:rPr>
        <w:t>Establish a minimum income floor in our income support system by lifting all income support payments to at least $69 a day, which is the same level as the pension and pension supplement</w:t>
      </w:r>
      <w:r w:rsidR="00BF457A">
        <w:rPr>
          <w:rFonts w:eastAsia="Verdana" w:cs="Verdana"/>
          <w:bCs w:val="0"/>
          <w:color w:val="201F1E"/>
        </w:rPr>
        <w:t xml:space="preserve"> and indexing them to wages as well as prices</w:t>
      </w:r>
      <w:r w:rsidRPr="294F0AC8">
        <w:rPr>
          <w:rFonts w:eastAsia="Verdana" w:cs="Verdana"/>
          <w:bCs w:val="0"/>
          <w:color w:val="201F1E"/>
        </w:rPr>
        <w:t xml:space="preserve">. </w:t>
      </w:r>
    </w:p>
    <w:p w14:paraId="46601B6A" w14:textId="3B7748E3" w:rsidR="280C9BAE" w:rsidRDefault="294F0AC8" w:rsidP="294F0AC8">
      <w:pPr>
        <w:pStyle w:val="ListParagraph"/>
        <w:rPr>
          <w:rFonts w:eastAsia="Verdana" w:cs="Verdana"/>
        </w:rPr>
      </w:pPr>
      <w:r w:rsidRPr="294F0AC8">
        <w:rPr>
          <w:rFonts w:eastAsia="Verdana" w:cs="Verdana"/>
          <w:bCs w:val="0"/>
          <w:color w:val="201F1E"/>
        </w:rPr>
        <w:t xml:space="preserve">Ensure supplementary payments meet specific needs, including lifting Commonwealth Rent Assistance by 50%, providing a Disability and Illness Supplement of at least $50 a week as well as a Single Parent Supplement that </w:t>
      </w:r>
      <w:proofErr w:type="spellStart"/>
      <w:r w:rsidRPr="294F0AC8">
        <w:rPr>
          <w:rFonts w:eastAsia="Verdana" w:cs="Verdana"/>
          <w:bCs w:val="0"/>
          <w:color w:val="201F1E"/>
        </w:rPr>
        <w:t>recognises</w:t>
      </w:r>
      <w:proofErr w:type="spellEnd"/>
      <w:r w:rsidRPr="294F0AC8">
        <w:rPr>
          <w:rFonts w:eastAsia="Verdana" w:cs="Verdana"/>
          <w:bCs w:val="0"/>
          <w:color w:val="201F1E"/>
        </w:rPr>
        <w:t xml:space="preserve"> the costs of single parenthood. </w:t>
      </w:r>
    </w:p>
    <w:p w14:paraId="768B8506" w14:textId="0E8A4CF1" w:rsidR="280C9BAE" w:rsidRDefault="294F0AC8" w:rsidP="294F0AC8">
      <w:pPr>
        <w:pStyle w:val="ListParagraph"/>
        <w:rPr>
          <w:rFonts w:eastAsia="Verdana" w:cs="Verdana"/>
        </w:rPr>
      </w:pPr>
      <w:r w:rsidRPr="294F0AC8">
        <w:rPr>
          <w:rFonts w:eastAsia="Verdana" w:cs="Verdana"/>
          <w:bCs w:val="0"/>
          <w:color w:val="201F1E"/>
        </w:rPr>
        <w:t>Abolish mandatory cashless debit and income management and put in place an independent Social Security Commission to advise the parliament on income support payment settings ongoing.</w:t>
      </w:r>
    </w:p>
    <w:p w14:paraId="3B6CAC05" w14:textId="3B7748E3" w:rsidR="280C9BAE" w:rsidRDefault="280C9BAE" w:rsidP="294F0AC8">
      <w:pPr>
        <w:pStyle w:val="List3"/>
        <w:ind w:left="0" w:firstLine="0"/>
        <w:rPr>
          <w:rFonts w:eastAsia="Calibri" w:cs="Arial"/>
        </w:rPr>
      </w:pPr>
    </w:p>
    <w:p w14:paraId="29367C8E" w14:textId="3B7748E3" w:rsidR="280C9BAE" w:rsidRDefault="294F0AC8" w:rsidP="294F0AC8">
      <w:pPr>
        <w:pStyle w:val="List3"/>
        <w:ind w:left="0" w:firstLine="0"/>
        <w:rPr>
          <w:rFonts w:eastAsia="Calibri" w:cs="Arial"/>
        </w:rPr>
      </w:pPr>
      <w:r w:rsidRPr="40F15BBA">
        <w:rPr>
          <w:rFonts w:eastAsia="Calibri" w:cs="Arial"/>
          <w:b/>
        </w:rPr>
        <w:t>Employment</w:t>
      </w:r>
    </w:p>
    <w:p w14:paraId="6A88CF0D" w14:textId="3B7748E3" w:rsidR="280C9BAE" w:rsidRDefault="294F0AC8" w:rsidP="00DD3DC0">
      <w:pPr>
        <w:pStyle w:val="ListParagraph"/>
        <w:numPr>
          <w:ilvl w:val="0"/>
          <w:numId w:val="14"/>
        </w:numPr>
        <w:rPr>
          <w:rFonts w:asciiTheme="minorHAnsi" w:eastAsiaTheme="minorEastAsia" w:hAnsiTheme="minorHAnsi"/>
        </w:rPr>
      </w:pPr>
      <w:r>
        <w:t xml:space="preserve">Introduce a flexible Jobs and Training Guarantee for people unemployed long-term, comprising either </w:t>
      </w:r>
      <w:proofErr w:type="spellStart"/>
      <w:r>
        <w:t>subsidised</w:t>
      </w:r>
      <w:proofErr w:type="spellEnd"/>
      <w:r>
        <w:t xml:space="preserve"> temporary employment, substantial further education or training, or other help to connect them directly to suitable jobs. </w:t>
      </w:r>
    </w:p>
    <w:p w14:paraId="01B34B1E" w14:textId="3B7748E3" w:rsidR="280C9BAE" w:rsidRDefault="294F0AC8" w:rsidP="00DD3DC0">
      <w:pPr>
        <w:pStyle w:val="ListParagraph"/>
        <w:numPr>
          <w:ilvl w:val="0"/>
          <w:numId w:val="14"/>
        </w:numPr>
        <w:rPr>
          <w:rFonts w:asciiTheme="minorHAnsi" w:eastAsiaTheme="minorEastAsia" w:hAnsiTheme="minorHAnsi"/>
          <w:bCs w:val="0"/>
          <w:color w:val="auto"/>
        </w:rPr>
      </w:pPr>
      <w:r>
        <w:t>Ease harsh unemployment payment compliance arrangements, including automated payment suspensions, excessive activity requirements, and a lack of discretion for employment service providers and Services Australia to withhold penalties.</w:t>
      </w:r>
      <w:r w:rsidR="280C9BAE">
        <w:br/>
      </w:r>
      <w:r>
        <w:t xml:space="preserve"> </w:t>
      </w:r>
    </w:p>
    <w:p w14:paraId="1516B161" w14:textId="3B7748E3" w:rsidR="280C9BAE" w:rsidRDefault="294F0AC8" w:rsidP="294F0AC8">
      <w:pPr>
        <w:pStyle w:val="List3"/>
        <w:tabs>
          <w:tab w:val="left" w:pos="2149"/>
        </w:tabs>
        <w:ind w:left="0" w:firstLine="0"/>
        <w:rPr>
          <w:rFonts w:eastAsia="Calibri" w:cs="Arial"/>
          <w:b/>
        </w:rPr>
      </w:pPr>
      <w:r w:rsidRPr="40F15BBA">
        <w:rPr>
          <w:rFonts w:eastAsia="Calibri" w:cs="Arial"/>
          <w:b/>
        </w:rPr>
        <w:t>Climate action</w:t>
      </w:r>
    </w:p>
    <w:p w14:paraId="21F90FED" w14:textId="4A23794B" w:rsidR="280C9BAE" w:rsidRDefault="294F0AC8" w:rsidP="00DD3DC0">
      <w:pPr>
        <w:pStyle w:val="ListParagraph"/>
        <w:numPr>
          <w:ilvl w:val="0"/>
          <w:numId w:val="2"/>
        </w:numPr>
        <w:rPr>
          <w:rFonts w:eastAsia="Verdana" w:cs="Verdana"/>
          <w:b/>
        </w:rPr>
      </w:pPr>
      <w:r w:rsidRPr="2602F1D6">
        <w:rPr>
          <w:rFonts w:eastAsia="Verdana" w:cs="Verdana"/>
          <w:color w:val="auto"/>
        </w:rPr>
        <w:t>I</w:t>
      </w:r>
      <w:r w:rsidRPr="294F0AC8">
        <w:rPr>
          <w:rFonts w:eastAsia="Verdana" w:cs="Verdana"/>
          <w:bCs w:val="0"/>
          <w:color w:val="auto"/>
        </w:rPr>
        <w:t xml:space="preserve">nvest up to $5,000 </w:t>
      </w:r>
      <w:r w:rsidR="00DF5E14">
        <w:rPr>
          <w:rFonts w:eastAsia="Verdana" w:cs="Verdana"/>
          <w:bCs w:val="0"/>
          <w:color w:val="auto"/>
        </w:rPr>
        <w:t>in</w:t>
      </w:r>
      <w:r w:rsidRPr="294F0AC8">
        <w:rPr>
          <w:rFonts w:eastAsia="Verdana" w:cs="Verdana"/>
          <w:bCs w:val="0"/>
          <w:color w:val="auto"/>
        </w:rPr>
        <w:t xml:space="preserve"> energy efficiency improvements per dwelling </w:t>
      </w:r>
      <w:r w:rsidR="00DF5E14">
        <w:rPr>
          <w:rFonts w:eastAsia="Verdana" w:cs="Verdana"/>
          <w:bCs w:val="0"/>
          <w:color w:val="auto"/>
        </w:rPr>
        <w:t>for</w:t>
      </w:r>
      <w:r w:rsidRPr="294F0AC8">
        <w:rPr>
          <w:rFonts w:eastAsia="Verdana" w:cs="Verdana"/>
          <w:bCs w:val="0"/>
          <w:color w:val="auto"/>
        </w:rPr>
        <w:t xml:space="preserve"> 1.8 million low-income homes to cut emissions, energy bills, and create thousands of local jobs.</w:t>
      </w:r>
    </w:p>
    <w:p w14:paraId="2646AC28" w14:textId="3B7748E3" w:rsidR="280C9BAE" w:rsidRDefault="294F0AC8" w:rsidP="00DD3DC0">
      <w:pPr>
        <w:pStyle w:val="ListParagraph"/>
        <w:numPr>
          <w:ilvl w:val="0"/>
          <w:numId w:val="2"/>
        </w:numPr>
        <w:rPr>
          <w:b/>
        </w:rPr>
      </w:pPr>
      <w:r w:rsidRPr="294F0AC8">
        <w:rPr>
          <w:rFonts w:eastAsia="Verdana" w:cs="Verdana"/>
          <w:bCs w:val="0"/>
          <w:sz w:val="19"/>
          <w:szCs w:val="19"/>
        </w:rPr>
        <w:t>Establish a First Nations Communities Clean Energy Fund to invest in clean energy and energy efficiency for remote communities.</w:t>
      </w:r>
    </w:p>
    <w:p w14:paraId="28AA751E" w14:textId="3B7748E3" w:rsidR="280C9BAE" w:rsidRDefault="294F0AC8" w:rsidP="00DD3DC0">
      <w:pPr>
        <w:pStyle w:val="ListParagraph"/>
        <w:numPr>
          <w:ilvl w:val="0"/>
          <w:numId w:val="2"/>
        </w:numPr>
        <w:rPr>
          <w:rFonts w:asciiTheme="minorHAnsi" w:eastAsiaTheme="minorEastAsia" w:hAnsiTheme="minorHAnsi"/>
          <w:b/>
          <w:sz w:val="19"/>
          <w:szCs w:val="19"/>
        </w:rPr>
      </w:pPr>
      <w:r w:rsidRPr="294F0AC8">
        <w:rPr>
          <w:rFonts w:eastAsia="Verdana" w:cs="Verdana"/>
          <w:bCs w:val="0"/>
          <w:color w:val="auto"/>
        </w:rPr>
        <w:t>Provide up to $1,000 per household in emergency energy debt relief to reduce energy payment difficulties made worse by COVID.</w:t>
      </w:r>
      <w:r w:rsidRPr="294F0AC8">
        <w:rPr>
          <w:rFonts w:eastAsia="Verdana" w:cs="Verdana"/>
          <w:bCs w:val="0"/>
          <w:color w:val="CE2028"/>
          <w:sz w:val="19"/>
          <w:szCs w:val="19"/>
        </w:rPr>
        <w:t xml:space="preserve"> </w:t>
      </w:r>
    </w:p>
    <w:p w14:paraId="44EB3551" w14:textId="3B7748E3" w:rsidR="280C9BAE" w:rsidRDefault="294F0AC8" w:rsidP="00DD3DC0">
      <w:pPr>
        <w:pStyle w:val="ListParagraph"/>
        <w:numPr>
          <w:ilvl w:val="0"/>
          <w:numId w:val="2"/>
        </w:numPr>
        <w:rPr>
          <w:rFonts w:eastAsia="Verdana" w:cs="Verdana"/>
          <w:b/>
        </w:rPr>
      </w:pPr>
      <w:r w:rsidRPr="294F0AC8">
        <w:rPr>
          <w:rFonts w:eastAsia="Verdana" w:cs="Verdana"/>
          <w:bCs w:val="0"/>
          <w:color w:val="auto"/>
        </w:rPr>
        <w:t>Establish and adequately fund an Energy Transition Authority to provide a fair and inclusive transition for fossil fuel dependent workers and communities.</w:t>
      </w:r>
    </w:p>
    <w:p w14:paraId="1966DD95" w14:textId="3B7748E3" w:rsidR="280C9BAE" w:rsidRDefault="280C9BAE" w:rsidP="294F0AC8">
      <w:pPr>
        <w:rPr>
          <w:rFonts w:eastAsia="Calibri" w:cs="Arial"/>
        </w:rPr>
      </w:pPr>
    </w:p>
    <w:p w14:paraId="07BCB216" w14:textId="3B7748E3" w:rsidR="280C9BAE" w:rsidRDefault="294F0AC8" w:rsidP="294F0AC8">
      <w:pPr>
        <w:rPr>
          <w:rFonts w:eastAsia="Calibri" w:cs="Arial"/>
          <w:b/>
        </w:rPr>
      </w:pPr>
      <w:r w:rsidRPr="40F15BBA">
        <w:rPr>
          <w:rFonts w:eastAsia="Calibri" w:cs="Arial"/>
          <w:b/>
        </w:rPr>
        <w:t>Climate resilient communities</w:t>
      </w:r>
    </w:p>
    <w:p w14:paraId="0121AA1C" w14:textId="7A5E1A7A" w:rsidR="280C9BAE" w:rsidRDefault="294F0AC8" w:rsidP="00DD3DC0">
      <w:pPr>
        <w:pStyle w:val="ListParagraph"/>
        <w:numPr>
          <w:ilvl w:val="0"/>
          <w:numId w:val="10"/>
        </w:numPr>
        <w:rPr>
          <w:rFonts w:eastAsia="Verdana" w:cs="Verdana"/>
          <w:b/>
        </w:rPr>
      </w:pPr>
      <w:r w:rsidRPr="294F0AC8">
        <w:rPr>
          <w:rFonts w:eastAsia="Verdana" w:cs="Verdana"/>
          <w:bCs w:val="0"/>
        </w:rPr>
        <w:t>Empower Communities to build their resilience and manage recovery.</w:t>
      </w:r>
    </w:p>
    <w:p w14:paraId="11BC6247" w14:textId="67FF314D" w:rsidR="280C9BAE" w:rsidRDefault="294F0AC8" w:rsidP="00DD3DC0">
      <w:pPr>
        <w:pStyle w:val="ListParagraph"/>
        <w:numPr>
          <w:ilvl w:val="0"/>
          <w:numId w:val="10"/>
        </w:numPr>
        <w:rPr>
          <w:rFonts w:eastAsia="Verdana" w:cs="Verdana"/>
          <w:b/>
        </w:rPr>
      </w:pPr>
      <w:r w:rsidRPr="294F0AC8">
        <w:rPr>
          <w:rFonts w:eastAsia="Verdana" w:cs="Verdana"/>
          <w:bCs w:val="0"/>
        </w:rPr>
        <w:t>Provide affordable, accessible, and quality insurance.</w:t>
      </w:r>
    </w:p>
    <w:p w14:paraId="1F80E648" w14:textId="568AE776" w:rsidR="280C9BAE" w:rsidRDefault="294F0AC8" w:rsidP="00DD3DC0">
      <w:pPr>
        <w:pStyle w:val="ListParagraph"/>
        <w:numPr>
          <w:ilvl w:val="0"/>
          <w:numId w:val="10"/>
        </w:numPr>
        <w:rPr>
          <w:rFonts w:eastAsia="Verdana" w:cs="Verdana"/>
          <w:b/>
        </w:rPr>
      </w:pPr>
      <w:r w:rsidRPr="294F0AC8">
        <w:rPr>
          <w:rFonts w:eastAsia="Verdana" w:cs="Verdana"/>
          <w:bCs w:val="0"/>
        </w:rPr>
        <w:t>Better meet the needs of people and communities impacted by extreme weather events.</w:t>
      </w:r>
    </w:p>
    <w:p w14:paraId="053D1D6E" w14:textId="5097C65F" w:rsidR="280C9BAE" w:rsidRDefault="294F0AC8" w:rsidP="00DD3DC0">
      <w:pPr>
        <w:pStyle w:val="ListParagraph"/>
        <w:numPr>
          <w:ilvl w:val="0"/>
          <w:numId w:val="10"/>
        </w:numPr>
        <w:rPr>
          <w:rFonts w:eastAsia="Verdana" w:cs="Verdana"/>
          <w:b/>
        </w:rPr>
      </w:pPr>
      <w:r w:rsidRPr="294F0AC8">
        <w:rPr>
          <w:rFonts w:eastAsia="Verdana" w:cs="Verdana"/>
          <w:bCs w:val="0"/>
        </w:rPr>
        <w:t xml:space="preserve">Strengthen the resilience of community sector </w:t>
      </w:r>
      <w:proofErr w:type="spellStart"/>
      <w:r w:rsidRPr="294F0AC8">
        <w:rPr>
          <w:rFonts w:eastAsia="Verdana" w:cs="Verdana"/>
          <w:bCs w:val="0"/>
        </w:rPr>
        <w:t>organisations</w:t>
      </w:r>
      <w:proofErr w:type="spellEnd"/>
      <w:r w:rsidRPr="294F0AC8">
        <w:rPr>
          <w:rFonts w:eastAsia="Verdana" w:cs="Verdana"/>
          <w:bCs w:val="0"/>
        </w:rPr>
        <w:t xml:space="preserve"> to better support community resilience, response, and recovery to increasing extreme weather events.</w:t>
      </w:r>
    </w:p>
    <w:p w14:paraId="6C6A23AA" w14:textId="3682E00C" w:rsidR="280C9BAE" w:rsidRDefault="280C9BAE" w:rsidP="294F0AC8">
      <w:pPr>
        <w:pStyle w:val="List3"/>
        <w:rPr>
          <w:rFonts w:eastAsia="Calibri" w:cs="Arial"/>
          <w:szCs w:val="20"/>
        </w:rPr>
      </w:pPr>
    </w:p>
    <w:p w14:paraId="7EC623F2" w14:textId="29D44F91" w:rsidR="5E9AC2DD" w:rsidRDefault="5E9AC2DD">
      <w:r>
        <w:br w:type="page"/>
      </w:r>
    </w:p>
    <w:p w14:paraId="1498D177" w14:textId="2DBEC355" w:rsidR="280C9BAE" w:rsidRDefault="294F0AC8" w:rsidP="294F0AC8">
      <w:pPr>
        <w:pStyle w:val="List3"/>
        <w:ind w:left="0" w:firstLine="0"/>
        <w:rPr>
          <w:rFonts w:eastAsia="Calibri" w:cs="Arial"/>
          <w:b/>
          <w:bCs/>
          <w:szCs w:val="20"/>
        </w:rPr>
      </w:pPr>
      <w:r w:rsidRPr="294F0AC8">
        <w:rPr>
          <w:rFonts w:eastAsia="Calibri" w:cs="Arial"/>
          <w:b/>
          <w:bCs/>
          <w:szCs w:val="20"/>
        </w:rPr>
        <w:lastRenderedPageBreak/>
        <w:t>Housing</w:t>
      </w:r>
    </w:p>
    <w:p w14:paraId="720004D1" w14:textId="4F44D506" w:rsidR="280C9BAE" w:rsidRDefault="294F0AC8" w:rsidP="00DD3DC0">
      <w:pPr>
        <w:pStyle w:val="ListParagraph"/>
        <w:numPr>
          <w:ilvl w:val="0"/>
          <w:numId w:val="2"/>
        </w:numPr>
        <w:rPr>
          <w:rFonts w:eastAsia="Verdana" w:cs="Verdana"/>
          <w:b/>
        </w:rPr>
      </w:pPr>
      <w:r w:rsidRPr="294F0AC8">
        <w:rPr>
          <w:rFonts w:eastAsia="Verdana" w:cs="Verdana"/>
          <w:bCs w:val="0"/>
        </w:rPr>
        <w:t>A 20,000 dwelling, $7 billion social housing package should be rolled out over the next 3 years to reduce homelessness and kick-start housing constructions and growth in jobs and incomes.</w:t>
      </w:r>
    </w:p>
    <w:p w14:paraId="0B958826" w14:textId="4EAAE11C" w:rsidR="280C9BAE" w:rsidRDefault="294F0AC8" w:rsidP="00DD3DC0">
      <w:pPr>
        <w:pStyle w:val="ListParagraph"/>
        <w:numPr>
          <w:ilvl w:val="0"/>
          <w:numId w:val="2"/>
        </w:numPr>
        <w:rPr>
          <w:rFonts w:eastAsia="Verdana" w:cs="Verdana"/>
          <w:b/>
        </w:rPr>
      </w:pPr>
      <w:r w:rsidRPr="294F0AC8">
        <w:rPr>
          <w:rFonts w:eastAsia="Verdana" w:cs="Verdana"/>
          <w:bCs w:val="0"/>
        </w:rPr>
        <w:t>Maximum rates of Commonwealth Rent Assistance for private tenants with low incomes should be doubled to ease housing stress</w:t>
      </w:r>
      <w:r w:rsidR="002A67A0">
        <w:rPr>
          <w:rFonts w:eastAsia="Verdana" w:cs="Verdana"/>
          <w:bCs w:val="0"/>
        </w:rPr>
        <w:t xml:space="preserve"> (see above)</w:t>
      </w:r>
      <w:r w:rsidRPr="294F0AC8">
        <w:rPr>
          <w:rFonts w:eastAsia="Verdana" w:cs="Verdana"/>
          <w:bCs w:val="0"/>
        </w:rPr>
        <w:t>.</w:t>
      </w:r>
    </w:p>
    <w:p w14:paraId="49558334" w14:textId="14D3148A" w:rsidR="280C9BAE" w:rsidRDefault="294F0AC8" w:rsidP="00DD3DC0">
      <w:pPr>
        <w:pStyle w:val="ListParagraph"/>
        <w:numPr>
          <w:ilvl w:val="0"/>
          <w:numId w:val="2"/>
        </w:numPr>
        <w:rPr>
          <w:rFonts w:asciiTheme="minorHAnsi" w:eastAsiaTheme="minorEastAsia" w:hAnsiTheme="minorHAnsi"/>
          <w:bCs w:val="0"/>
        </w:rPr>
      </w:pPr>
      <w:r w:rsidRPr="294F0AC8">
        <w:rPr>
          <w:rFonts w:eastAsia="Verdana" w:cs="Verdana"/>
          <w:bCs w:val="0"/>
        </w:rPr>
        <w:t>A new affordable rental investment incentive scheme should be developed.</w:t>
      </w:r>
    </w:p>
    <w:p w14:paraId="435BC95F" w14:textId="14D3148A" w:rsidR="280C9BAE" w:rsidRDefault="280C9BAE" w:rsidP="294F0AC8">
      <w:pPr>
        <w:pStyle w:val="List3"/>
        <w:rPr>
          <w:rFonts w:eastAsia="Calibri" w:cs="Arial"/>
          <w:szCs w:val="20"/>
        </w:rPr>
      </w:pPr>
    </w:p>
    <w:p w14:paraId="146E5199" w14:textId="6DEA04BA" w:rsidR="280C9BAE" w:rsidRDefault="294F0AC8" w:rsidP="294F0AC8">
      <w:pPr>
        <w:pStyle w:val="List3"/>
        <w:tabs>
          <w:tab w:val="left" w:pos="2149"/>
        </w:tabs>
        <w:ind w:left="0" w:firstLine="0"/>
        <w:rPr>
          <w:rFonts w:eastAsia="Calibri" w:cs="Arial"/>
          <w:b/>
          <w:bCs/>
          <w:szCs w:val="20"/>
        </w:rPr>
      </w:pPr>
      <w:r w:rsidRPr="294F0AC8">
        <w:rPr>
          <w:rFonts w:eastAsia="Calibri" w:cs="Arial"/>
          <w:b/>
          <w:bCs/>
          <w:szCs w:val="20"/>
        </w:rPr>
        <w:t>Community services</w:t>
      </w:r>
    </w:p>
    <w:p w14:paraId="6A18845F" w14:textId="5BFAA7D3" w:rsidR="280C9BAE" w:rsidRDefault="294F0AC8" w:rsidP="294F0AC8">
      <w:pPr>
        <w:pStyle w:val="ListParagraph"/>
        <w:rPr>
          <w:rFonts w:eastAsia="Verdana" w:cs="Verdana"/>
          <w:b/>
        </w:rPr>
      </w:pPr>
      <w:r w:rsidRPr="294F0AC8">
        <w:rPr>
          <w:rFonts w:eastAsia="Verdana" w:cs="Verdana"/>
          <w:bCs w:val="0"/>
          <w:color w:val="201F1E"/>
        </w:rPr>
        <w:t>Create a Community Sector Continuity of Service Enabling Fund.</w:t>
      </w:r>
    </w:p>
    <w:p w14:paraId="35E97508" w14:textId="5DEB0A8C" w:rsidR="280C9BAE" w:rsidRDefault="294F0AC8" w:rsidP="294F0AC8">
      <w:pPr>
        <w:pStyle w:val="ListParagraph"/>
        <w:rPr>
          <w:b/>
        </w:rPr>
      </w:pPr>
      <w:r w:rsidRPr="294F0AC8">
        <w:rPr>
          <w:rFonts w:eastAsia="Verdana" w:cs="Verdana"/>
          <w:bCs w:val="0"/>
          <w:color w:val="201F1E"/>
        </w:rPr>
        <w:t>Improve access to preschool</w:t>
      </w:r>
      <w:r w:rsidR="002A67A0">
        <w:rPr>
          <w:rFonts w:eastAsia="Verdana" w:cs="Verdana"/>
          <w:bCs w:val="0"/>
          <w:color w:val="201F1E"/>
        </w:rPr>
        <w:t>.</w:t>
      </w:r>
    </w:p>
    <w:p w14:paraId="02C2280E" w14:textId="4EAD5A29" w:rsidR="280C9BAE" w:rsidRDefault="294F0AC8" w:rsidP="294F0AC8">
      <w:pPr>
        <w:pStyle w:val="ListParagraph"/>
        <w:rPr>
          <w:rFonts w:eastAsia="Verdana" w:cs="Verdana"/>
          <w:b/>
          <w:color w:val="201F1E"/>
        </w:rPr>
      </w:pPr>
      <w:r w:rsidRPr="294F0AC8">
        <w:rPr>
          <w:rFonts w:eastAsia="Verdana" w:cs="Verdana"/>
          <w:bCs w:val="0"/>
          <w:color w:val="201F1E"/>
        </w:rPr>
        <w:t>Improve the affordability of early childhood education and care.</w:t>
      </w:r>
    </w:p>
    <w:p w14:paraId="5A3F77FF" w14:textId="2AE9248E" w:rsidR="280C9BAE" w:rsidRDefault="280C9BAE" w:rsidP="294F0AC8">
      <w:pPr>
        <w:pStyle w:val="List3"/>
        <w:rPr>
          <w:rFonts w:eastAsia="Calibri" w:cs="Arial"/>
          <w:szCs w:val="20"/>
        </w:rPr>
      </w:pPr>
    </w:p>
    <w:p w14:paraId="31784A2D" w14:textId="4F73B0B1" w:rsidR="280C9BAE" w:rsidRDefault="294F0AC8" w:rsidP="294F0AC8">
      <w:pPr>
        <w:pStyle w:val="List3"/>
        <w:ind w:left="0" w:firstLine="0"/>
        <w:rPr>
          <w:rFonts w:eastAsia="Verdana" w:cs="Verdana"/>
          <w:b/>
          <w:bCs/>
          <w:color w:val="201F1E"/>
          <w:szCs w:val="20"/>
        </w:rPr>
      </w:pPr>
      <w:r w:rsidRPr="294F0AC8">
        <w:rPr>
          <w:rFonts w:eastAsia="Verdana" w:cs="Verdana"/>
          <w:b/>
          <w:bCs/>
          <w:color w:val="201F1E"/>
          <w:szCs w:val="20"/>
        </w:rPr>
        <w:t>Health</w:t>
      </w:r>
    </w:p>
    <w:p w14:paraId="50880537" w14:textId="544FB3DD" w:rsidR="280C9BAE" w:rsidRDefault="294F0AC8" w:rsidP="294F0AC8">
      <w:pPr>
        <w:pStyle w:val="ListParagraph"/>
        <w:rPr>
          <w:rFonts w:asciiTheme="minorHAnsi" w:eastAsiaTheme="minorEastAsia" w:hAnsiTheme="minorHAnsi"/>
        </w:rPr>
      </w:pPr>
      <w:r>
        <w:t>Lift investment in health promotion and prevention to 5% of total health expenditure by 2025 (well in advance of the current 2030 commitment).</w:t>
      </w:r>
    </w:p>
    <w:p w14:paraId="26B30510" w14:textId="42C5CE2A" w:rsidR="280C9BAE" w:rsidRDefault="294F0AC8" w:rsidP="294F0AC8">
      <w:pPr>
        <w:pStyle w:val="ListParagraph"/>
        <w:rPr>
          <w:rFonts w:asciiTheme="minorHAnsi" w:eastAsiaTheme="minorEastAsia" w:hAnsiTheme="minorHAnsi"/>
        </w:rPr>
      </w:pPr>
      <w:r>
        <w:t>Strengthen the oral health safety net through increased investment and a multi-year funding agreement.</w:t>
      </w:r>
    </w:p>
    <w:p w14:paraId="48C4A5D3" w14:textId="0B898879" w:rsidR="280C9BAE" w:rsidRDefault="294F0AC8" w:rsidP="294F0AC8">
      <w:pPr>
        <w:pStyle w:val="ListParagraph"/>
        <w:rPr>
          <w:rFonts w:asciiTheme="minorHAnsi" w:eastAsiaTheme="minorEastAsia" w:hAnsiTheme="minorHAnsi"/>
        </w:rPr>
      </w:pPr>
      <w:r>
        <w:t>Abolish poorly targeted, wasteful health programs, including the Private Health Insurance Rebate and the Extended Medicare Safety Net.</w:t>
      </w:r>
    </w:p>
    <w:p w14:paraId="21CE02D1" w14:textId="7ED45F6E" w:rsidR="280C9BAE" w:rsidRDefault="280C9BAE" w:rsidP="294F0AC8">
      <w:pPr>
        <w:spacing w:after="0" w:line="240" w:lineRule="auto"/>
        <w:rPr>
          <w:rFonts w:eastAsia="Calibri" w:cs="Arial"/>
          <w:szCs w:val="20"/>
        </w:rPr>
      </w:pPr>
    </w:p>
    <w:p w14:paraId="6E1D1ED7" w14:textId="6DDB5461" w:rsidR="280C9BAE" w:rsidRDefault="294F0AC8" w:rsidP="294F0AC8">
      <w:pPr>
        <w:rPr>
          <w:rFonts w:eastAsia="Calibri" w:cs="Arial"/>
          <w:b/>
          <w:bCs/>
          <w:szCs w:val="20"/>
        </w:rPr>
      </w:pPr>
      <w:r w:rsidRPr="294F0AC8">
        <w:rPr>
          <w:rFonts w:eastAsia="Calibri" w:cs="Arial"/>
          <w:b/>
          <w:bCs/>
          <w:szCs w:val="20"/>
        </w:rPr>
        <w:t>First Nations’ Communities</w:t>
      </w:r>
    </w:p>
    <w:p w14:paraId="5C0E7A3D" w14:textId="47557F27" w:rsidR="294F0AC8" w:rsidRDefault="294F0AC8" w:rsidP="00DD3DC0">
      <w:pPr>
        <w:pStyle w:val="ListParagraph"/>
        <w:numPr>
          <w:ilvl w:val="0"/>
          <w:numId w:val="45"/>
        </w:numPr>
        <w:rPr>
          <w:rFonts w:asciiTheme="minorHAnsi" w:eastAsiaTheme="minorEastAsia" w:hAnsiTheme="minorHAnsi"/>
        </w:rPr>
      </w:pPr>
      <w:r>
        <w:t>Implement Uluru Statement from the Heart, including by holding a referendum on a First Nations Voice to Parliament enshrined in the Constitution.</w:t>
      </w:r>
    </w:p>
    <w:p w14:paraId="0F91F1E0" w14:textId="4858A49D" w:rsidR="294F0AC8" w:rsidRDefault="294F0AC8" w:rsidP="00DD3DC0">
      <w:pPr>
        <w:pStyle w:val="ListParagraph"/>
        <w:numPr>
          <w:ilvl w:val="0"/>
          <w:numId w:val="45"/>
        </w:numPr>
        <w:rPr>
          <w:rFonts w:asciiTheme="minorHAnsi" w:eastAsiaTheme="minorEastAsia" w:hAnsiTheme="minorHAnsi"/>
        </w:rPr>
      </w:pPr>
      <w:r>
        <w:t>Abolish discriminatory social security policies including mandatory income management and cashless debit.</w:t>
      </w:r>
    </w:p>
    <w:p w14:paraId="31DA1485" w14:textId="4858A49D" w:rsidR="294F0AC8" w:rsidRPr="00065BF3" w:rsidRDefault="294F0AC8" w:rsidP="294F0AC8">
      <w:pPr>
        <w:pStyle w:val="List3"/>
        <w:rPr>
          <w:rFonts w:eastAsia="Calibri" w:cs="Arial"/>
          <w:sz w:val="2"/>
          <w:szCs w:val="2"/>
        </w:rPr>
      </w:pPr>
    </w:p>
    <w:p w14:paraId="6E131930" w14:textId="54E64618" w:rsidR="294F0AC8" w:rsidRDefault="294F0AC8" w:rsidP="294F0AC8">
      <w:pPr>
        <w:rPr>
          <w:rFonts w:eastAsia="Calibri" w:cs="Arial"/>
          <w:b/>
          <w:bCs/>
          <w:szCs w:val="20"/>
        </w:rPr>
      </w:pPr>
      <w:r w:rsidRPr="294F0AC8">
        <w:rPr>
          <w:rFonts w:eastAsia="Calibri" w:cs="Arial"/>
          <w:b/>
          <w:bCs/>
          <w:szCs w:val="20"/>
        </w:rPr>
        <w:t>Retirement Incomes</w:t>
      </w:r>
    </w:p>
    <w:p w14:paraId="3B1258C7" w14:textId="02C88731" w:rsidR="294F0AC8" w:rsidRDefault="294F0AC8" w:rsidP="00DD3DC0">
      <w:pPr>
        <w:pStyle w:val="ListNumber"/>
        <w:numPr>
          <w:ilvl w:val="0"/>
          <w:numId w:val="2"/>
        </w:numPr>
        <w:spacing w:after="0" w:line="240" w:lineRule="auto"/>
        <w:rPr>
          <w:rFonts w:asciiTheme="minorEastAsia" w:eastAsiaTheme="minorEastAsia" w:hAnsiTheme="minorEastAsia" w:cstheme="minorEastAsia"/>
          <w:color w:val="auto"/>
          <w:szCs w:val="20"/>
        </w:rPr>
      </w:pPr>
      <w:r w:rsidRPr="294F0AC8">
        <w:rPr>
          <w:rFonts w:eastAsiaTheme="minorEastAsia"/>
          <w:color w:val="auto"/>
          <w:szCs w:val="20"/>
        </w:rPr>
        <w:t>Replace tax concessions for superannuation contributions with a fairer and simpler annual rebate</w:t>
      </w:r>
    </w:p>
    <w:p w14:paraId="1E3FBF39" w14:textId="0E8E973B" w:rsidR="294F0AC8" w:rsidRDefault="294F0AC8" w:rsidP="00DD3DC0">
      <w:pPr>
        <w:pStyle w:val="List3"/>
        <w:numPr>
          <w:ilvl w:val="0"/>
          <w:numId w:val="2"/>
        </w:numPr>
        <w:spacing w:after="0" w:line="240" w:lineRule="auto"/>
        <w:rPr>
          <w:rFonts w:asciiTheme="minorEastAsia" w:eastAsiaTheme="minorEastAsia" w:hAnsiTheme="minorEastAsia" w:cstheme="minorEastAsia"/>
          <w:b/>
          <w:bCs/>
        </w:rPr>
      </w:pPr>
      <w:r w:rsidRPr="294F0AC8">
        <w:rPr>
          <w:rFonts w:eastAsiaTheme="minorEastAsia"/>
          <w:color w:val="auto"/>
        </w:rPr>
        <w:t xml:space="preserve">A 15% levy on superannuation fund earnings after retirement to guarantee universal access to quality aged care services </w:t>
      </w:r>
    </w:p>
    <w:p w14:paraId="1C2B793E" w14:textId="76BD6897" w:rsidR="294F0AC8" w:rsidRDefault="294F0AC8" w:rsidP="00DD3DC0">
      <w:pPr>
        <w:pStyle w:val="List3"/>
        <w:numPr>
          <w:ilvl w:val="0"/>
          <w:numId w:val="2"/>
        </w:numPr>
        <w:rPr>
          <w:b/>
          <w:bCs/>
        </w:rPr>
      </w:pPr>
      <w:r w:rsidRPr="294F0AC8">
        <w:rPr>
          <w:rFonts w:eastAsiaTheme="minorEastAsia"/>
          <w:color w:val="auto"/>
        </w:rPr>
        <w:t>Prevent avoidance of the Medicare Levy to strengthen funding for health services.</w:t>
      </w:r>
    </w:p>
    <w:p w14:paraId="74FAF7B1" w14:textId="4BD8921C" w:rsidR="294F0AC8" w:rsidRDefault="294F0AC8" w:rsidP="294F0AC8">
      <w:pPr>
        <w:rPr>
          <w:rFonts w:eastAsia="Calibri" w:cs="Arial"/>
          <w:szCs w:val="20"/>
        </w:rPr>
      </w:pPr>
      <w:r w:rsidRPr="294F0AC8">
        <w:rPr>
          <w:rFonts w:eastAsia="Calibri" w:cs="Arial"/>
          <w:b/>
          <w:bCs/>
          <w:szCs w:val="20"/>
        </w:rPr>
        <w:t>Tax</w:t>
      </w:r>
    </w:p>
    <w:p w14:paraId="589D8D4D" w14:textId="4CDD5FF8" w:rsidR="294F0AC8" w:rsidRDefault="294F0AC8" w:rsidP="00DD3DC0">
      <w:pPr>
        <w:pStyle w:val="ListParagraph"/>
        <w:numPr>
          <w:ilvl w:val="0"/>
          <w:numId w:val="15"/>
        </w:numPr>
        <w:spacing w:after="160" w:line="259" w:lineRule="auto"/>
        <w:rPr>
          <w:rFonts w:asciiTheme="minorHAnsi" w:eastAsiaTheme="minorEastAsia" w:hAnsiTheme="minorHAnsi"/>
          <w:b/>
        </w:rPr>
      </w:pPr>
      <w:r>
        <w:rPr>
          <w:bCs w:val="0"/>
        </w:rPr>
        <w:t>Do not proceed with scheduled 2024-25 income tax cuts.</w:t>
      </w:r>
    </w:p>
    <w:p w14:paraId="246C192C" w14:textId="37F7245A" w:rsidR="294F0AC8" w:rsidRDefault="294F0AC8" w:rsidP="00DD3DC0">
      <w:pPr>
        <w:pStyle w:val="ListParagraph"/>
        <w:numPr>
          <w:ilvl w:val="0"/>
          <w:numId w:val="15"/>
        </w:numPr>
        <w:rPr>
          <w:rFonts w:asciiTheme="minorHAnsi" w:eastAsiaTheme="minorEastAsia" w:hAnsiTheme="minorHAnsi"/>
          <w:b/>
        </w:rPr>
      </w:pPr>
      <w:r>
        <w:rPr>
          <w:bCs w:val="0"/>
        </w:rPr>
        <w:t xml:space="preserve">Reduce the general Capital Gains Tax discount for individuals and trusts by </w:t>
      </w:r>
      <w:r w:rsidR="00483AC5">
        <w:rPr>
          <w:bCs w:val="0"/>
        </w:rPr>
        <w:t>half and</w:t>
      </w:r>
      <w:r>
        <w:rPr>
          <w:bCs w:val="0"/>
        </w:rPr>
        <w:t xml:space="preserve"> restrict deductions for personal investment expenses (negative gearing).</w:t>
      </w:r>
    </w:p>
    <w:p w14:paraId="06B14AD8" w14:textId="77777777" w:rsidR="00F43827" w:rsidRPr="00F43827" w:rsidRDefault="294F0AC8" w:rsidP="00DD3DC0">
      <w:pPr>
        <w:pStyle w:val="ListParagraph"/>
        <w:numPr>
          <w:ilvl w:val="0"/>
          <w:numId w:val="15"/>
        </w:numPr>
        <w:rPr>
          <w:rFonts w:asciiTheme="minorHAnsi" w:eastAsiaTheme="minorEastAsia" w:hAnsiTheme="minorHAnsi"/>
          <w:b/>
        </w:rPr>
      </w:pPr>
      <w:r>
        <w:rPr>
          <w:bCs w:val="0"/>
        </w:rPr>
        <w:t xml:space="preserve">Abolish fuel tax credits for off-road use, except for agriculture. </w:t>
      </w:r>
    </w:p>
    <w:p w14:paraId="2EFCD0E5" w14:textId="77777777" w:rsidR="004155E9" w:rsidRPr="004155E9" w:rsidRDefault="00F43827" w:rsidP="00DD3DC0">
      <w:pPr>
        <w:pStyle w:val="ListParagraph"/>
        <w:numPr>
          <w:ilvl w:val="0"/>
          <w:numId w:val="15"/>
        </w:numPr>
        <w:rPr>
          <w:rFonts w:asciiTheme="minorHAnsi" w:eastAsiaTheme="minorEastAsia" w:hAnsiTheme="minorHAnsi"/>
          <w:b/>
        </w:rPr>
      </w:pPr>
      <w:r>
        <w:rPr>
          <w:bCs w:val="0"/>
        </w:rPr>
        <w:t xml:space="preserve">Introduce a sugar tax on sweetened drinks and </w:t>
      </w:r>
      <w:r>
        <w:t>t</w:t>
      </w:r>
      <w:r w:rsidRPr="003767B4">
        <w:t xml:space="preserve">ax drinks consistently </w:t>
      </w:r>
      <w:proofErr w:type="gramStart"/>
      <w:r w:rsidRPr="003767B4">
        <w:t>on the basis of</w:t>
      </w:r>
      <w:proofErr w:type="gramEnd"/>
      <w:r w:rsidRPr="003767B4">
        <w:t xml:space="preserve"> alcohol content</w:t>
      </w:r>
      <w:r>
        <w:rPr>
          <w:bCs w:val="0"/>
        </w:rPr>
        <w:t>.</w:t>
      </w:r>
    </w:p>
    <w:p w14:paraId="4DD5D75B" w14:textId="77777777" w:rsidR="004155E9" w:rsidRDefault="004155E9" w:rsidP="004155E9"/>
    <w:p w14:paraId="2CB70006" w14:textId="337C1653" w:rsidR="294F0AC8" w:rsidRPr="004155E9" w:rsidRDefault="004155E9" w:rsidP="004155E9">
      <w:pPr>
        <w:rPr>
          <w:rFonts w:asciiTheme="minorHAnsi" w:eastAsiaTheme="minorEastAsia" w:hAnsiTheme="minorHAnsi"/>
          <w:b/>
        </w:rPr>
      </w:pPr>
      <w:r>
        <w:t xml:space="preserve">These recommendations should be read in conjunction with the additional COVID-response recommendations outlined in ACOSS’ letters to National Cabinet dated </w:t>
      </w:r>
      <w:hyperlink r:id="rId18" w:history="1">
        <w:r w:rsidRPr="004155E9">
          <w:rPr>
            <w:rStyle w:val="Hyperlink"/>
          </w:rPr>
          <w:t>12</w:t>
        </w:r>
      </w:hyperlink>
      <w:r>
        <w:t xml:space="preserve"> and </w:t>
      </w:r>
      <w:hyperlink r:id="rId19" w:history="1">
        <w:r w:rsidRPr="004155E9">
          <w:rPr>
            <w:rStyle w:val="Hyperlink"/>
          </w:rPr>
          <w:t>27</w:t>
        </w:r>
      </w:hyperlink>
      <w:r>
        <w:t xml:space="preserve"> January.</w:t>
      </w:r>
      <w:r>
        <w:rPr>
          <w:rStyle w:val="FootnoteReference"/>
        </w:rPr>
        <w:footnoteReference w:id="2"/>
      </w:r>
      <w:r>
        <w:t xml:space="preserve"> </w:t>
      </w:r>
    </w:p>
    <w:p w14:paraId="5D3CA5C0" w14:textId="31B2C881" w:rsidR="1F64CA26" w:rsidRDefault="294F0AC8" w:rsidP="001D1B51">
      <w:pPr>
        <w:pStyle w:val="Heading2"/>
        <w:rPr>
          <w:rFonts w:eastAsia="MS Gothic" w:cs="Times New Roman"/>
        </w:rPr>
      </w:pPr>
      <w:bookmarkStart w:id="134" w:name="_Toc1481562340"/>
      <w:bookmarkStart w:id="135" w:name="_Toc504524927"/>
      <w:bookmarkStart w:id="136" w:name="_Toc3698513"/>
      <w:bookmarkStart w:id="137" w:name="_Toc1479301138"/>
      <w:bookmarkStart w:id="138" w:name="_Toc486093075"/>
      <w:bookmarkStart w:id="139" w:name="_Toc1766997507"/>
      <w:bookmarkStart w:id="140" w:name="_Toc1115879366"/>
      <w:bookmarkStart w:id="141" w:name="_Toc1773958753"/>
      <w:bookmarkStart w:id="142" w:name="_Toc2094413774"/>
      <w:bookmarkStart w:id="143" w:name="_Toc1298234030"/>
      <w:bookmarkStart w:id="144" w:name="_Toc2053132904"/>
      <w:bookmarkStart w:id="145" w:name="_Toc90983343"/>
      <w:bookmarkStart w:id="146" w:name="_Toc90984607"/>
      <w:r w:rsidRPr="40F15BBA">
        <w:lastRenderedPageBreak/>
        <w:t>A note on costings</w:t>
      </w:r>
      <w:bookmarkEnd w:id="134"/>
      <w:bookmarkEnd w:id="135"/>
      <w:bookmarkEnd w:id="136"/>
      <w:bookmarkEnd w:id="137"/>
      <w:bookmarkEnd w:id="138"/>
      <w:bookmarkEnd w:id="139"/>
      <w:bookmarkEnd w:id="140"/>
      <w:bookmarkEnd w:id="141"/>
      <w:bookmarkEnd w:id="142"/>
      <w:bookmarkEnd w:id="143"/>
      <w:bookmarkEnd w:id="144"/>
      <w:bookmarkEnd w:id="145"/>
      <w:bookmarkEnd w:id="146"/>
    </w:p>
    <w:p w14:paraId="187CF960" w14:textId="17D0B965" w:rsidR="00473298" w:rsidRDefault="294F0AC8" w:rsidP="294F0AC8">
      <w:r>
        <w:t>Where possible, the budget impact of a proposed recommendation has been estimated. Where the budget impact is ‘Not Available’, either there are insufficient data available to estimate the costs or the costs will be variable depending on need in any given year, for example in case of natural disasters.</w:t>
      </w:r>
    </w:p>
    <w:p w14:paraId="286C347B" w14:textId="4A66DC26" w:rsidR="294F0AC8" w:rsidRDefault="294F0AC8">
      <w:r>
        <w:t xml:space="preserve">Fiscal costs are expressed as negative values and </w:t>
      </w:r>
      <w:r w:rsidR="00483AC5">
        <w:t>savings,</w:t>
      </w:r>
      <w:r>
        <w:t xml:space="preserve"> or revenue increases as positive values. Negative figures are expenditure increases; positive figures in italics are savings measures. Estimates are rounded up or down to nearest whole number, and to nearest $10 million where impact is over $100 million, and the nearest $100 million where impact is over $1,000 million.</w:t>
      </w:r>
      <w:r>
        <w:br w:type="page"/>
      </w:r>
    </w:p>
    <w:p w14:paraId="432758FE" w14:textId="5F1A8F81" w:rsidR="0068094C" w:rsidRDefault="294F0AC8" w:rsidP="294F0AC8">
      <w:pPr>
        <w:pStyle w:val="Heading1"/>
        <w:numPr>
          <w:ilvl w:val="0"/>
          <w:numId w:val="0"/>
        </w:numPr>
        <w:rPr>
          <w:rFonts w:eastAsia="MS Gothic" w:cs="Times New Roman"/>
        </w:rPr>
      </w:pPr>
      <w:bookmarkStart w:id="147" w:name="_Toc864705976"/>
      <w:bookmarkStart w:id="148" w:name="_Toc1060609108"/>
      <w:bookmarkStart w:id="149" w:name="_Toc1754286262"/>
      <w:bookmarkStart w:id="150" w:name="_Toc591930933"/>
      <w:bookmarkStart w:id="151" w:name="_Toc511134549"/>
      <w:bookmarkStart w:id="152" w:name="_Toc610010779"/>
      <w:bookmarkStart w:id="153" w:name="_Toc1811293257"/>
      <w:bookmarkStart w:id="154" w:name="_Toc1747164785"/>
      <w:bookmarkStart w:id="155" w:name="_Toc1527131825"/>
      <w:bookmarkStart w:id="156" w:name="_Toc326046562"/>
      <w:bookmarkStart w:id="157" w:name="_Toc954455828"/>
      <w:bookmarkStart w:id="158" w:name="_Toc90983313"/>
      <w:bookmarkStart w:id="159" w:name="_Toc90983344"/>
      <w:bookmarkStart w:id="160" w:name="_Toc90984608"/>
      <w:r>
        <w:lastRenderedPageBreak/>
        <w:t>1. A permanent boost to the lowest incomes</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25BFD7BC" w14:textId="748420FA" w:rsidR="17E90595" w:rsidRDefault="280C9BAE" w:rsidP="2602F1D6">
      <w:pPr>
        <w:rPr>
          <w:rFonts w:eastAsia="Verdana" w:cs="Verdana"/>
          <w:color w:val="201F1E"/>
        </w:rPr>
      </w:pPr>
      <w:r w:rsidRPr="2602F1D6">
        <w:rPr>
          <w:rFonts w:eastAsia="Verdana" w:cs="Verdana"/>
          <w:color w:val="201F1E"/>
        </w:rPr>
        <w:t>In 2020, Australia saw what can be achieved if income support payments are set at a level above</w:t>
      </w:r>
      <w:r w:rsidR="5ABE344E" w:rsidRPr="2602F1D6">
        <w:rPr>
          <w:rFonts w:eastAsia="Verdana" w:cs="Verdana"/>
          <w:color w:val="201F1E"/>
        </w:rPr>
        <w:t xml:space="preserve"> the </w:t>
      </w:r>
      <w:r w:rsidRPr="2602F1D6">
        <w:rPr>
          <w:rFonts w:eastAsia="Verdana" w:cs="Verdana"/>
          <w:color w:val="201F1E"/>
        </w:rPr>
        <w:t xml:space="preserve">poverty line. People receiving these payments were able to eat three meals a day, keep a roof over their head and buy warm clothes for winter. In 2021, despite the ongoing economic crises caused by the </w:t>
      </w:r>
      <w:r w:rsidR="5ABE344E" w:rsidRPr="2602F1D6">
        <w:rPr>
          <w:rFonts w:eastAsia="Verdana" w:cs="Verdana"/>
          <w:color w:val="201F1E"/>
        </w:rPr>
        <w:t>pandemic</w:t>
      </w:r>
      <w:r w:rsidRPr="2602F1D6">
        <w:rPr>
          <w:rFonts w:eastAsia="Verdana" w:cs="Verdana"/>
          <w:color w:val="201F1E"/>
        </w:rPr>
        <w:t xml:space="preserve">, the Federal Government returned </w:t>
      </w:r>
      <w:proofErr w:type="spellStart"/>
      <w:r w:rsidRPr="2602F1D6">
        <w:rPr>
          <w:rFonts w:eastAsia="Verdana" w:cs="Verdana"/>
          <w:color w:val="201F1E"/>
        </w:rPr>
        <w:t>JobSeeker</w:t>
      </w:r>
      <w:proofErr w:type="spellEnd"/>
      <w:r w:rsidRPr="2602F1D6">
        <w:rPr>
          <w:rFonts w:eastAsia="Verdana" w:cs="Verdana"/>
          <w:color w:val="201F1E"/>
        </w:rPr>
        <w:t xml:space="preserve"> and related income supports almost back to what they were pre-pandemic, at $45 a day. As such</w:t>
      </w:r>
      <w:r w:rsidR="5ABE344E" w:rsidRPr="2602F1D6">
        <w:rPr>
          <w:rFonts w:eastAsia="Verdana" w:cs="Verdana"/>
          <w:color w:val="201F1E"/>
        </w:rPr>
        <w:t xml:space="preserve">, Australia continues to inadequately support people on the lowest incomes by keeping unemployment, </w:t>
      </w:r>
      <w:r w:rsidR="00483AC5" w:rsidRPr="2602F1D6">
        <w:rPr>
          <w:rFonts w:eastAsia="Verdana" w:cs="Verdana"/>
          <w:color w:val="201F1E"/>
        </w:rPr>
        <w:t>student,</w:t>
      </w:r>
      <w:r w:rsidR="5ABE344E" w:rsidRPr="2602F1D6">
        <w:rPr>
          <w:rFonts w:eastAsia="Verdana" w:cs="Verdana"/>
          <w:color w:val="201F1E"/>
        </w:rPr>
        <w:t xml:space="preserve"> and family payments at poverty levels. </w:t>
      </w:r>
      <w:r w:rsidRPr="2602F1D6">
        <w:rPr>
          <w:rFonts w:eastAsia="Verdana" w:cs="Verdana"/>
          <w:color w:val="201F1E"/>
        </w:rPr>
        <w:t>The</w:t>
      </w:r>
      <w:r w:rsidR="5ABE344E" w:rsidRPr="2602F1D6">
        <w:rPr>
          <w:rFonts w:eastAsia="Verdana" w:cs="Verdana"/>
          <w:color w:val="201F1E"/>
        </w:rPr>
        <w:t xml:space="preserve"> $25 per week </w:t>
      </w:r>
      <w:r w:rsidRPr="2602F1D6">
        <w:rPr>
          <w:rFonts w:eastAsia="Verdana" w:cs="Verdana"/>
          <w:color w:val="201F1E"/>
        </w:rPr>
        <w:t xml:space="preserve">increase delivered </w:t>
      </w:r>
      <w:r w:rsidR="5ABE344E" w:rsidRPr="2602F1D6">
        <w:rPr>
          <w:rFonts w:eastAsia="Verdana" w:cs="Verdana"/>
          <w:color w:val="201F1E"/>
        </w:rPr>
        <w:t>in April 2021</w:t>
      </w:r>
      <w:r w:rsidRPr="2602F1D6">
        <w:rPr>
          <w:rFonts w:eastAsia="Verdana" w:cs="Verdana"/>
          <w:color w:val="201F1E"/>
        </w:rPr>
        <w:t xml:space="preserve"> </w:t>
      </w:r>
      <w:r w:rsidR="5ABE344E" w:rsidRPr="2602F1D6">
        <w:rPr>
          <w:rFonts w:eastAsia="Verdana" w:cs="Verdana"/>
          <w:color w:val="201F1E"/>
        </w:rPr>
        <w:t xml:space="preserve">barely scratched the surface of the minimum required to ensure </w:t>
      </w:r>
      <w:r w:rsidRPr="2602F1D6">
        <w:rPr>
          <w:rFonts w:eastAsia="Verdana" w:cs="Verdana"/>
          <w:color w:val="201F1E"/>
        </w:rPr>
        <w:t>the now 1.67 million people receiving these payments</w:t>
      </w:r>
      <w:r w:rsidR="5ABE344E" w:rsidRPr="2602F1D6">
        <w:rPr>
          <w:rFonts w:eastAsia="Verdana" w:cs="Verdana"/>
          <w:color w:val="201F1E"/>
        </w:rPr>
        <w:t xml:space="preserve"> can cover basic costs. </w:t>
      </w:r>
    </w:p>
    <w:p w14:paraId="0141932B" w14:textId="4F433104" w:rsidR="17E90595" w:rsidRDefault="2602F1D6" w:rsidP="79A6475B">
      <w:pPr>
        <w:rPr>
          <w:rFonts w:eastAsia="Verdana" w:cs="Verdana"/>
          <w:color w:val="201F1E"/>
        </w:rPr>
      </w:pPr>
      <w:r w:rsidRPr="2602F1D6">
        <w:rPr>
          <w:rFonts w:eastAsia="Verdana" w:cs="Verdana"/>
          <w:color w:val="201F1E"/>
        </w:rPr>
        <w:t>Rent payments</w:t>
      </w:r>
      <w:r w:rsidR="5ABE344E" w:rsidRPr="2602F1D6">
        <w:rPr>
          <w:rFonts w:eastAsia="Verdana" w:cs="Verdana"/>
          <w:color w:val="201F1E"/>
        </w:rPr>
        <w:t xml:space="preserve"> are impossible to </w:t>
      </w:r>
      <w:r w:rsidR="5205E3C5" w:rsidRPr="2602F1D6">
        <w:rPr>
          <w:rFonts w:eastAsia="Verdana" w:cs="Verdana"/>
          <w:color w:val="201F1E"/>
        </w:rPr>
        <w:t>meet</w:t>
      </w:r>
      <w:r w:rsidR="5ABE344E" w:rsidRPr="2602F1D6">
        <w:rPr>
          <w:rFonts w:eastAsia="Verdana" w:cs="Verdana"/>
          <w:color w:val="201F1E"/>
        </w:rPr>
        <w:t xml:space="preserve"> on </w:t>
      </w:r>
      <w:proofErr w:type="spellStart"/>
      <w:r w:rsidR="5ABE344E" w:rsidRPr="2602F1D6">
        <w:rPr>
          <w:rFonts w:eastAsia="Verdana" w:cs="Verdana"/>
          <w:color w:val="201F1E"/>
        </w:rPr>
        <w:t>JobSeeker</w:t>
      </w:r>
      <w:proofErr w:type="spellEnd"/>
      <w:r w:rsidR="5ABE344E" w:rsidRPr="2602F1D6">
        <w:rPr>
          <w:rFonts w:eastAsia="Verdana" w:cs="Verdana"/>
          <w:color w:val="201F1E"/>
        </w:rPr>
        <w:t xml:space="preserve"> and Rent Assistance</w:t>
      </w:r>
      <w:r w:rsidR="280C9BAE" w:rsidRPr="2602F1D6">
        <w:rPr>
          <w:rFonts w:eastAsia="Verdana" w:cs="Verdana"/>
          <w:color w:val="201F1E"/>
        </w:rPr>
        <w:t xml:space="preserve">, </w:t>
      </w:r>
      <w:r w:rsidR="5ABE344E" w:rsidRPr="2602F1D6">
        <w:rPr>
          <w:rFonts w:eastAsia="Verdana" w:cs="Verdana"/>
          <w:color w:val="201F1E"/>
        </w:rPr>
        <w:t>the maximum of which totals $390 per week</w:t>
      </w:r>
      <w:r w:rsidR="71F0A487" w:rsidRPr="2602F1D6">
        <w:rPr>
          <w:rFonts w:eastAsia="Verdana" w:cs="Verdana"/>
          <w:color w:val="201F1E"/>
        </w:rPr>
        <w:t xml:space="preserve"> for a single person</w:t>
      </w:r>
      <w:r w:rsidR="280C9BAE" w:rsidRPr="2602F1D6">
        <w:rPr>
          <w:rFonts w:eastAsia="Verdana" w:cs="Verdana"/>
          <w:color w:val="201F1E"/>
        </w:rPr>
        <w:t>. People</w:t>
      </w:r>
      <w:r w:rsidR="5ABE344E" w:rsidRPr="2602F1D6">
        <w:rPr>
          <w:rFonts w:eastAsia="Verdana" w:cs="Verdana"/>
          <w:color w:val="201F1E"/>
        </w:rPr>
        <w:t xml:space="preserve"> skip meals, including single parents </w:t>
      </w:r>
      <w:r w:rsidR="280C9BAE" w:rsidRPr="2602F1D6">
        <w:rPr>
          <w:rFonts w:eastAsia="Verdana" w:cs="Verdana"/>
          <w:color w:val="201F1E"/>
        </w:rPr>
        <w:t xml:space="preserve">determined </w:t>
      </w:r>
      <w:r w:rsidR="5ABE344E" w:rsidRPr="2602F1D6">
        <w:rPr>
          <w:rFonts w:eastAsia="Verdana" w:cs="Verdana"/>
          <w:color w:val="201F1E"/>
        </w:rPr>
        <w:t xml:space="preserve">to ensure their children can eat. The level of utility bill debt is on the rise, in part because it is not possible to cover </w:t>
      </w:r>
      <w:r w:rsidR="72B3712C" w:rsidRPr="2602F1D6">
        <w:rPr>
          <w:rFonts w:eastAsia="Verdana" w:cs="Verdana"/>
          <w:color w:val="201F1E"/>
        </w:rPr>
        <w:t>utilities and everything else</w:t>
      </w:r>
      <w:r w:rsidR="5ABE344E" w:rsidRPr="2602F1D6">
        <w:rPr>
          <w:rFonts w:eastAsia="Verdana" w:cs="Verdana"/>
          <w:color w:val="201F1E"/>
        </w:rPr>
        <w:t xml:space="preserve"> on income support payments. People lose their homes and end up sleeping in their car because they just don't have enough money.</w:t>
      </w:r>
      <w:r w:rsidR="0FAB8C49" w:rsidRPr="2602F1D6">
        <w:rPr>
          <w:rFonts w:eastAsia="Verdana" w:cs="Verdana"/>
          <w:color w:val="201F1E"/>
        </w:rPr>
        <w:t xml:space="preserve"> In a wealthy country like Australia, we can and must do better. At a bare minimum, everyone should have enough money, whatever their </w:t>
      </w:r>
      <w:r w:rsidR="02F3C8F9" w:rsidRPr="2602F1D6">
        <w:rPr>
          <w:rFonts w:eastAsia="Verdana" w:cs="Verdana"/>
          <w:color w:val="201F1E"/>
        </w:rPr>
        <w:t>circumstances</w:t>
      </w:r>
      <w:r w:rsidR="0FAB8C49" w:rsidRPr="2602F1D6">
        <w:rPr>
          <w:rFonts w:eastAsia="Verdana" w:cs="Verdana"/>
          <w:color w:val="201F1E"/>
        </w:rPr>
        <w:t xml:space="preserve">, to keep a roof over their head and put food on the table. </w:t>
      </w:r>
    </w:p>
    <w:p w14:paraId="0C124822" w14:textId="27A1C531" w:rsidR="17E90595" w:rsidRDefault="5ABE344E" w:rsidP="79A6475B">
      <w:pPr>
        <w:rPr>
          <w:rFonts w:eastAsia="Verdana" w:cs="Verdana"/>
          <w:color w:val="201F1E"/>
          <w:szCs w:val="20"/>
        </w:rPr>
      </w:pPr>
      <w:r w:rsidRPr="79A6475B">
        <w:rPr>
          <w:rFonts w:eastAsia="Verdana" w:cs="Verdana"/>
          <w:color w:val="201F1E"/>
          <w:szCs w:val="20"/>
        </w:rPr>
        <w:t>In addition to addressing payment inadequacy, work must be done to improve access to</w:t>
      </w:r>
      <w:r w:rsidR="723DC71D" w:rsidRPr="79A6475B">
        <w:rPr>
          <w:rFonts w:eastAsia="Verdana" w:cs="Verdana"/>
          <w:color w:val="201F1E"/>
          <w:szCs w:val="20"/>
        </w:rPr>
        <w:t xml:space="preserve"> our</w:t>
      </w:r>
      <w:r w:rsidRPr="79A6475B">
        <w:rPr>
          <w:rFonts w:eastAsia="Verdana" w:cs="Verdana"/>
          <w:color w:val="201F1E"/>
          <w:szCs w:val="20"/>
        </w:rPr>
        <w:t xml:space="preserve"> income support </w:t>
      </w:r>
      <w:r w:rsidR="6580A350" w:rsidRPr="79A6475B">
        <w:rPr>
          <w:rFonts w:eastAsia="Verdana" w:cs="Verdana"/>
          <w:color w:val="201F1E"/>
          <w:szCs w:val="20"/>
        </w:rPr>
        <w:t xml:space="preserve">system, </w:t>
      </w:r>
      <w:r w:rsidRPr="79A6475B">
        <w:rPr>
          <w:rFonts w:eastAsia="Verdana" w:cs="Verdana"/>
          <w:color w:val="201F1E"/>
          <w:szCs w:val="20"/>
        </w:rPr>
        <w:t>a</w:t>
      </w:r>
      <w:r w:rsidR="2B17467F" w:rsidRPr="79A6475B">
        <w:rPr>
          <w:rFonts w:eastAsia="Verdana" w:cs="Verdana"/>
          <w:color w:val="201F1E"/>
          <w:szCs w:val="20"/>
        </w:rPr>
        <w:t>nd</w:t>
      </w:r>
      <w:r w:rsidRPr="79A6475B">
        <w:rPr>
          <w:rFonts w:eastAsia="Verdana" w:cs="Verdana"/>
          <w:color w:val="201F1E"/>
          <w:szCs w:val="20"/>
        </w:rPr>
        <w:t xml:space="preserve"> paternalistic policies that have no place in our </w:t>
      </w:r>
      <w:r w:rsidR="194AC875" w:rsidRPr="79A6475B">
        <w:rPr>
          <w:rFonts w:eastAsia="Verdana" w:cs="Verdana"/>
          <w:color w:val="201F1E"/>
          <w:szCs w:val="20"/>
        </w:rPr>
        <w:t>safety net should be abolished</w:t>
      </w:r>
      <w:r w:rsidRPr="79A6475B">
        <w:rPr>
          <w:rFonts w:eastAsia="Verdana" w:cs="Verdana"/>
          <w:color w:val="201F1E"/>
          <w:szCs w:val="20"/>
        </w:rPr>
        <w:t xml:space="preserve">. The </w:t>
      </w:r>
      <w:r w:rsidR="07C63FDF" w:rsidRPr="79A6475B">
        <w:rPr>
          <w:rFonts w:eastAsia="Verdana" w:cs="Verdana"/>
          <w:color w:val="201F1E"/>
          <w:szCs w:val="20"/>
        </w:rPr>
        <w:t xml:space="preserve">following </w:t>
      </w:r>
      <w:r w:rsidRPr="79A6475B">
        <w:rPr>
          <w:rFonts w:eastAsia="Verdana" w:cs="Verdana"/>
          <w:color w:val="201F1E"/>
          <w:szCs w:val="20"/>
        </w:rPr>
        <w:t xml:space="preserve">recommendations are focused on creating a fairer Australia where people are </w:t>
      </w:r>
      <w:r w:rsidR="0EB8917D" w:rsidRPr="79A6475B">
        <w:rPr>
          <w:rFonts w:eastAsia="Verdana" w:cs="Verdana"/>
          <w:color w:val="201F1E"/>
          <w:szCs w:val="20"/>
        </w:rPr>
        <w:t>properly supported</w:t>
      </w:r>
      <w:r w:rsidRPr="79A6475B">
        <w:rPr>
          <w:rFonts w:eastAsia="Verdana" w:cs="Verdana"/>
          <w:color w:val="201F1E"/>
          <w:szCs w:val="20"/>
        </w:rPr>
        <w:t>, and no one is left behind.</w:t>
      </w:r>
    </w:p>
    <w:p w14:paraId="6F2C6FA2" w14:textId="48344773" w:rsidR="0068094C" w:rsidRDefault="3D1B330E" w:rsidP="113BDBC9">
      <w:pPr>
        <w:rPr>
          <w:rFonts w:eastAsia="Verdana" w:cs="Verdana"/>
          <w:b/>
          <w:color w:val="201F1E"/>
          <w:szCs w:val="20"/>
        </w:rPr>
      </w:pPr>
      <w:r w:rsidRPr="280C9BAE">
        <w:rPr>
          <w:rFonts w:eastAsia="Verdana" w:cs="Verdana"/>
          <w:b/>
          <w:color w:val="201F1E"/>
          <w:szCs w:val="20"/>
        </w:rPr>
        <w:t>Major recommendations:</w:t>
      </w:r>
    </w:p>
    <w:p w14:paraId="566E936C" w14:textId="77315E33" w:rsidR="4D11906D" w:rsidRDefault="294F0AC8" w:rsidP="79A6475B">
      <w:pPr>
        <w:pStyle w:val="ListParagraph"/>
        <w:rPr>
          <w:rFonts w:eastAsia="Verdana" w:cs="Verdana"/>
        </w:rPr>
      </w:pPr>
      <w:r w:rsidRPr="294F0AC8">
        <w:rPr>
          <w:rFonts w:eastAsia="Verdana" w:cs="Verdana"/>
          <w:b/>
          <w:color w:val="201F1E"/>
        </w:rPr>
        <w:t>Establish a minimum income floor in our income support system by lifting all income support payments to at least $69 a day, which is the same level as the pension and pension supplement</w:t>
      </w:r>
      <w:r w:rsidR="00483AC5">
        <w:rPr>
          <w:rFonts w:eastAsia="Verdana" w:cs="Verdana"/>
          <w:b/>
          <w:color w:val="201F1E"/>
        </w:rPr>
        <w:t>, and index payments to wages as well as prices.</w:t>
      </w:r>
    </w:p>
    <w:p w14:paraId="52C88762" w14:textId="2DC64321" w:rsidR="4D11906D" w:rsidRDefault="294F0AC8" w:rsidP="79A6475B">
      <w:pPr>
        <w:pStyle w:val="ListParagraph"/>
        <w:rPr>
          <w:rFonts w:eastAsia="Verdana" w:cs="Verdana"/>
        </w:rPr>
      </w:pPr>
      <w:r w:rsidRPr="294F0AC8">
        <w:rPr>
          <w:rFonts w:eastAsia="Verdana" w:cs="Verdana"/>
          <w:b/>
          <w:color w:val="201F1E"/>
        </w:rPr>
        <w:t xml:space="preserve">Ensure there are supplementary payments that meet specific needs, including lifting Commonwealth Rent Assistance by 50%, providing a Disability and Illness Supplement of at least $50 a week as well as a Single Parent Supplement that </w:t>
      </w:r>
      <w:proofErr w:type="spellStart"/>
      <w:r w:rsidRPr="294F0AC8">
        <w:rPr>
          <w:rFonts w:eastAsia="Verdana" w:cs="Verdana"/>
          <w:b/>
          <w:color w:val="201F1E"/>
        </w:rPr>
        <w:t>recognises</w:t>
      </w:r>
      <w:proofErr w:type="spellEnd"/>
      <w:r w:rsidRPr="294F0AC8">
        <w:rPr>
          <w:rFonts w:eastAsia="Verdana" w:cs="Verdana"/>
          <w:b/>
          <w:color w:val="201F1E"/>
        </w:rPr>
        <w:t xml:space="preserve"> the costs of single parenthood. </w:t>
      </w:r>
    </w:p>
    <w:p w14:paraId="7FAA9D26" w14:textId="62448919" w:rsidR="6D3AEBB2" w:rsidRDefault="294F0AC8" w:rsidP="79A6475B">
      <w:pPr>
        <w:pStyle w:val="ListParagraph"/>
        <w:rPr>
          <w:rFonts w:eastAsia="Verdana" w:cs="Verdana"/>
        </w:rPr>
      </w:pPr>
      <w:r w:rsidRPr="294F0AC8">
        <w:rPr>
          <w:rFonts w:eastAsia="Verdana" w:cs="Verdana"/>
          <w:b/>
          <w:color w:val="201F1E"/>
        </w:rPr>
        <w:t xml:space="preserve">Abolish mandatory cashless debit and income </w:t>
      </w:r>
      <w:r w:rsidR="00483AC5" w:rsidRPr="294F0AC8">
        <w:rPr>
          <w:rFonts w:eastAsia="Verdana" w:cs="Verdana"/>
          <w:b/>
          <w:color w:val="201F1E"/>
        </w:rPr>
        <w:t>management and</w:t>
      </w:r>
      <w:r w:rsidRPr="294F0AC8">
        <w:rPr>
          <w:rFonts w:eastAsia="Verdana" w:cs="Verdana"/>
          <w:b/>
          <w:color w:val="201F1E"/>
        </w:rPr>
        <w:t xml:space="preserve"> put in place an independent Social Security Commission to advise the parliament on income support payment settings ongoing. </w:t>
      </w:r>
    </w:p>
    <w:p w14:paraId="373EC9A4" w14:textId="43B88CF0" w:rsidR="79A6475B" w:rsidRDefault="79A6475B" w:rsidP="001D1B51">
      <w:pPr>
        <w:pStyle w:val="Heading2"/>
      </w:pPr>
    </w:p>
    <w:p w14:paraId="57919371" w14:textId="27FA2798" w:rsidR="2602F1D6" w:rsidRDefault="2602F1D6">
      <w:r>
        <w:br w:type="page"/>
      </w:r>
    </w:p>
    <w:p w14:paraId="36FD2C48" w14:textId="77777777" w:rsidR="00E02A35" w:rsidRDefault="00E02A35" w:rsidP="001D1B51">
      <w:pPr>
        <w:pStyle w:val="Heading2"/>
      </w:pPr>
      <w:bookmarkStart w:id="161" w:name="_Toc312610498"/>
      <w:bookmarkStart w:id="162" w:name="_Toc930211662"/>
      <w:bookmarkStart w:id="163" w:name="_Toc584646471"/>
      <w:bookmarkStart w:id="164" w:name="_Toc1540854368"/>
      <w:bookmarkStart w:id="165" w:name="_Toc988635839"/>
      <w:bookmarkStart w:id="166" w:name="_Toc1371258697"/>
      <w:bookmarkStart w:id="167" w:name="_Toc2015972510"/>
      <w:bookmarkStart w:id="168" w:name="_Toc957815788"/>
      <w:bookmarkStart w:id="169" w:name="_Toc1146248365"/>
      <w:bookmarkStart w:id="170" w:name="_Toc332481091"/>
      <w:bookmarkStart w:id="171" w:name="_Toc54088784"/>
      <w:bookmarkStart w:id="172" w:name="_Toc90983345"/>
      <w:bookmarkStart w:id="173" w:name="_Toc90984609"/>
    </w:p>
    <w:p w14:paraId="5D8F9EB5" w14:textId="77777777" w:rsidR="00E02A35" w:rsidRDefault="00E02A35" w:rsidP="001D1B51">
      <w:pPr>
        <w:pStyle w:val="Heading2"/>
      </w:pPr>
    </w:p>
    <w:p w14:paraId="176B4A79" w14:textId="7FAACAEE" w:rsidR="224D0BDB" w:rsidRDefault="294F0AC8" w:rsidP="001D1B51">
      <w:pPr>
        <w:pStyle w:val="Heading2"/>
      </w:pPr>
      <w:r>
        <w:t xml:space="preserve">Increase base rates of income </w:t>
      </w:r>
      <w:bookmarkEnd w:id="161"/>
      <w:bookmarkEnd w:id="162"/>
      <w:bookmarkEnd w:id="163"/>
      <w:bookmarkEnd w:id="164"/>
      <w:bookmarkEnd w:id="165"/>
      <w:bookmarkEnd w:id="166"/>
      <w:bookmarkEnd w:id="167"/>
      <w:bookmarkEnd w:id="168"/>
      <w:bookmarkEnd w:id="169"/>
      <w:bookmarkEnd w:id="170"/>
      <w:bookmarkEnd w:id="171"/>
      <w:bookmarkEnd w:id="172"/>
      <w:bookmarkEnd w:id="173"/>
      <w:r w:rsidR="001D1B51">
        <w:t xml:space="preserve">support, index payments to wages and extend to people currently missing out </w:t>
      </w:r>
    </w:p>
    <w:p w14:paraId="3780AFCD" w14:textId="6BA259E8" w:rsidR="001D1B51" w:rsidRDefault="7807A5A5" w:rsidP="001D1B51">
      <w:pPr>
        <w:pStyle w:val="xmsonormal"/>
        <w:spacing w:after="160" w:line="252" w:lineRule="auto"/>
      </w:pPr>
      <w:r w:rsidRPr="001D1B51">
        <w:rPr>
          <w:rFonts w:eastAsia="Verdana" w:cs="Verdana"/>
          <w:color w:val="201F1E"/>
        </w:rPr>
        <w:t>ACOSS urges the Federal Government to lift unemployment, student</w:t>
      </w:r>
      <w:r w:rsidR="009D68C4" w:rsidRPr="001D1B51">
        <w:rPr>
          <w:rFonts w:eastAsia="Verdana" w:cs="Verdana"/>
          <w:color w:val="201F1E"/>
        </w:rPr>
        <w:t>,</w:t>
      </w:r>
      <w:r w:rsidRPr="001D1B51">
        <w:rPr>
          <w:rFonts w:eastAsia="Verdana" w:cs="Verdana"/>
          <w:color w:val="201F1E"/>
        </w:rPr>
        <w:t xml:space="preserve"> and parenting payments</w:t>
      </w:r>
      <w:r w:rsidR="38DBE6CA" w:rsidRPr="001D1B51">
        <w:rPr>
          <w:rStyle w:val="FootnoteReference"/>
          <w:rFonts w:eastAsia="Verdana" w:cs="Verdana"/>
          <w:color w:val="201F1E"/>
        </w:rPr>
        <w:footnoteReference w:id="3"/>
      </w:r>
      <w:r w:rsidRPr="001D1B51">
        <w:rPr>
          <w:rFonts w:eastAsia="Verdana" w:cs="Verdana"/>
          <w:color w:val="201F1E"/>
        </w:rPr>
        <w:t xml:space="preserve"> to a minimum of $69 per day so that everyone, no matter their circumstances, has a minimum level of income to cover food, housing, utilities</w:t>
      </w:r>
      <w:r w:rsidR="009D68C4" w:rsidRPr="001D1B51">
        <w:rPr>
          <w:rFonts w:eastAsia="Verdana" w:cs="Verdana"/>
          <w:color w:val="201F1E"/>
        </w:rPr>
        <w:t>,</w:t>
      </w:r>
      <w:r w:rsidRPr="001D1B51">
        <w:rPr>
          <w:rFonts w:eastAsia="Verdana" w:cs="Verdana"/>
          <w:color w:val="201F1E"/>
        </w:rPr>
        <w:t xml:space="preserve"> and healthcare. In addition, there must be sufficient supplementary payments to meet specific needs, like disability or illness, single parenthood, and the ever-growing cost of private rent. Finally, payments </w:t>
      </w:r>
      <w:r w:rsidR="001D1B51" w:rsidRPr="001D1B51">
        <w:rPr>
          <w:rFonts w:eastAsia="Verdana" w:cs="Verdana"/>
          <w:color w:val="201F1E"/>
        </w:rPr>
        <w:t xml:space="preserve">(including family payments) </w:t>
      </w:r>
      <w:r w:rsidRPr="001D1B51">
        <w:rPr>
          <w:rFonts w:eastAsia="Verdana" w:cs="Verdana"/>
          <w:color w:val="201F1E"/>
        </w:rPr>
        <w:t>must be lifted in line with wage as well as price growth, and a social security commission should be established to provide ongoing advice to the Parliament on payment settings including adequacy.</w:t>
      </w:r>
      <w:r w:rsidR="001D1B51">
        <w:rPr>
          <w:rFonts w:eastAsia="Verdana" w:cs="Verdana"/>
          <w:color w:val="201F1E"/>
        </w:rPr>
        <w:t xml:space="preserve"> ACOSS also recommends that eligibility criteria be extended to temporary visa holders and international students if they are otherwise eligible, for the duration of the pandemic. </w:t>
      </w:r>
    </w:p>
    <w:p w14:paraId="304A26F5" w14:textId="5EE50E9B" w:rsidR="38DBE6CA" w:rsidRDefault="7807A5A5" w:rsidP="79A6475B">
      <w:pPr>
        <w:rPr>
          <w:rFonts w:eastAsia="Verdana" w:cs="Verdana"/>
          <w:color w:val="201F1E"/>
          <w:szCs w:val="20"/>
        </w:rPr>
      </w:pPr>
      <w:r w:rsidRPr="294F0AC8">
        <w:rPr>
          <w:rFonts w:eastAsia="Verdana" w:cs="Verdana"/>
          <w:color w:val="201F1E"/>
        </w:rPr>
        <w:t xml:space="preserve">  </w:t>
      </w:r>
    </w:p>
    <w:p w14:paraId="442440A8" w14:textId="03679F51" w:rsidR="0068094C" w:rsidRPr="00204C41" w:rsidRDefault="5ABE344E" w:rsidP="113BDBC9">
      <w:pPr>
        <w:pStyle w:val="Recommendation"/>
        <w:rPr>
          <w:rFonts w:eastAsia="Verdana" w:cs="Verdana"/>
          <w:color w:val="000000" w:themeColor="text1"/>
        </w:rPr>
      </w:pPr>
      <w:r w:rsidRPr="280C9BAE">
        <w:rPr>
          <w:rFonts w:eastAsia="Verdana" w:cs="Verdana"/>
        </w:rPr>
        <w:t xml:space="preserve">Recommendation 1: </w:t>
      </w:r>
      <w:r w:rsidRPr="280C9BAE">
        <w:rPr>
          <w:rFonts w:eastAsia="Verdana" w:cs="Verdana"/>
          <w:color w:val="000000" w:themeColor="text1"/>
        </w:rPr>
        <w:t xml:space="preserve">Permanently increase </w:t>
      </w:r>
      <w:proofErr w:type="spellStart"/>
      <w:r w:rsidRPr="280C9BAE">
        <w:rPr>
          <w:rFonts w:eastAsia="Verdana" w:cs="Verdana"/>
          <w:color w:val="000000" w:themeColor="text1"/>
        </w:rPr>
        <w:t>JobSeeker</w:t>
      </w:r>
      <w:proofErr w:type="spellEnd"/>
      <w:r w:rsidRPr="280C9BAE">
        <w:rPr>
          <w:rFonts w:eastAsia="Verdana" w:cs="Verdana"/>
          <w:color w:val="000000" w:themeColor="text1"/>
        </w:rPr>
        <w:t xml:space="preserve">, Youth Allowance, Parenting </w:t>
      </w:r>
      <w:proofErr w:type="gramStart"/>
      <w:r w:rsidRPr="280C9BAE">
        <w:rPr>
          <w:rFonts w:eastAsia="Verdana" w:cs="Verdana"/>
          <w:color w:val="000000" w:themeColor="text1"/>
        </w:rPr>
        <w:t>Payment</w:t>
      </w:r>
      <w:proofErr w:type="gramEnd"/>
      <w:r w:rsidRPr="280C9BAE">
        <w:rPr>
          <w:rFonts w:eastAsia="Verdana" w:cs="Verdana"/>
          <w:color w:val="000000" w:themeColor="text1"/>
        </w:rPr>
        <w:t xml:space="preserve"> and related income support to the same level as the pension plus Pension Supplement and index these payments </w:t>
      </w:r>
      <w:r w:rsidR="006A3A0A">
        <w:rPr>
          <w:rFonts w:eastAsia="Verdana" w:cs="Verdana"/>
          <w:color w:val="000000" w:themeColor="text1"/>
        </w:rPr>
        <w:t xml:space="preserve">(as well as family payments) </w:t>
      </w:r>
      <w:r w:rsidRPr="280C9BAE">
        <w:rPr>
          <w:rFonts w:eastAsia="Verdana" w:cs="Verdana"/>
          <w:color w:val="000000" w:themeColor="text1"/>
        </w:rPr>
        <w:t>to wages as well as prices.</w:t>
      </w:r>
      <w:r w:rsidR="006A3A0A">
        <w:rPr>
          <w:rFonts w:eastAsia="Verdana" w:cs="Verdana"/>
          <w:color w:val="000000" w:themeColor="text1"/>
        </w:rPr>
        <w:t xml:space="preserve"> For the duration of the pandemic, temporary visa holders and international students should also be able to get these payments if they otherwise meet the eligibility criteria.</w:t>
      </w:r>
    </w:p>
    <w:p w14:paraId="535B1206" w14:textId="488956CB" w:rsidR="5ABE344E" w:rsidRDefault="280C9BAE" w:rsidP="294F0AC8">
      <w:pPr>
        <w:pStyle w:val="ListNumber"/>
        <w:numPr>
          <w:ilvl w:val="0"/>
          <w:numId w:val="0"/>
        </w:numPr>
        <w:rPr>
          <w:rFonts w:eastAsia="Verdana" w:cs="Verdana"/>
          <w:b/>
          <w:bCs/>
        </w:rPr>
      </w:pPr>
      <w:r>
        <w:br/>
      </w:r>
      <w:r w:rsidR="294F0AC8" w:rsidRPr="294F0AC8">
        <w:rPr>
          <w:rFonts w:eastAsia="Verdana" w:cs="Verdana"/>
          <w:b/>
          <w:bCs/>
          <w:color w:val="C00000"/>
        </w:rPr>
        <w:t xml:space="preserve">Budget impact: </w:t>
      </w:r>
      <w:r w:rsidR="294F0AC8" w:rsidRPr="294F0AC8">
        <w:rPr>
          <w:rFonts w:eastAsia="Verdana" w:cs="Verdana"/>
          <w:b/>
          <w:bCs/>
        </w:rPr>
        <w:t>Not Available</w:t>
      </w:r>
    </w:p>
    <w:p w14:paraId="23D9A012" w14:textId="6ADAF9EF" w:rsidR="280C9BAE" w:rsidRDefault="280C9BAE" w:rsidP="001D1B51">
      <w:pPr>
        <w:pStyle w:val="Heading2"/>
      </w:pPr>
    </w:p>
    <w:p w14:paraId="4D0DA583" w14:textId="2842A29A" w:rsidR="0068094C" w:rsidRPr="00F03627" w:rsidRDefault="294F0AC8" w:rsidP="001D1B51">
      <w:pPr>
        <w:pStyle w:val="Heading2"/>
      </w:pPr>
      <w:bookmarkStart w:id="174" w:name="_Toc504082983"/>
      <w:bookmarkStart w:id="175" w:name="_Toc2065148284"/>
      <w:bookmarkStart w:id="176" w:name="_Toc730832237"/>
      <w:bookmarkStart w:id="177" w:name="_Toc861643664"/>
      <w:bookmarkStart w:id="178" w:name="_Toc302827261"/>
      <w:bookmarkStart w:id="179" w:name="_Toc2077266093"/>
      <w:bookmarkStart w:id="180" w:name="_Toc630889935"/>
      <w:bookmarkStart w:id="181" w:name="_Toc1176232117"/>
      <w:bookmarkStart w:id="182" w:name="_Toc1163416414"/>
      <w:bookmarkStart w:id="183" w:name="_Toc995339979"/>
      <w:bookmarkStart w:id="184" w:name="_Toc1639319216"/>
      <w:bookmarkStart w:id="185" w:name="_Toc90983346"/>
      <w:bookmarkStart w:id="186" w:name="_Toc90984610"/>
      <w:r>
        <w:t>Provide supplementary payments to meet need</w:t>
      </w:r>
      <w:bookmarkEnd w:id="174"/>
      <w:bookmarkEnd w:id="175"/>
      <w:bookmarkEnd w:id="176"/>
      <w:bookmarkEnd w:id="177"/>
      <w:bookmarkEnd w:id="178"/>
      <w:bookmarkEnd w:id="179"/>
      <w:bookmarkEnd w:id="180"/>
      <w:bookmarkEnd w:id="181"/>
      <w:bookmarkEnd w:id="182"/>
      <w:bookmarkEnd w:id="183"/>
      <w:bookmarkEnd w:id="184"/>
      <w:bookmarkEnd w:id="185"/>
      <w:bookmarkEnd w:id="186"/>
    </w:p>
    <w:p w14:paraId="62E3D7F8" w14:textId="3317258F" w:rsidR="242EC26B" w:rsidRPr="00C95BD3" w:rsidRDefault="242EC26B" w:rsidP="242EC26B">
      <w:pPr>
        <w:rPr>
          <w:rFonts w:eastAsia="Calibri" w:cs="Arial"/>
          <w:sz w:val="2"/>
          <w:szCs w:val="2"/>
        </w:rPr>
      </w:pPr>
    </w:p>
    <w:p w14:paraId="69C7800A" w14:textId="1895AEC8" w:rsidR="68A7F637" w:rsidRDefault="68A7F637" w:rsidP="79A6475B">
      <w:pPr>
        <w:rPr>
          <w:rFonts w:eastAsia="Verdana" w:cs="Verdana"/>
          <w:b/>
          <w:bCs/>
          <w:i/>
          <w:iCs/>
          <w:szCs w:val="20"/>
        </w:rPr>
      </w:pPr>
      <w:r w:rsidRPr="79A6475B">
        <w:rPr>
          <w:rFonts w:eastAsia="Verdana" w:cs="Verdana"/>
          <w:b/>
          <w:bCs/>
          <w:i/>
          <w:iCs/>
          <w:szCs w:val="20"/>
        </w:rPr>
        <w:t xml:space="preserve">Commonwealth Rent Assistance </w:t>
      </w:r>
    </w:p>
    <w:p w14:paraId="5BF5FB4D" w14:textId="5C2DC426" w:rsidR="68A7F637" w:rsidRDefault="68A7F637" w:rsidP="79A6475B">
      <w:pPr>
        <w:spacing w:line="240" w:lineRule="exact"/>
        <w:rPr>
          <w:rFonts w:eastAsia="Verdana" w:cs="Verdana"/>
          <w:szCs w:val="20"/>
        </w:rPr>
      </w:pPr>
      <w:r w:rsidRPr="79A6475B">
        <w:rPr>
          <w:rFonts w:eastAsia="Verdana" w:cs="Verdana"/>
          <w:szCs w:val="20"/>
        </w:rPr>
        <w:t xml:space="preserve">Rather than an arbitrary one-off increase, we propose that maximum rates of CRA be benchmarked to minimum rents, for dwellings of appropriate size, available in the formal rental market in Sydney, </w:t>
      </w:r>
      <w:r w:rsidR="009D68C4" w:rsidRPr="79A6475B">
        <w:rPr>
          <w:rFonts w:eastAsia="Verdana" w:cs="Verdana"/>
          <w:szCs w:val="20"/>
        </w:rPr>
        <w:t>Melbourne,</w:t>
      </w:r>
      <w:r w:rsidRPr="79A6475B">
        <w:rPr>
          <w:rFonts w:eastAsia="Verdana" w:cs="Verdana"/>
          <w:szCs w:val="20"/>
        </w:rPr>
        <w:t xml:space="preserve"> and Brisbane. In recognition that many other parts of Australia have high median rents, the higher maximum rates would not be restricted to residents in those cities. Rather, rents in those three cities (which together comprise </w:t>
      </w:r>
      <w:r w:rsidR="009D68C4" w:rsidRPr="79A6475B">
        <w:rPr>
          <w:rFonts w:eastAsia="Verdana" w:cs="Verdana"/>
          <w:szCs w:val="20"/>
        </w:rPr>
        <w:t>most</w:t>
      </w:r>
      <w:r w:rsidRPr="79A6475B">
        <w:rPr>
          <w:rFonts w:eastAsia="Verdana" w:cs="Verdana"/>
          <w:szCs w:val="20"/>
        </w:rPr>
        <w:t xml:space="preserve"> rental dwellings across the country) would be used for benchmarking purposes.</w:t>
      </w:r>
    </w:p>
    <w:p w14:paraId="66E6DC9E" w14:textId="1D49C427" w:rsidR="68A7F637" w:rsidRDefault="294F0AC8" w:rsidP="294F0AC8">
      <w:pPr>
        <w:spacing w:line="240" w:lineRule="exact"/>
        <w:rPr>
          <w:rFonts w:eastAsia="Verdana" w:cs="Verdana"/>
        </w:rPr>
      </w:pPr>
      <w:r w:rsidRPr="294F0AC8">
        <w:rPr>
          <w:rFonts w:eastAsia="Verdana" w:cs="Verdana"/>
        </w:rPr>
        <w:t>This benchmarking exercise shows that a 52% increase to the maximum rates is the minimum required to bring CRA up to a more acceptable level (see table below).</w:t>
      </w:r>
    </w:p>
    <w:p w14:paraId="18F4A6E3" w14:textId="58A17695" w:rsidR="2602F1D6" w:rsidRDefault="2602F1D6">
      <w:r>
        <w:br w:type="page"/>
      </w:r>
    </w:p>
    <w:p w14:paraId="185A28CC" w14:textId="4D6D9EB8" w:rsidR="68A7F637" w:rsidRDefault="294F0AC8" w:rsidP="294F0AC8">
      <w:pPr>
        <w:pStyle w:val="Heading3"/>
        <w:rPr>
          <w:rFonts w:asciiTheme="minorHAnsi" w:eastAsiaTheme="minorEastAsia" w:hAnsiTheme="minorHAnsi" w:cstheme="minorBidi"/>
          <w:bCs/>
          <w:color w:val="CE2028"/>
          <w:sz w:val="24"/>
        </w:rPr>
      </w:pPr>
      <w:bookmarkStart w:id="187" w:name="_Toc1245749066"/>
      <w:bookmarkStart w:id="188" w:name="_Toc825111296"/>
      <w:bookmarkStart w:id="189" w:name="_Toc1958723428"/>
      <w:bookmarkStart w:id="190" w:name="_Toc1710650204"/>
      <w:bookmarkStart w:id="191" w:name="_Toc367184233"/>
      <w:bookmarkStart w:id="192" w:name="_Toc582930853"/>
      <w:bookmarkStart w:id="193" w:name="_Toc104202477"/>
      <w:bookmarkStart w:id="194" w:name="_Toc177382828"/>
      <w:bookmarkStart w:id="195" w:name="_Toc796168652"/>
      <w:bookmarkStart w:id="196" w:name="_Toc1848234783"/>
      <w:bookmarkStart w:id="197" w:name="_Toc29462737"/>
      <w:r w:rsidRPr="294F0AC8">
        <w:rPr>
          <w:rFonts w:asciiTheme="minorHAnsi" w:eastAsiaTheme="minorEastAsia" w:hAnsiTheme="minorHAnsi" w:cstheme="minorBidi"/>
          <w:bCs/>
          <w:color w:val="CE2028"/>
          <w:sz w:val="24"/>
        </w:rPr>
        <w:lastRenderedPageBreak/>
        <w:t>Table 1. Proposed increases in CRA maximum rent thresholds and resulting increases in maximum rates (September 2021 -$pw)</w:t>
      </w:r>
      <w:bookmarkEnd w:id="187"/>
      <w:bookmarkEnd w:id="188"/>
      <w:bookmarkEnd w:id="189"/>
      <w:bookmarkEnd w:id="190"/>
      <w:bookmarkEnd w:id="191"/>
      <w:bookmarkEnd w:id="192"/>
      <w:bookmarkEnd w:id="193"/>
      <w:bookmarkEnd w:id="194"/>
      <w:bookmarkEnd w:id="195"/>
      <w:bookmarkEnd w:id="196"/>
      <w:bookmarkEnd w:id="197"/>
    </w:p>
    <w:tbl>
      <w:tblPr>
        <w:tblW w:w="8684" w:type="dxa"/>
        <w:tblInd w:w="135" w:type="dxa"/>
        <w:tblLook w:val="06A0" w:firstRow="1" w:lastRow="0" w:firstColumn="1" w:lastColumn="0" w:noHBand="1" w:noVBand="1"/>
      </w:tblPr>
      <w:tblGrid>
        <w:gridCol w:w="1485"/>
        <w:gridCol w:w="1024"/>
        <w:gridCol w:w="1034"/>
        <w:gridCol w:w="1062"/>
        <w:gridCol w:w="1319"/>
        <w:gridCol w:w="1290"/>
        <w:gridCol w:w="1470"/>
      </w:tblGrid>
      <w:tr w:rsidR="79A6475B" w14:paraId="28965B21" w14:textId="77777777" w:rsidTr="441B4D7A">
        <w:trPr>
          <w:trHeight w:val="660"/>
        </w:trPr>
        <w:tc>
          <w:tcPr>
            <w:tcW w:w="1485" w:type="dxa"/>
            <w:tcBorders>
              <w:top w:val="single" w:sz="8" w:space="0" w:color="auto"/>
              <w:left w:val="single" w:sz="8" w:space="0" w:color="auto"/>
              <w:bottom w:val="single" w:sz="8" w:space="0" w:color="auto"/>
              <w:right w:val="single" w:sz="8" w:space="0" w:color="auto"/>
            </w:tcBorders>
          </w:tcPr>
          <w:p w14:paraId="5E5307D9" w14:textId="412421F0" w:rsidR="79A6475B" w:rsidRDefault="294F0AC8" w:rsidP="294F0AC8">
            <w:pPr>
              <w:rPr>
                <w:rFonts w:asciiTheme="minorHAnsi" w:eastAsiaTheme="minorEastAsia" w:hAnsiTheme="minorHAnsi"/>
              </w:rPr>
            </w:pPr>
            <w:r w:rsidRPr="294F0AC8">
              <w:rPr>
                <w:rFonts w:asciiTheme="minorHAnsi" w:eastAsiaTheme="minorEastAsia" w:hAnsiTheme="minorHAnsi"/>
              </w:rPr>
              <w:t>Household size</w:t>
            </w:r>
          </w:p>
        </w:tc>
        <w:tc>
          <w:tcPr>
            <w:tcW w:w="1024" w:type="dxa"/>
            <w:tcBorders>
              <w:top w:val="single" w:sz="8" w:space="0" w:color="auto"/>
              <w:left w:val="single" w:sz="8" w:space="0" w:color="auto"/>
              <w:bottom w:val="single" w:sz="8" w:space="0" w:color="auto"/>
              <w:right w:val="single" w:sz="8" w:space="0" w:color="auto"/>
            </w:tcBorders>
          </w:tcPr>
          <w:p w14:paraId="005B4474" w14:textId="03712913" w:rsidR="79A6475B" w:rsidRDefault="79A6475B" w:rsidP="79A6475B">
            <w:pPr>
              <w:rPr>
                <w:rFonts w:asciiTheme="minorHAnsi" w:eastAsiaTheme="minorEastAsia" w:hAnsiTheme="minorHAnsi"/>
              </w:rPr>
            </w:pPr>
            <w:r w:rsidRPr="79A6475B">
              <w:rPr>
                <w:rFonts w:asciiTheme="minorHAnsi" w:eastAsiaTheme="minorEastAsia" w:hAnsiTheme="minorHAnsi"/>
              </w:rPr>
              <w:t>Dwelling size</w:t>
            </w:r>
          </w:p>
        </w:tc>
        <w:tc>
          <w:tcPr>
            <w:tcW w:w="1034" w:type="dxa"/>
            <w:tcBorders>
              <w:top w:val="single" w:sz="8" w:space="0" w:color="auto"/>
              <w:left w:val="single" w:sz="8" w:space="0" w:color="auto"/>
              <w:bottom w:val="single" w:sz="8" w:space="0" w:color="auto"/>
              <w:right w:val="single" w:sz="8" w:space="0" w:color="auto"/>
            </w:tcBorders>
          </w:tcPr>
          <w:p w14:paraId="580B52A5" w14:textId="49124A53" w:rsidR="79A6475B" w:rsidRDefault="294F0AC8" w:rsidP="294F0AC8">
            <w:pPr>
              <w:rPr>
                <w:rFonts w:asciiTheme="minorHAnsi" w:eastAsiaTheme="minorEastAsia" w:hAnsiTheme="minorHAnsi"/>
              </w:rPr>
            </w:pPr>
            <w:r w:rsidRPr="294F0AC8">
              <w:rPr>
                <w:rFonts w:asciiTheme="minorHAnsi" w:eastAsiaTheme="minorEastAsia" w:hAnsiTheme="minorHAnsi"/>
              </w:rPr>
              <w:t>Weekly rent*</w:t>
            </w:r>
            <w:r w:rsidR="79A6475B">
              <w:br/>
            </w:r>
            <w:r w:rsidRPr="294F0AC8">
              <w:rPr>
                <w:rFonts w:asciiTheme="minorHAnsi" w:eastAsiaTheme="minorEastAsia" w:hAnsiTheme="minorHAnsi"/>
              </w:rPr>
              <w:t>(2016)</w:t>
            </w:r>
            <w:r w:rsidR="79A6475B">
              <w:br/>
            </w:r>
            <w:r w:rsidR="79A6475B">
              <w:br/>
            </w:r>
            <w:r w:rsidRPr="294F0AC8">
              <w:rPr>
                <w:rFonts w:asciiTheme="minorHAnsi" w:eastAsiaTheme="minorEastAsia" w:hAnsiTheme="minorHAnsi"/>
              </w:rPr>
              <w:t>($pw)</w:t>
            </w:r>
          </w:p>
        </w:tc>
        <w:tc>
          <w:tcPr>
            <w:tcW w:w="1062" w:type="dxa"/>
            <w:tcBorders>
              <w:top w:val="single" w:sz="8" w:space="0" w:color="auto"/>
              <w:left w:val="single" w:sz="8" w:space="0" w:color="auto"/>
              <w:bottom w:val="single" w:sz="8" w:space="0" w:color="auto"/>
              <w:right w:val="single" w:sz="8" w:space="0" w:color="auto"/>
            </w:tcBorders>
          </w:tcPr>
          <w:p w14:paraId="76B0746A" w14:textId="6904650B" w:rsidR="79A6475B" w:rsidRDefault="79A6475B" w:rsidP="79A6475B">
            <w:pPr>
              <w:rPr>
                <w:rFonts w:asciiTheme="minorHAnsi" w:eastAsiaTheme="minorEastAsia" w:hAnsiTheme="minorHAnsi"/>
              </w:rPr>
            </w:pPr>
            <w:r w:rsidRPr="79A6475B">
              <w:rPr>
                <w:rFonts w:asciiTheme="minorHAnsi" w:eastAsiaTheme="minorEastAsia" w:hAnsiTheme="minorHAnsi"/>
              </w:rPr>
              <w:t>Weekly rent*</w:t>
            </w:r>
          </w:p>
          <w:p w14:paraId="5EE41B2F" w14:textId="6D45D616" w:rsidR="79A6475B" w:rsidRDefault="294F0AC8" w:rsidP="294F0AC8">
            <w:pPr>
              <w:rPr>
                <w:rFonts w:asciiTheme="minorHAnsi" w:eastAsiaTheme="minorEastAsia" w:hAnsiTheme="minorHAnsi"/>
              </w:rPr>
            </w:pPr>
            <w:r w:rsidRPr="294F0AC8">
              <w:rPr>
                <w:rFonts w:asciiTheme="minorHAnsi" w:eastAsiaTheme="minorEastAsia" w:hAnsiTheme="minorHAnsi"/>
              </w:rPr>
              <w:t>(2021)</w:t>
            </w:r>
            <w:r w:rsidR="79A6475B">
              <w:br/>
            </w:r>
            <w:r w:rsidR="79A6475B">
              <w:br/>
            </w:r>
            <w:r w:rsidRPr="294F0AC8">
              <w:rPr>
                <w:rFonts w:asciiTheme="minorHAnsi" w:eastAsiaTheme="minorEastAsia" w:hAnsiTheme="minorHAnsi"/>
              </w:rPr>
              <w:t>($pw)</w:t>
            </w:r>
          </w:p>
        </w:tc>
        <w:tc>
          <w:tcPr>
            <w:tcW w:w="1319" w:type="dxa"/>
            <w:tcBorders>
              <w:top w:val="single" w:sz="8" w:space="0" w:color="auto"/>
              <w:left w:val="single" w:sz="8" w:space="0" w:color="auto"/>
              <w:bottom w:val="single" w:sz="8" w:space="0" w:color="auto"/>
              <w:right w:val="single" w:sz="8" w:space="0" w:color="auto"/>
            </w:tcBorders>
          </w:tcPr>
          <w:p w14:paraId="334C8FDD" w14:textId="3D0F62F7" w:rsidR="79A6475B" w:rsidRDefault="294F0AC8" w:rsidP="294F0AC8">
            <w:pPr>
              <w:rPr>
                <w:rFonts w:asciiTheme="minorHAnsi" w:eastAsiaTheme="minorEastAsia" w:hAnsiTheme="minorHAnsi"/>
              </w:rPr>
            </w:pPr>
            <w:r w:rsidRPr="294F0AC8">
              <w:rPr>
                <w:rFonts w:asciiTheme="minorHAnsi" w:eastAsiaTheme="minorEastAsia" w:hAnsiTheme="minorHAnsi"/>
              </w:rPr>
              <w:t>Current upper rent threshold for CRA #</w:t>
            </w:r>
            <w:r w:rsidR="79A6475B">
              <w:br/>
            </w:r>
            <w:r w:rsidRPr="294F0AC8">
              <w:rPr>
                <w:rFonts w:asciiTheme="minorHAnsi" w:eastAsiaTheme="minorEastAsia" w:hAnsiTheme="minorHAnsi"/>
              </w:rPr>
              <w:t>($pw)</w:t>
            </w:r>
          </w:p>
        </w:tc>
        <w:tc>
          <w:tcPr>
            <w:tcW w:w="1290" w:type="dxa"/>
            <w:tcBorders>
              <w:top w:val="single" w:sz="8" w:space="0" w:color="auto"/>
              <w:left w:val="single" w:sz="8" w:space="0" w:color="auto"/>
              <w:bottom w:val="single" w:sz="8" w:space="0" w:color="auto"/>
              <w:right w:val="single" w:sz="8" w:space="0" w:color="auto"/>
            </w:tcBorders>
          </w:tcPr>
          <w:p w14:paraId="13D51073" w14:textId="37166E4B" w:rsidR="79A6475B" w:rsidRDefault="294F0AC8" w:rsidP="294F0AC8">
            <w:pPr>
              <w:rPr>
                <w:rFonts w:asciiTheme="minorHAnsi" w:eastAsiaTheme="minorEastAsia" w:hAnsiTheme="minorHAnsi"/>
              </w:rPr>
            </w:pPr>
            <w:r w:rsidRPr="294F0AC8">
              <w:rPr>
                <w:rFonts w:asciiTheme="minorHAnsi" w:eastAsiaTheme="minorEastAsia" w:hAnsiTheme="minorHAnsi"/>
              </w:rPr>
              <w:t xml:space="preserve">Proposed increase in upper rent threshold </w:t>
            </w:r>
            <w:r w:rsidRPr="294F0AC8">
              <w:rPr>
                <w:rFonts w:ascii="Calibri" w:eastAsia="Calibri" w:hAnsi="Calibri" w:cs="Calibri"/>
                <w:sz w:val="19"/>
                <w:szCs w:val="19"/>
              </w:rPr>
              <w:t>^</w:t>
            </w:r>
          </w:p>
          <w:p w14:paraId="6FF54BCB" w14:textId="2AEF56E6" w:rsidR="79A6475B" w:rsidRDefault="294F0AC8" w:rsidP="294F0AC8">
            <w:pPr>
              <w:rPr>
                <w:rFonts w:asciiTheme="minorHAnsi" w:eastAsiaTheme="minorEastAsia" w:hAnsiTheme="minorHAnsi"/>
              </w:rPr>
            </w:pPr>
            <w:r w:rsidRPr="294F0AC8">
              <w:rPr>
                <w:rFonts w:asciiTheme="minorHAnsi" w:eastAsiaTheme="minorEastAsia" w:hAnsiTheme="minorHAnsi"/>
              </w:rPr>
              <w:t xml:space="preserve">(%) </w:t>
            </w:r>
          </w:p>
        </w:tc>
        <w:tc>
          <w:tcPr>
            <w:tcW w:w="1470" w:type="dxa"/>
            <w:tcBorders>
              <w:top w:val="single" w:sz="8" w:space="0" w:color="auto"/>
              <w:left w:val="single" w:sz="8" w:space="0" w:color="auto"/>
              <w:bottom w:val="single" w:sz="8" w:space="0" w:color="auto"/>
              <w:right w:val="single" w:sz="8" w:space="0" w:color="auto"/>
            </w:tcBorders>
          </w:tcPr>
          <w:p w14:paraId="5C4B33BF" w14:textId="65053635" w:rsidR="79A6475B" w:rsidRDefault="294F0AC8" w:rsidP="294F0AC8">
            <w:pPr>
              <w:rPr>
                <w:rFonts w:asciiTheme="minorHAnsi" w:eastAsiaTheme="minorEastAsia" w:hAnsiTheme="minorHAnsi"/>
              </w:rPr>
            </w:pPr>
            <w:r w:rsidRPr="294F0AC8">
              <w:rPr>
                <w:rFonts w:asciiTheme="minorHAnsi" w:eastAsiaTheme="minorEastAsia" w:hAnsiTheme="minorHAnsi"/>
              </w:rPr>
              <w:t>Proposed increase in maximum rate of CRA^</w:t>
            </w:r>
          </w:p>
          <w:p w14:paraId="156923C0" w14:textId="2A866071" w:rsidR="79A6475B" w:rsidRDefault="294F0AC8" w:rsidP="294F0AC8">
            <w:pPr>
              <w:rPr>
                <w:rFonts w:asciiTheme="minorHAnsi" w:eastAsiaTheme="minorEastAsia" w:hAnsiTheme="minorHAnsi"/>
              </w:rPr>
            </w:pPr>
            <w:r w:rsidRPr="294F0AC8">
              <w:rPr>
                <w:rFonts w:asciiTheme="minorHAnsi" w:eastAsiaTheme="minorEastAsia" w:hAnsiTheme="minorHAnsi"/>
              </w:rPr>
              <w:t xml:space="preserve">($pw) </w:t>
            </w:r>
          </w:p>
        </w:tc>
      </w:tr>
      <w:tr w:rsidR="79A6475B" w14:paraId="1B83ED1B" w14:textId="77777777" w:rsidTr="441B4D7A">
        <w:trPr>
          <w:trHeight w:val="435"/>
        </w:trPr>
        <w:tc>
          <w:tcPr>
            <w:tcW w:w="1485" w:type="dxa"/>
            <w:tcBorders>
              <w:top w:val="single" w:sz="8" w:space="0" w:color="auto"/>
              <w:left w:val="single" w:sz="8" w:space="0" w:color="auto"/>
              <w:bottom w:val="single" w:sz="8" w:space="0" w:color="auto"/>
              <w:right w:val="single" w:sz="8" w:space="0" w:color="auto"/>
            </w:tcBorders>
          </w:tcPr>
          <w:p w14:paraId="6E5E8FAD" w14:textId="1ED729FB" w:rsidR="79A6475B" w:rsidRDefault="441B4D7A" w:rsidP="441B4D7A">
            <w:pPr>
              <w:rPr>
                <w:rFonts w:asciiTheme="minorHAnsi" w:eastAsiaTheme="minorEastAsia" w:hAnsiTheme="minorHAnsi"/>
              </w:rPr>
            </w:pPr>
            <w:r w:rsidRPr="441B4D7A">
              <w:rPr>
                <w:rFonts w:asciiTheme="minorHAnsi" w:eastAsiaTheme="minorEastAsia" w:hAnsiTheme="minorHAnsi"/>
              </w:rPr>
              <w:t>Single, no children</w:t>
            </w:r>
          </w:p>
          <w:p w14:paraId="419CF8BA" w14:textId="0DAE62EA" w:rsidR="79A6475B" w:rsidRDefault="79A6475B" w:rsidP="79A6475B">
            <w:pPr>
              <w:rPr>
                <w:rFonts w:eastAsia="Calibri" w:cs="Arial"/>
                <w:szCs w:val="20"/>
              </w:rPr>
            </w:pPr>
          </w:p>
        </w:tc>
        <w:tc>
          <w:tcPr>
            <w:tcW w:w="1024" w:type="dxa"/>
            <w:tcBorders>
              <w:top w:val="single" w:sz="8" w:space="0" w:color="auto"/>
              <w:left w:val="single" w:sz="8" w:space="0" w:color="auto"/>
              <w:bottom w:val="single" w:sz="8" w:space="0" w:color="auto"/>
              <w:right w:val="single" w:sz="8" w:space="0" w:color="auto"/>
            </w:tcBorders>
          </w:tcPr>
          <w:p w14:paraId="618192E9" w14:textId="370E39D0" w:rsidR="79A6475B" w:rsidRDefault="79A6475B" w:rsidP="79A6475B">
            <w:pPr>
              <w:rPr>
                <w:rFonts w:asciiTheme="minorHAnsi" w:eastAsiaTheme="minorEastAsia" w:hAnsiTheme="minorHAnsi"/>
              </w:rPr>
            </w:pPr>
            <w:r w:rsidRPr="79A6475B">
              <w:rPr>
                <w:rFonts w:asciiTheme="minorHAnsi" w:eastAsiaTheme="minorEastAsia" w:hAnsiTheme="minorHAnsi"/>
              </w:rPr>
              <w:t>1brm unit</w:t>
            </w:r>
          </w:p>
        </w:tc>
        <w:tc>
          <w:tcPr>
            <w:tcW w:w="1034" w:type="dxa"/>
            <w:tcBorders>
              <w:top w:val="single" w:sz="8" w:space="0" w:color="auto"/>
              <w:left w:val="single" w:sz="8" w:space="0" w:color="auto"/>
              <w:bottom w:val="single" w:sz="8" w:space="0" w:color="auto"/>
              <w:right w:val="single" w:sz="8" w:space="0" w:color="auto"/>
            </w:tcBorders>
          </w:tcPr>
          <w:p w14:paraId="2CD258C4" w14:textId="47079660" w:rsidR="79A6475B" w:rsidRDefault="79A6475B" w:rsidP="503B900F">
            <w:pPr>
              <w:jc w:val="right"/>
              <w:rPr>
                <w:rFonts w:asciiTheme="minorHAnsi" w:eastAsiaTheme="minorEastAsia" w:hAnsiTheme="minorHAnsi"/>
              </w:rPr>
            </w:pPr>
            <w:r w:rsidRPr="79A6475B">
              <w:rPr>
                <w:rFonts w:asciiTheme="minorHAnsi" w:eastAsiaTheme="minorEastAsia" w:hAnsiTheme="minorHAnsi"/>
              </w:rPr>
              <w:t>$223</w:t>
            </w:r>
          </w:p>
        </w:tc>
        <w:tc>
          <w:tcPr>
            <w:tcW w:w="1062" w:type="dxa"/>
            <w:tcBorders>
              <w:top w:val="single" w:sz="8" w:space="0" w:color="auto"/>
              <w:left w:val="single" w:sz="8" w:space="0" w:color="auto"/>
              <w:bottom w:val="single" w:sz="8" w:space="0" w:color="auto"/>
              <w:right w:val="single" w:sz="8" w:space="0" w:color="auto"/>
            </w:tcBorders>
          </w:tcPr>
          <w:p w14:paraId="2550AEB5" w14:textId="3B741EEE" w:rsidR="79A6475B" w:rsidRDefault="294F0AC8" w:rsidP="503B900F">
            <w:pPr>
              <w:jc w:val="right"/>
              <w:rPr>
                <w:rFonts w:asciiTheme="minorHAnsi" w:eastAsiaTheme="minorEastAsia" w:hAnsiTheme="minorHAnsi"/>
              </w:rPr>
            </w:pPr>
            <w:r w:rsidRPr="294F0AC8">
              <w:rPr>
                <w:rFonts w:asciiTheme="minorHAnsi" w:eastAsiaTheme="minorEastAsia" w:hAnsiTheme="minorHAnsi"/>
              </w:rPr>
              <w:t>$255</w:t>
            </w:r>
          </w:p>
        </w:tc>
        <w:tc>
          <w:tcPr>
            <w:tcW w:w="1319" w:type="dxa"/>
            <w:tcBorders>
              <w:top w:val="single" w:sz="8" w:space="0" w:color="auto"/>
              <w:left w:val="single" w:sz="8" w:space="0" w:color="auto"/>
              <w:bottom w:val="single" w:sz="8" w:space="0" w:color="auto"/>
              <w:right w:val="single" w:sz="8" w:space="0" w:color="auto"/>
            </w:tcBorders>
          </w:tcPr>
          <w:p w14:paraId="4557373B" w14:textId="0607AC3E" w:rsidR="79A6475B" w:rsidRDefault="294F0AC8" w:rsidP="503B900F">
            <w:pPr>
              <w:jc w:val="right"/>
              <w:rPr>
                <w:rFonts w:asciiTheme="minorHAnsi" w:eastAsiaTheme="minorEastAsia" w:hAnsiTheme="minorHAnsi"/>
              </w:rPr>
            </w:pPr>
            <w:r w:rsidRPr="294F0AC8">
              <w:rPr>
                <w:rFonts w:asciiTheme="minorHAnsi" w:eastAsiaTheme="minorEastAsia" w:hAnsiTheme="minorHAnsi"/>
              </w:rPr>
              <w:t>$159</w:t>
            </w:r>
          </w:p>
          <w:p w14:paraId="3D9EBCEC" w14:textId="6F6C2182" w:rsidR="79A6475B" w:rsidRDefault="79A6475B" w:rsidP="503B900F">
            <w:pPr>
              <w:jc w:val="right"/>
              <w:rPr>
                <w:rFonts w:asciiTheme="minorHAnsi" w:eastAsiaTheme="minorEastAsia" w:hAnsiTheme="minorHAnsi"/>
              </w:rPr>
            </w:pPr>
          </w:p>
        </w:tc>
        <w:tc>
          <w:tcPr>
            <w:tcW w:w="1290" w:type="dxa"/>
            <w:tcBorders>
              <w:top w:val="single" w:sz="8" w:space="0" w:color="auto"/>
              <w:left w:val="single" w:sz="8" w:space="0" w:color="auto"/>
              <w:bottom w:val="single" w:sz="8" w:space="0" w:color="auto"/>
              <w:right w:val="single" w:sz="8" w:space="0" w:color="auto"/>
            </w:tcBorders>
          </w:tcPr>
          <w:p w14:paraId="350372A6" w14:textId="48A0D1A9" w:rsidR="79A6475B" w:rsidRDefault="294F0AC8" w:rsidP="503B900F">
            <w:pPr>
              <w:jc w:val="right"/>
              <w:rPr>
                <w:rFonts w:asciiTheme="minorHAnsi" w:eastAsiaTheme="minorEastAsia" w:hAnsiTheme="minorHAnsi"/>
              </w:rPr>
            </w:pPr>
            <w:r w:rsidRPr="294F0AC8">
              <w:rPr>
                <w:rFonts w:asciiTheme="minorHAnsi" w:eastAsiaTheme="minorEastAsia" w:hAnsiTheme="minorHAnsi"/>
              </w:rPr>
              <w:t xml:space="preserve">60% </w:t>
            </w:r>
          </w:p>
        </w:tc>
        <w:tc>
          <w:tcPr>
            <w:tcW w:w="1470" w:type="dxa"/>
            <w:tcBorders>
              <w:top w:val="single" w:sz="8" w:space="0" w:color="auto"/>
              <w:left w:val="single" w:sz="8" w:space="0" w:color="auto"/>
              <w:bottom w:val="single" w:sz="8" w:space="0" w:color="auto"/>
              <w:right w:val="single" w:sz="8" w:space="0" w:color="auto"/>
            </w:tcBorders>
          </w:tcPr>
          <w:p w14:paraId="7005825D" w14:textId="33A51D76" w:rsidR="79A6475B" w:rsidRDefault="294F0AC8" w:rsidP="503B900F">
            <w:pPr>
              <w:jc w:val="right"/>
              <w:rPr>
                <w:rFonts w:asciiTheme="minorHAnsi" w:eastAsiaTheme="minorEastAsia" w:hAnsiTheme="minorHAnsi"/>
              </w:rPr>
            </w:pPr>
            <w:r w:rsidRPr="294F0AC8">
              <w:rPr>
                <w:rFonts w:asciiTheme="minorHAnsi" w:eastAsiaTheme="minorEastAsia" w:hAnsiTheme="minorHAnsi"/>
              </w:rPr>
              <w:t>$74</w:t>
            </w:r>
          </w:p>
        </w:tc>
      </w:tr>
      <w:tr w:rsidR="79A6475B" w14:paraId="7CD1638F" w14:textId="77777777" w:rsidTr="441B4D7A">
        <w:trPr>
          <w:trHeight w:val="870"/>
        </w:trPr>
        <w:tc>
          <w:tcPr>
            <w:tcW w:w="1485" w:type="dxa"/>
            <w:tcBorders>
              <w:top w:val="single" w:sz="8" w:space="0" w:color="auto"/>
              <w:left w:val="single" w:sz="8" w:space="0" w:color="auto"/>
              <w:bottom w:val="single" w:sz="8" w:space="0" w:color="auto"/>
              <w:right w:val="single" w:sz="8" w:space="0" w:color="auto"/>
            </w:tcBorders>
          </w:tcPr>
          <w:p w14:paraId="6A947564" w14:textId="16F166DF" w:rsidR="79A6475B" w:rsidRDefault="2602F1D6" w:rsidP="79A6475B">
            <w:pPr>
              <w:rPr>
                <w:rFonts w:asciiTheme="minorHAnsi" w:eastAsiaTheme="minorEastAsia" w:hAnsiTheme="minorHAnsi"/>
              </w:rPr>
            </w:pPr>
            <w:r w:rsidRPr="2602F1D6">
              <w:rPr>
                <w:rFonts w:asciiTheme="minorHAnsi" w:eastAsiaTheme="minorEastAsia" w:hAnsiTheme="minorHAnsi"/>
              </w:rPr>
              <w:t>Couple no children, Sole parent 1 child, Couple 1child</w:t>
            </w:r>
          </w:p>
        </w:tc>
        <w:tc>
          <w:tcPr>
            <w:tcW w:w="1024" w:type="dxa"/>
            <w:tcBorders>
              <w:top w:val="single" w:sz="8" w:space="0" w:color="auto"/>
              <w:left w:val="single" w:sz="8" w:space="0" w:color="auto"/>
              <w:bottom w:val="single" w:sz="8" w:space="0" w:color="auto"/>
              <w:right w:val="single" w:sz="8" w:space="0" w:color="auto"/>
            </w:tcBorders>
          </w:tcPr>
          <w:p w14:paraId="2368A47F" w14:textId="6524018A" w:rsidR="79A6475B" w:rsidRDefault="79A6475B" w:rsidP="79A6475B">
            <w:pPr>
              <w:rPr>
                <w:rFonts w:asciiTheme="minorHAnsi" w:eastAsiaTheme="minorEastAsia" w:hAnsiTheme="minorHAnsi"/>
              </w:rPr>
            </w:pPr>
            <w:r w:rsidRPr="79A6475B">
              <w:rPr>
                <w:rFonts w:asciiTheme="minorHAnsi" w:eastAsiaTheme="minorEastAsia" w:hAnsiTheme="minorHAnsi"/>
              </w:rPr>
              <w:t>2brm unit</w:t>
            </w:r>
          </w:p>
        </w:tc>
        <w:tc>
          <w:tcPr>
            <w:tcW w:w="1034" w:type="dxa"/>
            <w:tcBorders>
              <w:top w:val="single" w:sz="8" w:space="0" w:color="auto"/>
              <w:left w:val="single" w:sz="8" w:space="0" w:color="auto"/>
              <w:bottom w:val="single" w:sz="8" w:space="0" w:color="auto"/>
              <w:right w:val="single" w:sz="8" w:space="0" w:color="auto"/>
            </w:tcBorders>
          </w:tcPr>
          <w:p w14:paraId="504A3C9B" w14:textId="54486DC2" w:rsidR="79A6475B" w:rsidRDefault="79A6475B" w:rsidP="503B900F">
            <w:pPr>
              <w:jc w:val="right"/>
              <w:rPr>
                <w:rFonts w:asciiTheme="minorHAnsi" w:eastAsiaTheme="minorEastAsia" w:hAnsiTheme="minorHAnsi"/>
              </w:rPr>
            </w:pPr>
            <w:r w:rsidRPr="79A6475B">
              <w:rPr>
                <w:rFonts w:asciiTheme="minorHAnsi" w:eastAsiaTheme="minorEastAsia" w:hAnsiTheme="minorHAnsi"/>
              </w:rPr>
              <w:t>$297</w:t>
            </w:r>
          </w:p>
        </w:tc>
        <w:tc>
          <w:tcPr>
            <w:tcW w:w="1062" w:type="dxa"/>
            <w:tcBorders>
              <w:top w:val="single" w:sz="8" w:space="0" w:color="auto"/>
              <w:left w:val="single" w:sz="8" w:space="0" w:color="auto"/>
              <w:bottom w:val="single" w:sz="8" w:space="0" w:color="auto"/>
              <w:right w:val="single" w:sz="8" w:space="0" w:color="auto"/>
            </w:tcBorders>
          </w:tcPr>
          <w:p w14:paraId="4B5DF70F" w14:textId="2EE40832" w:rsidR="79A6475B" w:rsidRDefault="294F0AC8" w:rsidP="503B900F">
            <w:pPr>
              <w:jc w:val="right"/>
              <w:rPr>
                <w:rFonts w:asciiTheme="minorHAnsi" w:eastAsiaTheme="minorEastAsia" w:hAnsiTheme="minorHAnsi"/>
              </w:rPr>
            </w:pPr>
            <w:r w:rsidRPr="294F0AC8">
              <w:rPr>
                <w:rFonts w:asciiTheme="minorHAnsi" w:eastAsiaTheme="minorEastAsia" w:hAnsiTheme="minorHAnsi"/>
              </w:rPr>
              <w:t>$340</w:t>
            </w:r>
          </w:p>
        </w:tc>
        <w:tc>
          <w:tcPr>
            <w:tcW w:w="1319" w:type="dxa"/>
            <w:tcBorders>
              <w:top w:val="single" w:sz="8" w:space="0" w:color="auto"/>
              <w:left w:val="single" w:sz="8" w:space="0" w:color="auto"/>
              <w:bottom w:val="single" w:sz="8" w:space="0" w:color="auto"/>
              <w:right w:val="single" w:sz="8" w:space="0" w:color="auto"/>
            </w:tcBorders>
          </w:tcPr>
          <w:p w14:paraId="42551F0D" w14:textId="40A42CB0" w:rsidR="79A6475B" w:rsidRDefault="294F0AC8" w:rsidP="503B900F">
            <w:pPr>
              <w:jc w:val="right"/>
              <w:rPr>
                <w:rFonts w:asciiTheme="minorHAnsi" w:eastAsiaTheme="minorEastAsia" w:hAnsiTheme="minorHAnsi"/>
              </w:rPr>
            </w:pPr>
            <w:r w:rsidRPr="294F0AC8">
              <w:rPr>
                <w:rFonts w:asciiTheme="minorHAnsi" w:eastAsiaTheme="minorEastAsia" w:hAnsiTheme="minorHAnsi"/>
              </w:rPr>
              <w:t>$193/$196</w:t>
            </w:r>
          </w:p>
          <w:p w14:paraId="0B17F0F9" w14:textId="04799ADF" w:rsidR="79A6475B" w:rsidRDefault="79A6475B" w:rsidP="503B900F">
            <w:pPr>
              <w:jc w:val="right"/>
              <w:rPr>
                <w:rFonts w:asciiTheme="minorHAnsi" w:eastAsiaTheme="minorEastAsia" w:hAnsiTheme="minorHAnsi"/>
              </w:rPr>
            </w:pPr>
          </w:p>
        </w:tc>
        <w:tc>
          <w:tcPr>
            <w:tcW w:w="1290" w:type="dxa"/>
            <w:tcBorders>
              <w:top w:val="single" w:sz="8" w:space="0" w:color="auto"/>
              <w:left w:val="single" w:sz="8" w:space="0" w:color="auto"/>
              <w:bottom w:val="single" w:sz="8" w:space="0" w:color="auto"/>
              <w:right w:val="single" w:sz="8" w:space="0" w:color="auto"/>
            </w:tcBorders>
          </w:tcPr>
          <w:p w14:paraId="16698BEB" w14:textId="0402A862" w:rsidR="79A6475B" w:rsidRDefault="294F0AC8" w:rsidP="503B900F">
            <w:pPr>
              <w:jc w:val="right"/>
              <w:rPr>
                <w:rFonts w:asciiTheme="minorHAnsi" w:eastAsiaTheme="minorEastAsia" w:hAnsiTheme="minorHAnsi"/>
              </w:rPr>
            </w:pPr>
            <w:r w:rsidRPr="294F0AC8">
              <w:rPr>
                <w:rFonts w:asciiTheme="minorHAnsi" w:eastAsiaTheme="minorEastAsia" w:hAnsiTheme="minorHAnsi"/>
              </w:rPr>
              <w:t>75%</w:t>
            </w:r>
          </w:p>
          <w:p w14:paraId="28D3EC3C" w14:textId="50326893" w:rsidR="79A6475B" w:rsidRDefault="79A6475B" w:rsidP="503B900F">
            <w:pPr>
              <w:jc w:val="right"/>
              <w:rPr>
                <w:rFonts w:asciiTheme="minorHAnsi" w:eastAsiaTheme="minorEastAsia" w:hAnsiTheme="minorHAnsi"/>
              </w:rPr>
            </w:pPr>
          </w:p>
        </w:tc>
        <w:tc>
          <w:tcPr>
            <w:tcW w:w="1470" w:type="dxa"/>
            <w:tcBorders>
              <w:top w:val="single" w:sz="8" w:space="0" w:color="auto"/>
              <w:left w:val="single" w:sz="8" w:space="0" w:color="auto"/>
              <w:bottom w:val="single" w:sz="8" w:space="0" w:color="auto"/>
              <w:right w:val="single" w:sz="8" w:space="0" w:color="auto"/>
            </w:tcBorders>
          </w:tcPr>
          <w:p w14:paraId="7051299C" w14:textId="0E483AD3" w:rsidR="79A6475B" w:rsidRDefault="294F0AC8" w:rsidP="503B900F">
            <w:pPr>
              <w:jc w:val="right"/>
              <w:rPr>
                <w:rFonts w:asciiTheme="minorHAnsi" w:eastAsiaTheme="minorEastAsia" w:hAnsiTheme="minorHAnsi"/>
              </w:rPr>
            </w:pPr>
            <w:r w:rsidRPr="294F0AC8">
              <w:rPr>
                <w:rFonts w:asciiTheme="minorHAnsi" w:eastAsiaTheme="minorEastAsia" w:hAnsiTheme="minorHAnsi"/>
              </w:rPr>
              <w:t>$70/$87</w:t>
            </w:r>
          </w:p>
        </w:tc>
      </w:tr>
      <w:tr w:rsidR="79A6475B" w14:paraId="0448F146" w14:textId="77777777" w:rsidTr="441B4D7A">
        <w:trPr>
          <w:trHeight w:val="420"/>
        </w:trPr>
        <w:tc>
          <w:tcPr>
            <w:tcW w:w="1485" w:type="dxa"/>
            <w:tcBorders>
              <w:top w:val="single" w:sz="8" w:space="0" w:color="auto"/>
              <w:left w:val="single" w:sz="8" w:space="0" w:color="auto"/>
              <w:bottom w:val="single" w:sz="8" w:space="0" w:color="auto"/>
              <w:right w:val="single" w:sz="8" w:space="0" w:color="auto"/>
            </w:tcBorders>
          </w:tcPr>
          <w:p w14:paraId="73EAE18F" w14:textId="75C71955" w:rsidR="79A6475B" w:rsidRDefault="2602F1D6" w:rsidP="79A6475B">
            <w:pPr>
              <w:rPr>
                <w:rFonts w:asciiTheme="minorHAnsi" w:eastAsiaTheme="minorEastAsia" w:hAnsiTheme="minorHAnsi"/>
              </w:rPr>
            </w:pPr>
            <w:r w:rsidRPr="2602F1D6">
              <w:rPr>
                <w:rFonts w:asciiTheme="minorHAnsi" w:eastAsiaTheme="minorEastAsia" w:hAnsiTheme="minorHAnsi"/>
              </w:rPr>
              <w:t>Sole parent</w:t>
            </w:r>
            <w:r w:rsidR="79A6475B">
              <w:br/>
            </w:r>
            <w:r w:rsidRPr="2602F1D6">
              <w:rPr>
                <w:rFonts w:asciiTheme="minorHAnsi" w:eastAsiaTheme="minorEastAsia" w:hAnsiTheme="minorHAnsi"/>
              </w:rPr>
              <w:t xml:space="preserve">2 children, Couple </w:t>
            </w:r>
            <w:r w:rsidR="79A6475B">
              <w:br/>
            </w:r>
            <w:r w:rsidRPr="2602F1D6">
              <w:rPr>
                <w:rFonts w:asciiTheme="minorHAnsi" w:eastAsiaTheme="minorEastAsia" w:hAnsiTheme="minorHAnsi"/>
              </w:rPr>
              <w:t>2 children,</w:t>
            </w:r>
          </w:p>
        </w:tc>
        <w:tc>
          <w:tcPr>
            <w:tcW w:w="1024" w:type="dxa"/>
            <w:tcBorders>
              <w:top w:val="single" w:sz="8" w:space="0" w:color="auto"/>
              <w:left w:val="single" w:sz="8" w:space="0" w:color="auto"/>
              <w:bottom w:val="single" w:sz="8" w:space="0" w:color="auto"/>
              <w:right w:val="single" w:sz="8" w:space="0" w:color="auto"/>
            </w:tcBorders>
          </w:tcPr>
          <w:p w14:paraId="0E9A0385" w14:textId="7EAAC5A3" w:rsidR="79A6475B" w:rsidRDefault="280C9BAE" w:rsidP="79A6475B">
            <w:pPr>
              <w:rPr>
                <w:rFonts w:asciiTheme="minorHAnsi" w:eastAsiaTheme="minorEastAsia" w:hAnsiTheme="minorHAnsi"/>
              </w:rPr>
            </w:pPr>
            <w:r w:rsidRPr="280C9BAE">
              <w:rPr>
                <w:rFonts w:asciiTheme="minorHAnsi" w:eastAsiaTheme="minorEastAsia" w:hAnsiTheme="minorHAnsi"/>
              </w:rPr>
              <w:t>3brm</w:t>
            </w:r>
            <w:r w:rsidR="79A6475B" w:rsidRPr="79A6475B">
              <w:rPr>
                <w:rFonts w:asciiTheme="minorHAnsi" w:eastAsiaTheme="minorEastAsia" w:hAnsiTheme="minorHAnsi"/>
              </w:rPr>
              <w:t xml:space="preserve"> house</w:t>
            </w:r>
          </w:p>
        </w:tc>
        <w:tc>
          <w:tcPr>
            <w:tcW w:w="1034" w:type="dxa"/>
            <w:tcBorders>
              <w:top w:val="single" w:sz="8" w:space="0" w:color="auto"/>
              <w:left w:val="single" w:sz="8" w:space="0" w:color="auto"/>
              <w:bottom w:val="single" w:sz="8" w:space="0" w:color="auto"/>
              <w:right w:val="single" w:sz="8" w:space="0" w:color="auto"/>
            </w:tcBorders>
          </w:tcPr>
          <w:p w14:paraId="7C2EA7D2" w14:textId="0C3CFB35" w:rsidR="79A6475B" w:rsidRDefault="79A6475B" w:rsidP="503B900F">
            <w:pPr>
              <w:jc w:val="right"/>
              <w:rPr>
                <w:rFonts w:asciiTheme="minorHAnsi" w:eastAsiaTheme="minorEastAsia" w:hAnsiTheme="minorHAnsi"/>
              </w:rPr>
            </w:pPr>
            <w:r w:rsidRPr="79A6475B">
              <w:rPr>
                <w:rFonts w:asciiTheme="minorHAnsi" w:eastAsiaTheme="minorEastAsia" w:hAnsiTheme="minorHAnsi"/>
              </w:rPr>
              <w:t>$340</w:t>
            </w:r>
          </w:p>
        </w:tc>
        <w:tc>
          <w:tcPr>
            <w:tcW w:w="1062" w:type="dxa"/>
            <w:tcBorders>
              <w:top w:val="single" w:sz="8" w:space="0" w:color="auto"/>
              <w:left w:val="single" w:sz="8" w:space="0" w:color="auto"/>
              <w:bottom w:val="single" w:sz="8" w:space="0" w:color="auto"/>
              <w:right w:val="single" w:sz="8" w:space="0" w:color="auto"/>
            </w:tcBorders>
          </w:tcPr>
          <w:p w14:paraId="499C7AB8" w14:textId="1F65C376" w:rsidR="79A6475B" w:rsidRDefault="294F0AC8" w:rsidP="503B900F">
            <w:pPr>
              <w:jc w:val="right"/>
              <w:rPr>
                <w:rFonts w:asciiTheme="minorHAnsi" w:eastAsiaTheme="minorEastAsia" w:hAnsiTheme="minorHAnsi"/>
              </w:rPr>
            </w:pPr>
            <w:r w:rsidRPr="294F0AC8">
              <w:rPr>
                <w:rFonts w:asciiTheme="minorHAnsi" w:eastAsiaTheme="minorEastAsia" w:hAnsiTheme="minorHAnsi"/>
              </w:rPr>
              <w:t>$389</w:t>
            </w:r>
          </w:p>
        </w:tc>
        <w:tc>
          <w:tcPr>
            <w:tcW w:w="1319" w:type="dxa"/>
            <w:tcBorders>
              <w:top w:val="single" w:sz="8" w:space="0" w:color="auto"/>
              <w:left w:val="single" w:sz="8" w:space="0" w:color="auto"/>
              <w:bottom w:val="single" w:sz="8" w:space="0" w:color="auto"/>
              <w:right w:val="single" w:sz="8" w:space="0" w:color="auto"/>
            </w:tcBorders>
          </w:tcPr>
          <w:p w14:paraId="6F66E22B" w14:textId="3E5633C5" w:rsidR="79A6475B" w:rsidRDefault="294F0AC8" w:rsidP="503B900F">
            <w:pPr>
              <w:jc w:val="right"/>
              <w:rPr>
                <w:rFonts w:asciiTheme="minorHAnsi" w:eastAsiaTheme="minorEastAsia" w:hAnsiTheme="minorHAnsi"/>
              </w:rPr>
            </w:pPr>
            <w:r w:rsidRPr="294F0AC8">
              <w:rPr>
                <w:rFonts w:asciiTheme="minorHAnsi" w:eastAsiaTheme="minorEastAsia" w:hAnsiTheme="minorHAnsi"/>
              </w:rPr>
              <w:t>$196/$236</w:t>
            </w:r>
          </w:p>
          <w:p w14:paraId="7CC9173C" w14:textId="648F3BF0" w:rsidR="79A6475B" w:rsidRDefault="79A6475B" w:rsidP="503B900F">
            <w:pPr>
              <w:jc w:val="right"/>
              <w:rPr>
                <w:rFonts w:asciiTheme="minorHAnsi" w:eastAsiaTheme="minorEastAsia" w:hAnsiTheme="minorHAnsi"/>
              </w:rPr>
            </w:pPr>
            <w:r w:rsidRPr="79A6475B">
              <w:rPr>
                <w:rFonts w:asciiTheme="minorHAnsi" w:eastAsiaTheme="minorEastAsia" w:hAnsiTheme="minorHAnsi"/>
              </w:rPr>
              <w:t xml:space="preserve"> </w:t>
            </w:r>
          </w:p>
        </w:tc>
        <w:tc>
          <w:tcPr>
            <w:tcW w:w="1290" w:type="dxa"/>
            <w:tcBorders>
              <w:top w:val="single" w:sz="8" w:space="0" w:color="auto"/>
              <w:left w:val="single" w:sz="8" w:space="0" w:color="auto"/>
              <w:bottom w:val="single" w:sz="8" w:space="0" w:color="auto"/>
              <w:right w:val="single" w:sz="8" w:space="0" w:color="auto"/>
            </w:tcBorders>
          </w:tcPr>
          <w:p w14:paraId="49ACB6FF" w14:textId="1B30AEC6" w:rsidR="79A6475B" w:rsidRDefault="294F0AC8" w:rsidP="503B900F">
            <w:pPr>
              <w:jc w:val="right"/>
              <w:rPr>
                <w:rFonts w:asciiTheme="minorHAnsi" w:eastAsiaTheme="minorEastAsia" w:hAnsiTheme="minorHAnsi"/>
              </w:rPr>
            </w:pPr>
            <w:r w:rsidRPr="294F0AC8">
              <w:rPr>
                <w:rFonts w:asciiTheme="minorHAnsi" w:eastAsiaTheme="minorEastAsia" w:hAnsiTheme="minorHAnsi"/>
              </w:rPr>
              <w:t>80%</w:t>
            </w:r>
          </w:p>
          <w:p w14:paraId="21B7B8A3" w14:textId="342046B2" w:rsidR="79A6475B" w:rsidRDefault="79A6475B" w:rsidP="503B900F">
            <w:pPr>
              <w:jc w:val="right"/>
              <w:rPr>
                <w:rFonts w:asciiTheme="minorHAnsi" w:eastAsiaTheme="minorEastAsia" w:hAnsiTheme="minorHAnsi"/>
              </w:rPr>
            </w:pPr>
            <w:r w:rsidRPr="79A6475B">
              <w:rPr>
                <w:rFonts w:asciiTheme="minorHAnsi" w:eastAsiaTheme="minorEastAsia" w:hAnsiTheme="minorHAnsi"/>
              </w:rPr>
              <w:t xml:space="preserve"> </w:t>
            </w:r>
          </w:p>
        </w:tc>
        <w:tc>
          <w:tcPr>
            <w:tcW w:w="1470" w:type="dxa"/>
            <w:tcBorders>
              <w:top w:val="single" w:sz="8" w:space="0" w:color="auto"/>
              <w:left w:val="single" w:sz="8" w:space="0" w:color="auto"/>
              <w:bottom w:val="single" w:sz="8" w:space="0" w:color="auto"/>
              <w:right w:val="single" w:sz="8" w:space="0" w:color="auto"/>
            </w:tcBorders>
          </w:tcPr>
          <w:p w14:paraId="768E60E8" w14:textId="136A09A7" w:rsidR="79A6475B" w:rsidRDefault="294F0AC8" w:rsidP="503B900F">
            <w:pPr>
              <w:jc w:val="right"/>
              <w:rPr>
                <w:rFonts w:asciiTheme="minorHAnsi" w:eastAsiaTheme="minorEastAsia" w:hAnsiTheme="minorHAnsi"/>
              </w:rPr>
            </w:pPr>
            <w:r w:rsidRPr="294F0AC8">
              <w:rPr>
                <w:rFonts w:asciiTheme="minorHAnsi" w:eastAsiaTheme="minorEastAsia" w:hAnsiTheme="minorHAnsi"/>
              </w:rPr>
              <w:t>$87</w:t>
            </w:r>
          </w:p>
        </w:tc>
      </w:tr>
      <w:tr w:rsidR="294F0AC8" w14:paraId="76B2F709" w14:textId="77777777" w:rsidTr="441B4D7A">
        <w:trPr>
          <w:trHeight w:val="420"/>
        </w:trPr>
        <w:tc>
          <w:tcPr>
            <w:tcW w:w="1485" w:type="dxa"/>
            <w:tcBorders>
              <w:top w:val="single" w:sz="8" w:space="0" w:color="auto"/>
              <w:left w:val="single" w:sz="8" w:space="0" w:color="auto"/>
              <w:bottom w:val="single" w:sz="8" w:space="0" w:color="auto"/>
              <w:right w:val="single" w:sz="8" w:space="0" w:color="auto"/>
            </w:tcBorders>
          </w:tcPr>
          <w:p w14:paraId="40598FA5" w14:textId="6E684250" w:rsidR="294F0AC8" w:rsidRDefault="294F0AC8" w:rsidP="294F0AC8">
            <w:pPr>
              <w:rPr>
                <w:rFonts w:asciiTheme="minorHAnsi" w:eastAsiaTheme="minorEastAsia" w:hAnsiTheme="minorHAnsi"/>
              </w:rPr>
            </w:pPr>
            <w:r w:rsidRPr="294F0AC8">
              <w:rPr>
                <w:rFonts w:asciiTheme="minorHAnsi" w:eastAsiaTheme="minorEastAsia" w:hAnsiTheme="minorHAnsi"/>
              </w:rPr>
              <w:t>Overall average increase (%)</w:t>
            </w:r>
          </w:p>
        </w:tc>
        <w:tc>
          <w:tcPr>
            <w:tcW w:w="1024" w:type="dxa"/>
            <w:tcBorders>
              <w:top w:val="single" w:sz="8" w:space="0" w:color="auto"/>
              <w:left w:val="single" w:sz="8" w:space="0" w:color="auto"/>
              <w:bottom w:val="single" w:sz="8" w:space="0" w:color="auto"/>
              <w:right w:val="single" w:sz="8" w:space="0" w:color="auto"/>
            </w:tcBorders>
          </w:tcPr>
          <w:p w14:paraId="4CC466CF" w14:textId="7E33393A" w:rsidR="294F0AC8" w:rsidRDefault="294F0AC8" w:rsidP="294F0AC8">
            <w:pPr>
              <w:rPr>
                <w:rFonts w:asciiTheme="minorHAnsi" w:eastAsiaTheme="minorEastAsia" w:hAnsiTheme="minorHAnsi"/>
              </w:rPr>
            </w:pPr>
          </w:p>
        </w:tc>
        <w:tc>
          <w:tcPr>
            <w:tcW w:w="1034" w:type="dxa"/>
            <w:tcBorders>
              <w:top w:val="single" w:sz="8" w:space="0" w:color="auto"/>
              <w:left w:val="single" w:sz="8" w:space="0" w:color="auto"/>
              <w:bottom w:val="single" w:sz="8" w:space="0" w:color="auto"/>
              <w:right w:val="single" w:sz="8" w:space="0" w:color="auto"/>
            </w:tcBorders>
          </w:tcPr>
          <w:p w14:paraId="3DF60BA9" w14:textId="2192249D" w:rsidR="294F0AC8" w:rsidRDefault="294F0AC8" w:rsidP="503B900F">
            <w:pPr>
              <w:jc w:val="right"/>
              <w:rPr>
                <w:rFonts w:asciiTheme="minorHAnsi" w:eastAsiaTheme="minorEastAsia" w:hAnsiTheme="minorHAnsi"/>
              </w:rPr>
            </w:pPr>
          </w:p>
        </w:tc>
        <w:tc>
          <w:tcPr>
            <w:tcW w:w="1062" w:type="dxa"/>
            <w:tcBorders>
              <w:top w:val="single" w:sz="8" w:space="0" w:color="auto"/>
              <w:left w:val="single" w:sz="8" w:space="0" w:color="auto"/>
              <w:bottom w:val="single" w:sz="8" w:space="0" w:color="auto"/>
              <w:right w:val="single" w:sz="8" w:space="0" w:color="auto"/>
            </w:tcBorders>
          </w:tcPr>
          <w:p w14:paraId="15CBC915" w14:textId="005B09D4" w:rsidR="294F0AC8" w:rsidRDefault="294F0AC8" w:rsidP="503B900F">
            <w:pPr>
              <w:jc w:val="right"/>
              <w:rPr>
                <w:rFonts w:asciiTheme="minorHAnsi" w:eastAsiaTheme="minorEastAsia" w:hAnsiTheme="minorHAnsi"/>
              </w:rPr>
            </w:pPr>
            <w:r w:rsidRPr="294F0AC8">
              <w:rPr>
                <w:rFonts w:asciiTheme="minorHAnsi" w:eastAsiaTheme="minorEastAsia" w:hAnsiTheme="minorHAnsi"/>
              </w:rPr>
              <w:t>14.5%</w:t>
            </w:r>
          </w:p>
        </w:tc>
        <w:tc>
          <w:tcPr>
            <w:tcW w:w="1319" w:type="dxa"/>
            <w:tcBorders>
              <w:top w:val="single" w:sz="8" w:space="0" w:color="auto"/>
              <w:left w:val="single" w:sz="8" w:space="0" w:color="auto"/>
              <w:bottom w:val="single" w:sz="8" w:space="0" w:color="auto"/>
              <w:right w:val="single" w:sz="8" w:space="0" w:color="auto"/>
            </w:tcBorders>
          </w:tcPr>
          <w:p w14:paraId="2CB7B72E" w14:textId="72838EFD" w:rsidR="294F0AC8" w:rsidRDefault="294F0AC8" w:rsidP="503B900F">
            <w:pPr>
              <w:jc w:val="right"/>
              <w:rPr>
                <w:rFonts w:asciiTheme="minorHAnsi" w:eastAsiaTheme="minorEastAsia" w:hAnsiTheme="minorHAnsi"/>
              </w:rPr>
            </w:pPr>
          </w:p>
          <w:p w14:paraId="33858155" w14:textId="78411170" w:rsidR="294F0AC8" w:rsidRDefault="294F0AC8" w:rsidP="503B900F">
            <w:pPr>
              <w:jc w:val="right"/>
              <w:rPr>
                <w:rFonts w:asciiTheme="minorHAnsi" w:eastAsiaTheme="minorEastAsia" w:hAnsiTheme="minorHAnsi"/>
              </w:rPr>
            </w:pPr>
          </w:p>
        </w:tc>
        <w:tc>
          <w:tcPr>
            <w:tcW w:w="1290" w:type="dxa"/>
            <w:tcBorders>
              <w:top w:val="single" w:sz="8" w:space="0" w:color="auto"/>
              <w:left w:val="single" w:sz="8" w:space="0" w:color="auto"/>
              <w:bottom w:val="single" w:sz="8" w:space="0" w:color="auto"/>
              <w:right w:val="single" w:sz="8" w:space="0" w:color="auto"/>
            </w:tcBorders>
          </w:tcPr>
          <w:p w14:paraId="3A6F434E" w14:textId="216BB78E" w:rsidR="294F0AC8" w:rsidRDefault="294F0AC8" w:rsidP="503B900F">
            <w:pPr>
              <w:jc w:val="right"/>
              <w:rPr>
                <w:rFonts w:asciiTheme="minorHAnsi" w:eastAsiaTheme="minorEastAsia" w:hAnsiTheme="minorHAnsi"/>
              </w:rPr>
            </w:pPr>
            <w:r w:rsidRPr="294F0AC8">
              <w:rPr>
                <w:rFonts w:asciiTheme="minorHAnsi" w:eastAsiaTheme="minorEastAsia" w:hAnsiTheme="minorHAnsi"/>
              </w:rPr>
              <w:t>70%</w:t>
            </w:r>
          </w:p>
          <w:p w14:paraId="245F4C1D" w14:textId="409C6EF7" w:rsidR="294F0AC8" w:rsidRDefault="294F0AC8" w:rsidP="503B900F">
            <w:pPr>
              <w:jc w:val="right"/>
              <w:rPr>
                <w:rFonts w:asciiTheme="minorHAnsi" w:eastAsiaTheme="minorEastAsia" w:hAnsiTheme="minorHAnsi"/>
              </w:rPr>
            </w:pPr>
          </w:p>
        </w:tc>
        <w:tc>
          <w:tcPr>
            <w:tcW w:w="1470" w:type="dxa"/>
            <w:tcBorders>
              <w:top w:val="single" w:sz="8" w:space="0" w:color="auto"/>
              <w:left w:val="single" w:sz="8" w:space="0" w:color="auto"/>
              <w:bottom w:val="single" w:sz="8" w:space="0" w:color="auto"/>
              <w:right w:val="single" w:sz="8" w:space="0" w:color="auto"/>
            </w:tcBorders>
          </w:tcPr>
          <w:p w14:paraId="1EE1FA7D" w14:textId="1D6B70C4" w:rsidR="294F0AC8" w:rsidRDefault="294F0AC8" w:rsidP="503B900F">
            <w:pPr>
              <w:jc w:val="right"/>
              <w:rPr>
                <w:rFonts w:asciiTheme="minorHAnsi" w:eastAsiaTheme="minorEastAsia" w:hAnsiTheme="minorHAnsi"/>
              </w:rPr>
            </w:pPr>
            <w:r w:rsidRPr="294F0AC8">
              <w:rPr>
                <w:rFonts w:asciiTheme="minorHAnsi" w:eastAsiaTheme="minorEastAsia" w:hAnsiTheme="minorHAnsi"/>
              </w:rPr>
              <w:t>52%</w:t>
            </w:r>
            <w:r w:rsidRPr="294F0AC8">
              <w:rPr>
                <w:rFonts w:asciiTheme="minorHAnsi" w:eastAsiaTheme="minorEastAsia" w:hAnsiTheme="minorHAnsi"/>
                <w:sz w:val="18"/>
                <w:szCs w:val="18"/>
              </w:rPr>
              <w:t xml:space="preserve"> </w:t>
            </w:r>
          </w:p>
        </w:tc>
      </w:tr>
    </w:tbl>
    <w:p w14:paraId="28BA51CD" w14:textId="793A751C" w:rsidR="79A6475B" w:rsidRDefault="294F0AC8" w:rsidP="294F0AC8">
      <w:pPr>
        <w:spacing w:line="240" w:lineRule="exact"/>
        <w:rPr>
          <w:rFonts w:asciiTheme="minorHAnsi" w:eastAsiaTheme="minorEastAsia" w:hAnsiTheme="minorHAnsi"/>
          <w:sz w:val="18"/>
          <w:szCs w:val="18"/>
        </w:rPr>
      </w:pPr>
      <w:r w:rsidRPr="294F0AC8">
        <w:rPr>
          <w:rFonts w:asciiTheme="minorHAnsi" w:eastAsiaTheme="minorEastAsia" w:hAnsiTheme="minorHAnsi"/>
          <w:sz w:val="18"/>
          <w:szCs w:val="18"/>
        </w:rPr>
        <w:t xml:space="preserve">Source: Saunders et al (2017) </w:t>
      </w:r>
      <w:r w:rsidR="2602F1D6" w:rsidRPr="2602F1D6">
        <w:rPr>
          <w:rFonts w:asciiTheme="minorHAnsi" w:eastAsiaTheme="minorEastAsia" w:hAnsiTheme="minorHAnsi"/>
          <w:sz w:val="18"/>
          <w:szCs w:val="18"/>
        </w:rPr>
        <w:t>'Healthy</w:t>
      </w:r>
      <w:r w:rsidRPr="294F0AC8">
        <w:rPr>
          <w:rFonts w:asciiTheme="minorHAnsi" w:eastAsiaTheme="minorEastAsia" w:hAnsiTheme="minorHAnsi"/>
          <w:sz w:val="18"/>
          <w:szCs w:val="18"/>
        </w:rPr>
        <w:t xml:space="preserve"> living budgets for unemployed and low paid </w:t>
      </w:r>
      <w:r w:rsidR="2602F1D6" w:rsidRPr="2602F1D6">
        <w:rPr>
          <w:rFonts w:asciiTheme="minorHAnsi" w:eastAsiaTheme="minorEastAsia" w:hAnsiTheme="minorHAnsi"/>
          <w:sz w:val="18"/>
          <w:szCs w:val="18"/>
        </w:rPr>
        <w:t>workers'</w:t>
      </w:r>
      <w:r w:rsidRPr="294F0AC8">
        <w:rPr>
          <w:rFonts w:asciiTheme="minorHAnsi" w:eastAsiaTheme="minorEastAsia" w:hAnsiTheme="minorHAnsi"/>
          <w:sz w:val="18"/>
          <w:szCs w:val="18"/>
        </w:rPr>
        <w:t xml:space="preserve">, Social Policy Research Centre UNSW Sydney. </w:t>
      </w:r>
      <w:r w:rsidR="68A7F637">
        <w:br/>
      </w:r>
      <w:r w:rsidRPr="294F0AC8">
        <w:rPr>
          <w:rFonts w:asciiTheme="minorHAnsi" w:eastAsiaTheme="minorEastAsia" w:hAnsiTheme="minorHAnsi"/>
          <w:sz w:val="18"/>
          <w:szCs w:val="18"/>
        </w:rPr>
        <w:t>Note: * Lowest quartile, average values for outer Syd/</w:t>
      </w:r>
      <w:proofErr w:type="spellStart"/>
      <w:r w:rsidRPr="294F0AC8">
        <w:rPr>
          <w:rFonts w:asciiTheme="minorHAnsi" w:eastAsiaTheme="minorEastAsia" w:hAnsiTheme="minorHAnsi"/>
          <w:sz w:val="18"/>
          <w:szCs w:val="18"/>
        </w:rPr>
        <w:t>Melb</w:t>
      </w:r>
      <w:proofErr w:type="spellEnd"/>
      <w:r w:rsidRPr="294F0AC8">
        <w:rPr>
          <w:rFonts w:asciiTheme="minorHAnsi" w:eastAsiaTheme="minorEastAsia" w:hAnsiTheme="minorHAnsi"/>
          <w:sz w:val="18"/>
          <w:szCs w:val="18"/>
        </w:rPr>
        <w:t xml:space="preserve">/Bris. Indexed to September 2021 by movements in median rents across the three cities 14.5%). </w:t>
      </w:r>
      <w:r w:rsidR="68A7F637">
        <w:br/>
      </w:r>
      <w:r w:rsidRPr="294F0AC8">
        <w:rPr>
          <w:rFonts w:asciiTheme="minorHAnsi" w:eastAsiaTheme="minorEastAsia" w:hAnsiTheme="minorHAnsi"/>
          <w:sz w:val="18"/>
          <w:szCs w:val="18"/>
        </w:rPr>
        <w:t xml:space="preserve"># Current maximum rent thresholds shown here are for single parents/couples. </w:t>
      </w:r>
      <w:r w:rsidR="68A7F637">
        <w:br/>
      </w:r>
      <w:r w:rsidRPr="294F0AC8">
        <w:rPr>
          <w:rFonts w:asciiTheme="minorHAnsi" w:eastAsiaTheme="minorEastAsia" w:hAnsiTheme="minorHAnsi"/>
          <w:sz w:val="18"/>
          <w:szCs w:val="18"/>
        </w:rPr>
        <w:t xml:space="preserve">^ Overall average increase is 70%, which is equivalent to a 52% increase in maximum rates of CRA, since the maximum rate is 75% of the difference between rent paid (up to the upper rent thresholds) and the minimum rent threshold. Proposed uniform increase in maximum rates = 75% of 70% = 52%. </w:t>
      </w:r>
    </w:p>
    <w:p w14:paraId="009204A4" w14:textId="2AF15409" w:rsidR="242EC26B" w:rsidRDefault="242EC26B" w:rsidP="79A6475B">
      <w:pPr>
        <w:spacing w:line="240" w:lineRule="auto"/>
        <w:rPr>
          <w:rFonts w:eastAsia="Verdana" w:cs="Verdana"/>
          <w:color w:val="143156"/>
        </w:rPr>
      </w:pPr>
      <w:r w:rsidRPr="2602F1D6">
        <w:rPr>
          <w:rFonts w:eastAsia="Verdana" w:cs="Verdana"/>
          <w:b/>
          <w:i/>
        </w:rPr>
        <w:t>Disability and Illness Supplement</w:t>
      </w:r>
      <w:r>
        <w:br/>
      </w:r>
      <w:r>
        <w:br/>
      </w:r>
      <w:r w:rsidRPr="2602F1D6">
        <w:rPr>
          <w:rFonts w:eastAsia="Verdana" w:cs="Verdana"/>
        </w:rPr>
        <w:t xml:space="preserve">We propose that people with a disability or illness receive a supplement that </w:t>
      </w:r>
      <w:proofErr w:type="spellStart"/>
      <w:r w:rsidRPr="2602F1D6">
        <w:rPr>
          <w:rFonts w:eastAsia="Verdana" w:cs="Verdana"/>
        </w:rPr>
        <w:t>recognises</w:t>
      </w:r>
      <w:proofErr w:type="spellEnd"/>
      <w:r w:rsidRPr="2602F1D6">
        <w:rPr>
          <w:rFonts w:eastAsia="Verdana" w:cs="Verdana"/>
        </w:rPr>
        <w:t xml:space="preserve"> the additional costs they face </w:t>
      </w:r>
      <w:r w:rsidR="003910DE" w:rsidRPr="2602F1D6">
        <w:rPr>
          <w:rFonts w:eastAsia="Verdana" w:cs="Verdana"/>
        </w:rPr>
        <w:t>because of</w:t>
      </w:r>
      <w:r w:rsidRPr="2602F1D6">
        <w:rPr>
          <w:rFonts w:eastAsia="Verdana" w:cs="Verdana"/>
        </w:rPr>
        <w:t xml:space="preserve"> </w:t>
      </w:r>
      <w:r w:rsidR="280C9BAE" w:rsidRPr="2602F1D6">
        <w:rPr>
          <w:rFonts w:eastAsia="Verdana" w:cs="Verdana"/>
        </w:rPr>
        <w:t xml:space="preserve">that </w:t>
      </w:r>
      <w:r w:rsidRPr="2602F1D6">
        <w:rPr>
          <w:rFonts w:eastAsia="Verdana" w:cs="Verdana"/>
        </w:rPr>
        <w:t>disability or illness. It has been well-established that disability and illness incur additional costs, including healthcare, equipment, transport</w:t>
      </w:r>
      <w:r w:rsidR="2602F1D6" w:rsidRPr="2602F1D6">
        <w:rPr>
          <w:rFonts w:eastAsia="Verdana" w:cs="Verdana"/>
        </w:rPr>
        <w:t>,</w:t>
      </w:r>
      <w:r w:rsidRPr="2602F1D6">
        <w:rPr>
          <w:rFonts w:eastAsia="Verdana" w:cs="Verdana"/>
        </w:rPr>
        <w:t xml:space="preserve"> and housing costs.</w:t>
      </w:r>
    </w:p>
    <w:p w14:paraId="0D24FA86" w14:textId="74C0F35B" w:rsidR="242EC26B" w:rsidRDefault="242EC26B" w:rsidP="294F0AC8">
      <w:pPr>
        <w:spacing w:line="240" w:lineRule="auto"/>
        <w:rPr>
          <w:rFonts w:eastAsia="Verdana" w:cs="Verdana"/>
        </w:rPr>
      </w:pPr>
      <w:r w:rsidRPr="294F0AC8">
        <w:rPr>
          <w:rFonts w:eastAsia="Verdana" w:cs="Verdana"/>
        </w:rPr>
        <w:t>This supplement should reflect the rates outlined by the 2019 NATSEM report into the cost of disability</w:t>
      </w:r>
      <w:r w:rsidR="280C9BAE" w:rsidRPr="294F0AC8">
        <w:rPr>
          <w:rFonts w:eastAsia="Verdana" w:cs="Verdana"/>
        </w:rPr>
        <w:t>.</w:t>
      </w:r>
      <w:r w:rsidRPr="294F0AC8">
        <w:rPr>
          <w:rStyle w:val="FootnoteReference"/>
          <w:rFonts w:eastAsia="Verdana" w:cs="Verdana"/>
        </w:rPr>
        <w:footnoteReference w:id="4"/>
      </w:r>
      <w:r w:rsidRPr="294F0AC8">
        <w:rPr>
          <w:rFonts w:eastAsia="Verdana" w:cs="Verdana"/>
        </w:rPr>
        <w:t xml:space="preserve"> NATSEM showed that a single person with a disability receiving the Disability Support Pension needs an extra $50 per week to achieve the same standard of living as someone without a disability receiving a pension</w:t>
      </w:r>
      <w:r w:rsidR="280C9BAE" w:rsidRPr="294F0AC8">
        <w:rPr>
          <w:rFonts w:eastAsia="Verdana" w:cs="Verdana"/>
        </w:rPr>
        <w:t>.</w:t>
      </w:r>
      <w:r w:rsidRPr="294F0AC8">
        <w:rPr>
          <w:rStyle w:val="FootnoteReference"/>
          <w:rFonts w:eastAsia="Verdana" w:cs="Verdana"/>
        </w:rPr>
        <w:footnoteReference w:id="5"/>
      </w:r>
    </w:p>
    <w:p w14:paraId="2DF0F2D4" w14:textId="57AC6806" w:rsidR="242EC26B" w:rsidRDefault="242EC26B" w:rsidP="79A6475B">
      <w:pPr>
        <w:spacing w:line="240" w:lineRule="auto"/>
        <w:rPr>
          <w:rFonts w:eastAsia="Verdana" w:cs="Verdana"/>
        </w:rPr>
      </w:pPr>
      <w:r w:rsidRPr="2602F1D6">
        <w:rPr>
          <w:rFonts w:eastAsia="Verdana" w:cs="Verdana"/>
        </w:rPr>
        <w:t xml:space="preserve">This supplement should be available to people with </w:t>
      </w:r>
      <w:r w:rsidR="2602F1D6" w:rsidRPr="2602F1D6">
        <w:rPr>
          <w:rFonts w:eastAsia="Verdana" w:cs="Verdana"/>
        </w:rPr>
        <w:t>disabilities</w:t>
      </w:r>
      <w:r w:rsidRPr="2602F1D6">
        <w:rPr>
          <w:rFonts w:eastAsia="Verdana" w:cs="Verdana"/>
        </w:rPr>
        <w:t>, as well as people with an illness that prevents them from undertaking full-time paid work.</w:t>
      </w:r>
    </w:p>
    <w:p w14:paraId="5F6D33A8" w14:textId="04BABF74" w:rsidR="242EC26B" w:rsidRDefault="242EC26B" w:rsidP="79A6475B">
      <w:pPr>
        <w:rPr>
          <w:rFonts w:eastAsia="Verdana" w:cs="Verdana"/>
          <w:b/>
          <w:bCs/>
          <w:i/>
          <w:iCs/>
          <w:szCs w:val="20"/>
        </w:rPr>
      </w:pPr>
      <w:r w:rsidRPr="79A6475B">
        <w:rPr>
          <w:rFonts w:eastAsia="Verdana" w:cs="Verdana"/>
          <w:b/>
          <w:bCs/>
          <w:i/>
          <w:iCs/>
          <w:szCs w:val="20"/>
        </w:rPr>
        <w:lastRenderedPageBreak/>
        <w:t xml:space="preserve">Single Parent Supplement </w:t>
      </w:r>
    </w:p>
    <w:p w14:paraId="1F142D6D" w14:textId="6625C77D" w:rsidR="79A6475B" w:rsidRDefault="280C9BAE" w:rsidP="294F0AC8">
      <w:pPr>
        <w:rPr>
          <w:rFonts w:eastAsia="Calibri" w:cs="Arial"/>
          <w:vertAlign w:val="superscript"/>
        </w:rPr>
      </w:pPr>
      <w:r>
        <w:t>Out of all family types, single parent households are at greatest risk of living in poverty, with 35% of single parents living below the poverty line.</w:t>
      </w:r>
      <w:r w:rsidR="006A3A0A">
        <w:rPr>
          <w:rStyle w:val="FootnoteReference"/>
        </w:rPr>
        <w:footnoteReference w:id="6"/>
      </w:r>
      <w:r w:rsidR="006A3A0A">
        <w:t xml:space="preserve"> </w:t>
      </w:r>
      <w:r>
        <w:t>Almost 50% of children in single parent households live in poverty (44.5%).</w:t>
      </w:r>
      <w:r w:rsidR="006A3A0A">
        <w:rPr>
          <w:rStyle w:val="FootnoteReference"/>
        </w:rPr>
        <w:footnoteReference w:id="7"/>
      </w:r>
    </w:p>
    <w:p w14:paraId="5AF525D7" w14:textId="58A680E3" w:rsidR="242EC26B" w:rsidRDefault="242EC26B" w:rsidP="0141919E">
      <w:pPr>
        <w:spacing w:line="240" w:lineRule="auto"/>
        <w:rPr>
          <w:rFonts w:eastAsia="Verdana" w:cs="Verdana"/>
          <w:szCs w:val="20"/>
        </w:rPr>
      </w:pPr>
      <w:r w:rsidRPr="79A6475B">
        <w:rPr>
          <w:rFonts w:eastAsia="Verdana" w:cs="Verdana"/>
          <w:szCs w:val="20"/>
        </w:rPr>
        <w:t xml:space="preserve">To ensure the added costs of single parenthood are adequately </w:t>
      </w:r>
      <w:proofErr w:type="spellStart"/>
      <w:r w:rsidRPr="79A6475B">
        <w:rPr>
          <w:rFonts w:eastAsia="Verdana" w:cs="Verdana"/>
          <w:szCs w:val="20"/>
        </w:rPr>
        <w:t>recognised</w:t>
      </w:r>
      <w:proofErr w:type="spellEnd"/>
      <w:r w:rsidRPr="79A6475B">
        <w:rPr>
          <w:rFonts w:eastAsia="Verdana" w:cs="Verdana"/>
          <w:szCs w:val="20"/>
        </w:rPr>
        <w:t xml:space="preserve"> in our income support system, we propose </w:t>
      </w:r>
      <w:r w:rsidR="0141919E" w:rsidRPr="0141919E">
        <w:rPr>
          <w:rFonts w:eastAsia="Verdana" w:cs="Verdana"/>
          <w:szCs w:val="20"/>
        </w:rPr>
        <w:t xml:space="preserve">a supplement </w:t>
      </w:r>
      <w:r w:rsidRPr="79A6475B">
        <w:rPr>
          <w:rFonts w:eastAsia="Verdana" w:cs="Verdana"/>
          <w:szCs w:val="20"/>
        </w:rPr>
        <w:t>of at least $200pw week for a single parent with two children</w:t>
      </w:r>
      <w:r w:rsidR="0141919E" w:rsidRPr="0141919E">
        <w:rPr>
          <w:rFonts w:eastAsia="Verdana" w:cs="Verdana"/>
          <w:szCs w:val="20"/>
        </w:rPr>
        <w:t xml:space="preserve"> to replace Family Tax Benefit Part B. This supplement should increase as children get older</w:t>
      </w:r>
      <w:r w:rsidRPr="79A6475B">
        <w:rPr>
          <w:rFonts w:eastAsia="Verdana" w:cs="Verdana"/>
          <w:szCs w:val="20"/>
        </w:rPr>
        <w:t xml:space="preserve">, </w:t>
      </w:r>
      <w:proofErr w:type="spellStart"/>
      <w:r w:rsidRPr="79A6475B">
        <w:rPr>
          <w:rFonts w:eastAsia="Verdana" w:cs="Verdana"/>
          <w:szCs w:val="20"/>
        </w:rPr>
        <w:t>recognising</w:t>
      </w:r>
      <w:proofErr w:type="spellEnd"/>
      <w:r w:rsidRPr="79A6475B">
        <w:rPr>
          <w:rFonts w:eastAsia="Verdana" w:cs="Verdana"/>
          <w:szCs w:val="20"/>
        </w:rPr>
        <w:t xml:space="preserve"> that the </w:t>
      </w:r>
      <w:r w:rsidR="0141919E" w:rsidRPr="0141919E">
        <w:rPr>
          <w:rFonts w:eastAsia="Verdana" w:cs="Verdana"/>
          <w:szCs w:val="20"/>
        </w:rPr>
        <w:t>cost</w:t>
      </w:r>
      <w:r w:rsidRPr="79A6475B">
        <w:rPr>
          <w:rFonts w:eastAsia="Verdana" w:cs="Verdana"/>
          <w:szCs w:val="20"/>
        </w:rPr>
        <w:t xml:space="preserve"> of </w:t>
      </w:r>
      <w:r w:rsidR="0141919E" w:rsidRPr="0141919E">
        <w:rPr>
          <w:rFonts w:eastAsia="Verdana" w:cs="Verdana"/>
          <w:szCs w:val="20"/>
        </w:rPr>
        <w:t xml:space="preserve">children increases as they age. </w:t>
      </w:r>
    </w:p>
    <w:p w14:paraId="03089F83" w14:textId="733D3189" w:rsidR="0068094C" w:rsidRDefault="294F0AC8" w:rsidP="294F0AC8">
      <w:pPr>
        <w:pStyle w:val="Recommendation"/>
        <w:spacing w:after="240"/>
        <w:rPr>
          <w:color w:val="000000" w:themeColor="text1"/>
        </w:rPr>
      </w:pPr>
      <w:r>
        <w:t xml:space="preserve">Recommendation 2: </w:t>
      </w:r>
      <w:r w:rsidRPr="294F0AC8">
        <w:rPr>
          <w:color w:val="000000" w:themeColor="text1"/>
        </w:rPr>
        <w:t>Provide supplementary payments that reflect specific costs faced, including:</w:t>
      </w:r>
    </w:p>
    <w:p w14:paraId="3FA1042A" w14:textId="13649410" w:rsidR="0068094C" w:rsidRDefault="294F0AC8" w:rsidP="00DD3DC0">
      <w:pPr>
        <w:pStyle w:val="Recommendation"/>
        <w:numPr>
          <w:ilvl w:val="0"/>
          <w:numId w:val="44"/>
        </w:numPr>
        <w:rPr>
          <w:rFonts w:asciiTheme="minorHAnsi" w:eastAsiaTheme="minorEastAsia" w:hAnsiTheme="minorHAnsi"/>
          <w:bCs/>
          <w:color w:val="000000" w:themeColor="text1"/>
          <w:szCs w:val="20"/>
        </w:rPr>
      </w:pPr>
      <w:r w:rsidRPr="294F0AC8">
        <w:rPr>
          <w:color w:val="000000" w:themeColor="text1"/>
        </w:rPr>
        <w:t xml:space="preserve">Increase Commonwealth Rent Assistance by 50% </w:t>
      </w:r>
    </w:p>
    <w:p w14:paraId="6D52CD8A" w14:textId="6C2AF163" w:rsidR="0068094C" w:rsidRDefault="294F0AC8" w:rsidP="294F0AC8">
      <w:pPr>
        <w:pStyle w:val="ListNumber"/>
        <w:numPr>
          <w:ilvl w:val="0"/>
          <w:numId w:val="0"/>
        </w:numPr>
        <w:ind w:firstLine="720"/>
      </w:pPr>
      <w:r w:rsidRPr="294F0AC8">
        <w:rPr>
          <w:rFonts w:eastAsiaTheme="minorEastAsia"/>
          <w:b/>
          <w:bCs/>
          <w:color w:val="CE2028"/>
        </w:rPr>
        <w:t>Budget impact:</w:t>
      </w:r>
      <w:r w:rsidRPr="294F0AC8">
        <w:rPr>
          <w:b/>
          <w:bCs/>
        </w:rPr>
        <w:t xml:space="preserve"> -</w:t>
      </w:r>
      <w:r w:rsidRPr="294F0AC8">
        <w:rPr>
          <w:b/>
          <w:bCs/>
          <w:i/>
          <w:iCs/>
        </w:rPr>
        <w:t>$2,700 million in 2022-23 (</w:t>
      </w:r>
      <w:r w:rsidRPr="294F0AC8">
        <w:rPr>
          <w:b/>
          <w:bCs/>
        </w:rPr>
        <w:t>-</w:t>
      </w:r>
      <w:r w:rsidRPr="294F0AC8">
        <w:rPr>
          <w:b/>
          <w:bCs/>
          <w:i/>
          <w:iCs/>
        </w:rPr>
        <w:t>$2,700 million in 2023-24)</w:t>
      </w:r>
    </w:p>
    <w:p w14:paraId="26D0A42D" w14:textId="43A30187" w:rsidR="0068094C" w:rsidRDefault="294F0AC8" w:rsidP="00DD3DC0">
      <w:pPr>
        <w:pStyle w:val="Recommendation"/>
        <w:numPr>
          <w:ilvl w:val="0"/>
          <w:numId w:val="44"/>
        </w:numPr>
        <w:rPr>
          <w:rFonts w:asciiTheme="minorHAnsi" w:eastAsiaTheme="minorEastAsia" w:hAnsiTheme="minorHAnsi"/>
          <w:bCs/>
          <w:color w:val="000000" w:themeColor="text1"/>
          <w:szCs w:val="20"/>
        </w:rPr>
      </w:pPr>
      <w:r w:rsidRPr="294F0AC8">
        <w:rPr>
          <w:color w:val="000000" w:themeColor="text1"/>
        </w:rPr>
        <w:t>$50 per week Disability and Illness Supplement</w:t>
      </w:r>
    </w:p>
    <w:p w14:paraId="193109E7" w14:textId="539CFFBE" w:rsidR="280C9BAE" w:rsidRDefault="294F0AC8" w:rsidP="294F0AC8">
      <w:pPr>
        <w:pStyle w:val="ListNumber"/>
        <w:numPr>
          <w:ilvl w:val="0"/>
          <w:numId w:val="0"/>
        </w:numPr>
        <w:ind w:firstLine="720"/>
      </w:pPr>
      <w:r w:rsidRPr="294F0AC8">
        <w:rPr>
          <w:rFonts w:eastAsiaTheme="minorEastAsia"/>
          <w:b/>
          <w:bCs/>
          <w:color w:val="CE2028"/>
        </w:rPr>
        <w:t>Budget impact:</w:t>
      </w:r>
      <w:r w:rsidRPr="294F0AC8">
        <w:rPr>
          <w:b/>
          <w:bCs/>
        </w:rPr>
        <w:t xml:space="preserve"> -</w:t>
      </w:r>
      <w:r w:rsidRPr="294F0AC8">
        <w:rPr>
          <w:b/>
          <w:bCs/>
          <w:i/>
          <w:iCs/>
        </w:rPr>
        <w:t>$3,200 million in 2022-23 (</w:t>
      </w:r>
      <w:r w:rsidRPr="294F0AC8">
        <w:rPr>
          <w:b/>
          <w:bCs/>
        </w:rPr>
        <w:t>-</w:t>
      </w:r>
      <w:r w:rsidRPr="294F0AC8">
        <w:rPr>
          <w:b/>
          <w:bCs/>
          <w:i/>
          <w:iCs/>
        </w:rPr>
        <w:t>$3,200 million in 2023-24)</w:t>
      </w:r>
    </w:p>
    <w:p w14:paraId="3E1B7D79" w14:textId="35812092" w:rsidR="0068094C" w:rsidRDefault="294F0AC8" w:rsidP="00DD3DC0">
      <w:pPr>
        <w:pStyle w:val="Recommendation"/>
        <w:numPr>
          <w:ilvl w:val="0"/>
          <w:numId w:val="44"/>
        </w:numPr>
        <w:rPr>
          <w:rStyle w:val="FootnoteReference"/>
          <w:rFonts w:asciiTheme="minorHAnsi" w:eastAsiaTheme="minorEastAsia" w:hAnsiTheme="minorHAnsi"/>
          <w:bCs/>
          <w:color w:val="000000" w:themeColor="text1"/>
          <w:szCs w:val="20"/>
        </w:rPr>
      </w:pPr>
      <w:r w:rsidRPr="294F0AC8">
        <w:rPr>
          <w:color w:val="000000" w:themeColor="text1"/>
        </w:rPr>
        <w:t xml:space="preserve">A Single Parent Supplement that </w:t>
      </w:r>
      <w:proofErr w:type="spellStart"/>
      <w:r w:rsidRPr="294F0AC8">
        <w:rPr>
          <w:color w:val="000000" w:themeColor="text1"/>
        </w:rPr>
        <w:t>recognises</w:t>
      </w:r>
      <w:proofErr w:type="spellEnd"/>
      <w:r w:rsidRPr="294F0AC8">
        <w:rPr>
          <w:color w:val="000000" w:themeColor="text1"/>
        </w:rPr>
        <w:t xml:space="preserve"> the additional costs of single parenthood. The Supplement should increase as children get older. </w:t>
      </w:r>
      <w:r w:rsidR="00CD4F69">
        <w:rPr>
          <w:color w:val="000000" w:themeColor="text1"/>
        </w:rPr>
        <w:br/>
      </w:r>
    </w:p>
    <w:p w14:paraId="6064E066" w14:textId="0EC4F31A" w:rsidR="0068094C" w:rsidRDefault="294F0AC8" w:rsidP="294F0AC8">
      <w:pPr>
        <w:pStyle w:val="ListNumber"/>
        <w:numPr>
          <w:ilvl w:val="0"/>
          <w:numId w:val="0"/>
        </w:numPr>
        <w:ind w:firstLine="720"/>
        <w:rPr>
          <w:rFonts w:eastAsia="Calibri" w:cs="Arial"/>
          <w:b/>
          <w:bCs/>
        </w:rPr>
      </w:pPr>
      <w:r w:rsidRPr="294F0AC8">
        <w:rPr>
          <w:rFonts w:eastAsia="Calibri" w:cs="Arial"/>
          <w:b/>
          <w:bCs/>
          <w:color w:val="C00000"/>
        </w:rPr>
        <w:t>Budget Impact:</w:t>
      </w:r>
      <w:r w:rsidRPr="294F0AC8">
        <w:rPr>
          <w:rFonts w:eastAsia="Calibri" w:cs="Arial"/>
          <w:b/>
          <w:bCs/>
        </w:rPr>
        <w:t xml:space="preserve"> Not Available</w:t>
      </w:r>
    </w:p>
    <w:p w14:paraId="0AC32370" w14:textId="154917C1" w:rsidR="280C9BAE" w:rsidRDefault="280C9BAE" w:rsidP="001D1B51">
      <w:pPr>
        <w:pStyle w:val="Heading2"/>
      </w:pPr>
    </w:p>
    <w:p w14:paraId="50962C0A" w14:textId="50E84584" w:rsidR="242EC26B" w:rsidRDefault="294F0AC8" w:rsidP="001D1B51">
      <w:pPr>
        <w:pStyle w:val="Heading2"/>
      </w:pPr>
      <w:bookmarkStart w:id="198" w:name="_Toc1151618130"/>
      <w:bookmarkStart w:id="199" w:name="_Toc394491488"/>
      <w:bookmarkStart w:id="200" w:name="_Toc1021723830"/>
      <w:bookmarkStart w:id="201" w:name="_Toc1337166914"/>
      <w:bookmarkStart w:id="202" w:name="_Toc241965930"/>
      <w:bookmarkStart w:id="203" w:name="_Toc1467781903"/>
      <w:bookmarkStart w:id="204" w:name="_Toc1937295153"/>
      <w:bookmarkStart w:id="205" w:name="_Toc295804212"/>
      <w:bookmarkStart w:id="206" w:name="_Toc1025208197"/>
      <w:bookmarkStart w:id="207" w:name="_Toc824731076"/>
      <w:bookmarkStart w:id="208" w:name="_Toc1836658974"/>
      <w:bookmarkStart w:id="209" w:name="_Toc90983347"/>
      <w:bookmarkStart w:id="210" w:name="_Toc90984611"/>
      <w:r>
        <w:t>Establish a Social Security Commission</w:t>
      </w:r>
      <w:bookmarkEnd w:id="198"/>
      <w:bookmarkEnd w:id="199"/>
      <w:bookmarkEnd w:id="200"/>
      <w:bookmarkEnd w:id="201"/>
      <w:bookmarkEnd w:id="202"/>
      <w:bookmarkEnd w:id="203"/>
      <w:bookmarkEnd w:id="204"/>
      <w:bookmarkEnd w:id="205"/>
      <w:bookmarkEnd w:id="206"/>
      <w:bookmarkEnd w:id="207"/>
      <w:bookmarkEnd w:id="208"/>
      <w:bookmarkEnd w:id="209"/>
      <w:bookmarkEnd w:id="210"/>
    </w:p>
    <w:p w14:paraId="52A9FB18" w14:textId="77777777" w:rsidR="00CD4F69" w:rsidRDefault="00CD4F69" w:rsidP="001D419B">
      <w:pPr>
        <w:spacing w:line="240" w:lineRule="auto"/>
      </w:pPr>
      <w:bookmarkStart w:id="211" w:name="_Toc1441289436"/>
      <w:bookmarkStart w:id="212" w:name="_Toc1815824115"/>
      <w:bookmarkStart w:id="213" w:name="_Toc965307271"/>
      <w:bookmarkStart w:id="214" w:name="_Toc90983348"/>
    </w:p>
    <w:p w14:paraId="61A3FCAB" w14:textId="100584D3" w:rsidR="294F0AC8" w:rsidRPr="001D419B" w:rsidRDefault="294F0AC8" w:rsidP="001D419B">
      <w:pPr>
        <w:spacing w:line="240" w:lineRule="auto"/>
      </w:pPr>
      <w:r w:rsidRPr="001D419B">
        <w:t xml:space="preserve">Setting of social security policy has largely been driven by political processes rather than an evidence base. </w:t>
      </w:r>
      <w:r w:rsidR="003910DE" w:rsidRPr="001D419B">
        <w:t>To</w:t>
      </w:r>
      <w:r w:rsidRPr="001D419B">
        <w:t xml:space="preserve"> ensure payment rates and settings reflect the evidence, ACOSS call</w:t>
      </w:r>
      <w:r w:rsidR="003910DE">
        <w:t>s</w:t>
      </w:r>
      <w:r w:rsidRPr="001D419B">
        <w:t xml:space="preserve"> for an independent body to advise the parliament on payment adequacy and other settings. This would enable a fairer approach to social security design, with rates set by reference to household need. It would also guard against payments falling behind community living standards over time. This recommendation does not negate the need to immediately implement the payment increases outlined above.</w:t>
      </w:r>
      <w:bookmarkEnd w:id="211"/>
      <w:bookmarkEnd w:id="212"/>
      <w:bookmarkEnd w:id="213"/>
      <w:bookmarkEnd w:id="214"/>
    </w:p>
    <w:p w14:paraId="175D50F3" w14:textId="097BEAE3" w:rsidR="5ABE344E" w:rsidRDefault="5ABE344E" w:rsidP="5ABE344E">
      <w:pPr>
        <w:pStyle w:val="Recommendation"/>
        <w:rPr>
          <w:color w:val="000000" w:themeColor="text1"/>
        </w:rPr>
      </w:pPr>
      <w:r>
        <w:t xml:space="preserve">Recommendation 3: </w:t>
      </w:r>
      <w:r w:rsidRPr="79A6475B">
        <w:rPr>
          <w:color w:val="000000" w:themeColor="text1"/>
        </w:rPr>
        <w:t xml:space="preserve">Establish a Social Security Commission to provide ongoing advice to the Federal Parliament on the adequacy of income support payments and other settings. </w:t>
      </w:r>
    </w:p>
    <w:p w14:paraId="50AF2167" w14:textId="3539E6BE" w:rsidR="79A6475B" w:rsidRDefault="79A6475B" w:rsidP="79A6475B">
      <w:pPr>
        <w:pStyle w:val="ListNumber"/>
        <w:numPr>
          <w:ilvl w:val="0"/>
          <w:numId w:val="0"/>
        </w:numPr>
        <w:rPr>
          <w:rFonts w:eastAsia="Calibri" w:cs="Arial"/>
          <w:szCs w:val="20"/>
        </w:rPr>
      </w:pPr>
    </w:p>
    <w:p w14:paraId="68C4D820" w14:textId="6B2D98C9" w:rsidR="5ABE344E" w:rsidRDefault="398DA3C9" w:rsidP="280C9BAE">
      <w:pPr>
        <w:pStyle w:val="ListNumber"/>
        <w:numPr>
          <w:ilvl w:val="0"/>
          <w:numId w:val="0"/>
        </w:numPr>
      </w:pPr>
      <w:r w:rsidRPr="79A6475B">
        <w:rPr>
          <w:rFonts w:eastAsiaTheme="minorEastAsia"/>
          <w:b/>
          <w:bCs/>
          <w:color w:val="CE2028"/>
        </w:rPr>
        <w:t>Budget impact:</w:t>
      </w:r>
      <w:r w:rsidRPr="79A6475B">
        <w:rPr>
          <w:b/>
          <w:bCs/>
        </w:rPr>
        <w:t xml:space="preserve"> -</w:t>
      </w:r>
      <w:r w:rsidRPr="79A6475B">
        <w:rPr>
          <w:b/>
          <w:bCs/>
          <w:i/>
          <w:iCs/>
        </w:rPr>
        <w:t>$4 million</w:t>
      </w:r>
      <w:r w:rsidR="280C9BAE" w:rsidRPr="280C9BAE">
        <w:rPr>
          <w:b/>
          <w:bCs/>
          <w:i/>
          <w:iCs/>
        </w:rPr>
        <w:t xml:space="preserve"> in 2022-23 (</w:t>
      </w:r>
      <w:r w:rsidR="280C9BAE" w:rsidRPr="280C9BAE">
        <w:rPr>
          <w:b/>
          <w:bCs/>
        </w:rPr>
        <w:t>-</w:t>
      </w:r>
      <w:r w:rsidR="280C9BAE" w:rsidRPr="280C9BAE">
        <w:rPr>
          <w:b/>
          <w:bCs/>
          <w:i/>
          <w:iCs/>
        </w:rPr>
        <w:t>$4 million in 2023-24)</w:t>
      </w:r>
    </w:p>
    <w:p w14:paraId="28FA986B" w14:textId="6B2D98C9" w:rsidR="280C9BAE" w:rsidRDefault="280C9BAE" w:rsidP="280C9BAE">
      <w:pPr>
        <w:pStyle w:val="ListNumber"/>
        <w:numPr>
          <w:ilvl w:val="0"/>
          <w:numId w:val="0"/>
        </w:numPr>
        <w:rPr>
          <w:rFonts w:eastAsia="Calibri" w:cs="Arial"/>
          <w:b/>
          <w:bCs/>
          <w:i/>
          <w:iCs/>
          <w:szCs w:val="20"/>
        </w:rPr>
      </w:pPr>
    </w:p>
    <w:p w14:paraId="32CA1D79" w14:textId="26FD5EB5" w:rsidR="5ABE344E" w:rsidRDefault="294F0AC8" w:rsidP="001D1B51">
      <w:pPr>
        <w:pStyle w:val="Heading2"/>
      </w:pPr>
      <w:bookmarkStart w:id="215" w:name="_Toc1917293713"/>
      <w:bookmarkStart w:id="216" w:name="_Toc982398162"/>
      <w:bookmarkStart w:id="217" w:name="_Toc206036975"/>
      <w:bookmarkStart w:id="218" w:name="_Toc1116698807"/>
      <w:bookmarkStart w:id="219" w:name="_Toc167859146"/>
      <w:bookmarkStart w:id="220" w:name="_Toc813317188"/>
      <w:bookmarkStart w:id="221" w:name="_Toc687311742"/>
      <w:bookmarkStart w:id="222" w:name="_Toc1996258791"/>
      <w:bookmarkStart w:id="223" w:name="_Toc209632100"/>
      <w:bookmarkStart w:id="224" w:name="_Toc225335601"/>
      <w:bookmarkStart w:id="225" w:name="_Toc459400378"/>
      <w:bookmarkStart w:id="226" w:name="_Toc90983349"/>
      <w:bookmarkStart w:id="227" w:name="_Toc90984612"/>
      <w:r>
        <w:t>Abolish mandatory cashless debit and income management</w:t>
      </w:r>
      <w:bookmarkEnd w:id="215"/>
      <w:bookmarkEnd w:id="216"/>
      <w:bookmarkEnd w:id="217"/>
      <w:bookmarkEnd w:id="218"/>
      <w:bookmarkEnd w:id="219"/>
      <w:bookmarkEnd w:id="220"/>
      <w:bookmarkEnd w:id="221"/>
      <w:bookmarkEnd w:id="222"/>
      <w:bookmarkEnd w:id="223"/>
      <w:bookmarkEnd w:id="224"/>
      <w:bookmarkEnd w:id="225"/>
      <w:bookmarkEnd w:id="226"/>
      <w:bookmarkEnd w:id="227"/>
    </w:p>
    <w:p w14:paraId="556D7FA3" w14:textId="0B458EE2" w:rsidR="5ABE344E" w:rsidRDefault="242EC26B" w:rsidP="0141919E">
      <w:pPr>
        <w:rPr>
          <w:rFonts w:eastAsia="Calibri" w:cs="Arial"/>
        </w:rPr>
      </w:pPr>
      <w:r w:rsidRPr="242EC26B">
        <w:rPr>
          <w:rFonts w:eastAsia="Calibri" w:cs="Arial"/>
        </w:rPr>
        <w:t xml:space="preserve">For almost 15 years, Australia has imposed income quarantining on </w:t>
      </w:r>
      <w:r w:rsidR="0141919E" w:rsidRPr="0141919E">
        <w:rPr>
          <w:rFonts w:eastAsia="Calibri" w:cs="Arial"/>
        </w:rPr>
        <w:t xml:space="preserve">people </w:t>
      </w:r>
      <w:r w:rsidRPr="242EC26B">
        <w:rPr>
          <w:rFonts w:eastAsia="Calibri" w:cs="Arial"/>
        </w:rPr>
        <w:t>receiving income support</w:t>
      </w:r>
      <w:r w:rsidR="0141919E" w:rsidRPr="0141919E">
        <w:rPr>
          <w:rFonts w:eastAsia="Calibri" w:cs="Arial"/>
        </w:rPr>
        <w:t xml:space="preserve"> living in selected communities.</w:t>
      </w:r>
      <w:r w:rsidRPr="242EC26B">
        <w:rPr>
          <w:rFonts w:eastAsia="Calibri" w:cs="Arial"/>
        </w:rPr>
        <w:t xml:space="preserve"> In that time, there has been no conclusive evidence produced that</w:t>
      </w:r>
      <w:r w:rsidR="00660353">
        <w:rPr>
          <w:rFonts w:eastAsia="Calibri" w:cs="Arial"/>
        </w:rPr>
        <w:t xml:space="preserve"> mandatory</w:t>
      </w:r>
      <w:r w:rsidRPr="242EC26B">
        <w:rPr>
          <w:rFonts w:eastAsia="Calibri" w:cs="Arial"/>
        </w:rPr>
        <w:t xml:space="preserve"> income quarantining (either income management </w:t>
      </w:r>
      <w:r w:rsidR="0141919E" w:rsidRPr="0141919E">
        <w:rPr>
          <w:rFonts w:eastAsia="Calibri" w:cs="Arial"/>
        </w:rPr>
        <w:t>or</w:t>
      </w:r>
      <w:r w:rsidRPr="242EC26B">
        <w:rPr>
          <w:rFonts w:eastAsia="Calibri" w:cs="Arial"/>
        </w:rPr>
        <w:t xml:space="preserve"> cashless debit) improves outcomes for individuals or their communities. There is no evidence that it addresses poverty, addiction, or other issues that communities may face. Instead, this policy discriminates against First Nations Peoples who are grossly overrepresented among people subjected to it. </w:t>
      </w:r>
    </w:p>
    <w:p w14:paraId="46204407" w14:textId="39C86A4E" w:rsidR="5ABE344E" w:rsidRDefault="242EC26B" w:rsidP="242EC26B">
      <w:pPr>
        <w:rPr>
          <w:rFonts w:eastAsia="Calibri" w:cs="Arial"/>
        </w:rPr>
      </w:pPr>
      <w:r w:rsidRPr="242EC26B">
        <w:rPr>
          <w:rFonts w:eastAsia="Calibri" w:cs="Arial"/>
        </w:rPr>
        <w:lastRenderedPageBreak/>
        <w:t xml:space="preserve">Income quarantining is expensive and ineffective, and we strongly urge the government to abandon this policy and redirect the savings into community-led programs that deliver positive outcomes. </w:t>
      </w:r>
    </w:p>
    <w:p w14:paraId="6E7AC8EC" w14:textId="5E484676" w:rsidR="2E9DDD98" w:rsidRDefault="00985429" w:rsidP="79A6475B">
      <w:pPr>
        <w:pStyle w:val="Recommendation"/>
        <w:rPr>
          <w:color w:val="auto"/>
        </w:rPr>
      </w:pPr>
      <w:r>
        <w:t xml:space="preserve">Recommendation </w:t>
      </w:r>
      <w:r w:rsidR="26D42177">
        <w:t>4</w:t>
      </w:r>
      <w:r w:rsidR="2E9DDD98">
        <w:t xml:space="preserve">: </w:t>
      </w:r>
      <w:r w:rsidR="2E9DDD98" w:rsidRPr="79A6475B">
        <w:rPr>
          <w:color w:val="auto"/>
        </w:rPr>
        <w:t>Compulsory income quarantining should cease. People should be given the option to continue cashless debit or income management on a voluntary basis or leave the schemes.</w:t>
      </w:r>
    </w:p>
    <w:p w14:paraId="18C90019" w14:textId="77777777" w:rsidR="7B33A330" w:rsidRDefault="7B33A330" w:rsidP="7B33A330">
      <w:pPr>
        <w:pStyle w:val="Recommendation"/>
        <w:rPr>
          <w:color w:val="000000" w:themeColor="text1"/>
        </w:rPr>
      </w:pPr>
    </w:p>
    <w:p w14:paraId="39827302" w14:textId="106A03F2" w:rsidR="002B237C" w:rsidRDefault="294F0AC8" w:rsidP="7B33A330">
      <w:pPr>
        <w:pStyle w:val="ListNumber"/>
        <w:numPr>
          <w:ilvl w:val="0"/>
          <w:numId w:val="0"/>
        </w:numPr>
        <w:rPr>
          <w:b/>
          <w:bCs/>
        </w:rPr>
      </w:pPr>
      <w:r w:rsidRPr="294F0AC8">
        <w:rPr>
          <w:rFonts w:eastAsiaTheme="minorEastAsia"/>
          <w:b/>
          <w:bCs/>
          <w:color w:val="CE2028"/>
        </w:rPr>
        <w:t>Budget impact:</w:t>
      </w:r>
      <w:r w:rsidRPr="294F0AC8">
        <w:rPr>
          <w:b/>
          <w:bCs/>
        </w:rPr>
        <w:t xml:space="preserve"> </w:t>
      </w:r>
      <w:r w:rsidR="00E02A35">
        <w:rPr>
          <w:b/>
          <w:bCs/>
        </w:rPr>
        <w:t xml:space="preserve">$0 </w:t>
      </w:r>
      <w:r w:rsidR="00E02A35" w:rsidRPr="00E02A35">
        <w:rPr>
          <w:rStyle w:val="FootnoteReference"/>
        </w:rPr>
        <w:footnoteReference w:id="8"/>
      </w:r>
    </w:p>
    <w:p w14:paraId="1A15B726" w14:textId="5B3848EF" w:rsidR="76402557" w:rsidRDefault="294F0AC8" w:rsidP="001D1B51">
      <w:pPr>
        <w:pStyle w:val="Heading2"/>
      </w:pPr>
      <w:bookmarkStart w:id="228" w:name="_Toc1637638174"/>
      <w:bookmarkStart w:id="229" w:name="_Toc335091091"/>
      <w:bookmarkStart w:id="230" w:name="_Toc2045497495"/>
      <w:bookmarkStart w:id="231" w:name="_Toc57450173"/>
      <w:bookmarkStart w:id="232" w:name="_Toc2031176345"/>
      <w:bookmarkStart w:id="233" w:name="_Toc255654280"/>
      <w:bookmarkStart w:id="234" w:name="_Toc111967488"/>
      <w:bookmarkStart w:id="235" w:name="_Toc683473230"/>
      <w:bookmarkStart w:id="236" w:name="_Toc721760645"/>
      <w:bookmarkStart w:id="237" w:name="_Toc81416781"/>
      <w:bookmarkStart w:id="238" w:name="_Toc1923916594"/>
      <w:bookmarkStart w:id="239" w:name="_Toc90983350"/>
      <w:bookmarkStart w:id="240" w:name="_Toc90984613"/>
      <w:r>
        <w:t>Reform unfair waiting periods</w:t>
      </w:r>
      <w:bookmarkEnd w:id="228"/>
      <w:bookmarkEnd w:id="229"/>
      <w:bookmarkEnd w:id="230"/>
      <w:bookmarkEnd w:id="231"/>
      <w:bookmarkEnd w:id="232"/>
      <w:bookmarkEnd w:id="233"/>
      <w:bookmarkEnd w:id="234"/>
      <w:bookmarkEnd w:id="235"/>
      <w:bookmarkEnd w:id="236"/>
      <w:bookmarkEnd w:id="237"/>
      <w:bookmarkEnd w:id="238"/>
      <w:bookmarkEnd w:id="239"/>
      <w:bookmarkEnd w:id="240"/>
    </w:p>
    <w:p w14:paraId="701AE913" w14:textId="357D8BD1" w:rsidR="5ABE344E" w:rsidRDefault="242EC26B" w:rsidP="242EC26B">
      <w:pPr>
        <w:rPr>
          <w:rFonts w:eastAsia="Calibri" w:cs="Arial"/>
        </w:rPr>
      </w:pPr>
      <w:r w:rsidRPr="79A6475B">
        <w:rPr>
          <w:rFonts w:eastAsia="Calibri" w:cs="Arial"/>
        </w:rPr>
        <w:t xml:space="preserve">People should be able to receive income support when </w:t>
      </w:r>
      <w:r w:rsidR="2602F1D6" w:rsidRPr="2602F1D6">
        <w:rPr>
          <w:rFonts w:eastAsia="Calibri" w:cs="Arial"/>
        </w:rPr>
        <w:t xml:space="preserve">they </w:t>
      </w:r>
      <w:r w:rsidRPr="79A6475B">
        <w:rPr>
          <w:rFonts w:eastAsia="Calibri" w:cs="Arial"/>
        </w:rPr>
        <w:t xml:space="preserve">need it. The Liquid Assets Waiting Period </w:t>
      </w:r>
      <w:r w:rsidR="3851C13E" w:rsidRPr="79A6475B">
        <w:rPr>
          <w:rFonts w:eastAsia="Calibri" w:cs="Arial"/>
        </w:rPr>
        <w:t xml:space="preserve">(LAWP) </w:t>
      </w:r>
      <w:r w:rsidRPr="79A6475B">
        <w:rPr>
          <w:rFonts w:eastAsia="Calibri" w:cs="Arial"/>
        </w:rPr>
        <w:t xml:space="preserve">is an anomaly in </w:t>
      </w:r>
      <w:r w:rsidR="5E7A1A9B" w:rsidRPr="79A6475B">
        <w:rPr>
          <w:rFonts w:eastAsia="Calibri" w:cs="Arial"/>
        </w:rPr>
        <w:t xml:space="preserve">our social security </w:t>
      </w:r>
      <w:r w:rsidRPr="79A6475B">
        <w:rPr>
          <w:rFonts w:eastAsia="Calibri" w:cs="Arial"/>
        </w:rPr>
        <w:t xml:space="preserve">system, denying people unemployment payments if they have cash assets of $5,000 or more for up to 13 weeks. The result is that people eat into their </w:t>
      </w:r>
      <w:r w:rsidR="6C18BE77" w:rsidRPr="79A6475B">
        <w:rPr>
          <w:rFonts w:eastAsia="Calibri" w:cs="Arial"/>
        </w:rPr>
        <w:t xml:space="preserve">modest </w:t>
      </w:r>
      <w:r w:rsidRPr="79A6475B">
        <w:rPr>
          <w:rFonts w:eastAsia="Calibri" w:cs="Arial"/>
        </w:rPr>
        <w:t>savings to put food on the table while they wait for income support.</w:t>
      </w:r>
      <w:r w:rsidR="74345692" w:rsidRPr="79A6475B">
        <w:rPr>
          <w:rFonts w:eastAsia="Calibri" w:cs="Arial"/>
        </w:rPr>
        <w:t xml:space="preserve"> </w:t>
      </w:r>
      <w:r w:rsidR="0578D4EF" w:rsidRPr="79A6475B">
        <w:rPr>
          <w:rFonts w:eastAsia="Calibri" w:cs="Arial"/>
        </w:rPr>
        <w:t xml:space="preserve">Considering most people receiving </w:t>
      </w:r>
      <w:proofErr w:type="spellStart"/>
      <w:r w:rsidR="0578D4EF" w:rsidRPr="79A6475B">
        <w:rPr>
          <w:rFonts w:eastAsia="Calibri" w:cs="Arial"/>
        </w:rPr>
        <w:t>JobSeeker</w:t>
      </w:r>
      <w:proofErr w:type="spellEnd"/>
      <w:r w:rsidR="0578D4EF" w:rsidRPr="79A6475B">
        <w:rPr>
          <w:rFonts w:eastAsia="Calibri" w:cs="Arial"/>
        </w:rPr>
        <w:t xml:space="preserve"> have done so for 12 months or more, d</w:t>
      </w:r>
      <w:r w:rsidR="74345692" w:rsidRPr="79A6475B">
        <w:rPr>
          <w:rFonts w:eastAsia="Calibri" w:cs="Arial"/>
        </w:rPr>
        <w:t>enying people</w:t>
      </w:r>
      <w:r w:rsidRPr="79A6475B">
        <w:rPr>
          <w:rFonts w:eastAsia="Calibri" w:cs="Arial"/>
        </w:rPr>
        <w:t xml:space="preserve"> </w:t>
      </w:r>
      <w:r w:rsidR="212ADEA0" w:rsidRPr="79A6475B">
        <w:rPr>
          <w:rFonts w:eastAsia="Calibri" w:cs="Arial"/>
        </w:rPr>
        <w:t>a</w:t>
      </w:r>
      <w:r w:rsidRPr="79A6475B">
        <w:rPr>
          <w:rFonts w:eastAsia="Calibri" w:cs="Arial"/>
        </w:rPr>
        <w:t xml:space="preserve"> critical </w:t>
      </w:r>
      <w:r w:rsidR="115306EB" w:rsidRPr="79A6475B">
        <w:rPr>
          <w:rFonts w:eastAsia="Calibri" w:cs="Arial"/>
        </w:rPr>
        <w:t xml:space="preserve">cash </w:t>
      </w:r>
      <w:r w:rsidRPr="79A6475B">
        <w:rPr>
          <w:rFonts w:eastAsia="Calibri" w:cs="Arial"/>
        </w:rPr>
        <w:t>buffer</w:t>
      </w:r>
      <w:r w:rsidR="7B6FD8B9" w:rsidRPr="79A6475B">
        <w:rPr>
          <w:rFonts w:eastAsia="Calibri" w:cs="Arial"/>
        </w:rPr>
        <w:t xml:space="preserve"> leads to deprivation and destitution that may have been avoided if they </w:t>
      </w:r>
      <w:r w:rsidR="2602F1D6" w:rsidRPr="2602F1D6">
        <w:rPr>
          <w:rFonts w:eastAsia="Calibri" w:cs="Arial"/>
        </w:rPr>
        <w:t>did not</w:t>
      </w:r>
      <w:r w:rsidR="7B6FD8B9" w:rsidRPr="79A6475B">
        <w:rPr>
          <w:rFonts w:eastAsia="Calibri" w:cs="Arial"/>
        </w:rPr>
        <w:t xml:space="preserve"> have to serve </w:t>
      </w:r>
      <w:r w:rsidR="301199F2" w:rsidRPr="79A6475B">
        <w:rPr>
          <w:rFonts w:eastAsia="Calibri" w:cs="Arial"/>
        </w:rPr>
        <w:t>the</w:t>
      </w:r>
      <w:r w:rsidR="7B6FD8B9" w:rsidRPr="79A6475B">
        <w:rPr>
          <w:rFonts w:eastAsia="Calibri" w:cs="Arial"/>
        </w:rPr>
        <w:t xml:space="preserve"> LAWP. </w:t>
      </w:r>
      <w:r w:rsidRPr="79A6475B">
        <w:rPr>
          <w:rFonts w:eastAsia="Calibri" w:cs="Arial"/>
        </w:rPr>
        <w:t>A much fairer approach would be to replace the L</w:t>
      </w:r>
      <w:r w:rsidR="78160E19" w:rsidRPr="79A6475B">
        <w:rPr>
          <w:rFonts w:eastAsia="Calibri" w:cs="Arial"/>
        </w:rPr>
        <w:t>AWP</w:t>
      </w:r>
      <w:r w:rsidRPr="79A6475B">
        <w:rPr>
          <w:rFonts w:eastAsia="Calibri" w:cs="Arial"/>
        </w:rPr>
        <w:t xml:space="preserve"> with a comprehensive means test so that people are not forced to whittle down modest savings just to access our social safety net. </w:t>
      </w:r>
    </w:p>
    <w:p w14:paraId="1FA6B6BB" w14:textId="5D1507B9" w:rsidR="242EC26B" w:rsidRDefault="242EC26B" w:rsidP="79A6475B">
      <w:pPr>
        <w:rPr>
          <w:rFonts w:eastAsia="Calibri" w:cs="Arial"/>
        </w:rPr>
      </w:pPr>
      <w:r w:rsidRPr="79A6475B">
        <w:rPr>
          <w:rFonts w:eastAsia="Calibri" w:cs="Arial"/>
        </w:rPr>
        <w:t xml:space="preserve">ACOSS also </w:t>
      </w:r>
      <w:r w:rsidR="280C9BAE" w:rsidRPr="280C9BAE">
        <w:rPr>
          <w:rFonts w:eastAsia="Calibri" w:cs="Arial"/>
        </w:rPr>
        <w:t>calls for</w:t>
      </w:r>
      <w:r w:rsidRPr="79A6475B">
        <w:rPr>
          <w:rFonts w:eastAsia="Calibri" w:cs="Arial"/>
        </w:rPr>
        <w:t xml:space="preserve"> reform of the Newly Arrived Residents Waiting Period (NARWP) so that people are not forced to wait for up to four years to receive income support.</w:t>
      </w:r>
      <w:r w:rsidR="47C5E1EF" w:rsidRPr="79A6475B">
        <w:rPr>
          <w:rFonts w:eastAsia="Calibri" w:cs="Arial"/>
        </w:rPr>
        <w:t xml:space="preserve"> The NAWRP applies to people who have attained permanent residency, and denies payment of </w:t>
      </w:r>
      <w:proofErr w:type="spellStart"/>
      <w:r w:rsidR="47C5E1EF" w:rsidRPr="79A6475B">
        <w:rPr>
          <w:rFonts w:eastAsia="Calibri" w:cs="Arial"/>
        </w:rPr>
        <w:t>JobSeeker</w:t>
      </w:r>
      <w:proofErr w:type="spellEnd"/>
      <w:r w:rsidR="47C5E1EF" w:rsidRPr="79A6475B">
        <w:rPr>
          <w:rFonts w:eastAsia="Calibri" w:cs="Arial"/>
        </w:rPr>
        <w:t xml:space="preserve"> Payment, Parenting Payment and other key supports for up to four years.</w:t>
      </w:r>
      <w:r w:rsidRPr="79A6475B">
        <w:rPr>
          <w:rFonts w:eastAsia="Calibri" w:cs="Arial"/>
        </w:rPr>
        <w:t xml:space="preserve"> Many people subjected to the NARWP have already lived and worked in Australia for years on temporary visas before applying for permanent residency. Consequently, people who have substantially contributed to our economy are denied support if they suddenly lose their job or have a child who would otherwise attract Family Tax Benefit. Australia should ensure migrants who are building their lives here are supported to cover the basics should they need that support.  </w:t>
      </w:r>
    </w:p>
    <w:p w14:paraId="450A7F17" w14:textId="0C36F063" w:rsidR="0141919E" w:rsidRDefault="0141919E" w:rsidP="0141919E">
      <w:pPr>
        <w:rPr>
          <w:rFonts w:eastAsia="Calibri" w:cs="Arial"/>
          <w:szCs w:val="20"/>
        </w:rPr>
      </w:pPr>
      <w:r w:rsidRPr="0141919E">
        <w:rPr>
          <w:rFonts w:eastAsia="Calibri" w:cs="Arial"/>
          <w:szCs w:val="20"/>
        </w:rPr>
        <w:t xml:space="preserve">Finally, the Ordinary Waiting Period should be abolished. As with the LAWP, people who are eligible for income support should be able to receive it and not be forced to wait one week before their payment starts. </w:t>
      </w:r>
    </w:p>
    <w:p w14:paraId="57E9B343" w14:textId="28D212B8" w:rsidR="5ABE344E" w:rsidRDefault="5ABE344E" w:rsidP="5ABE344E">
      <w:pPr>
        <w:pStyle w:val="Recommendation"/>
        <w:rPr>
          <w:color w:val="auto"/>
        </w:rPr>
      </w:pPr>
      <w:r w:rsidRPr="5ABE344E">
        <w:rPr>
          <w:color w:val="C00000"/>
        </w:rPr>
        <w:t xml:space="preserve">Recommendation 5: </w:t>
      </w:r>
      <w:r w:rsidRPr="5ABE344E">
        <w:rPr>
          <w:color w:val="auto"/>
        </w:rPr>
        <w:t>Abolish the Liquid Assets Waiting Period and replace it with a comprehensive means test.</w:t>
      </w:r>
    </w:p>
    <w:p w14:paraId="1E5937DA" w14:textId="77777777" w:rsidR="004B10F9" w:rsidRDefault="004B10F9" w:rsidP="004B10F9">
      <w:pPr>
        <w:pStyle w:val="Recommendation"/>
      </w:pPr>
    </w:p>
    <w:p w14:paraId="7F8D5629" w14:textId="68524B09" w:rsidR="2C8BF020" w:rsidRDefault="294F0AC8" w:rsidP="79A6475B">
      <w:pPr>
        <w:pStyle w:val="ListNumber"/>
        <w:numPr>
          <w:ilvl w:val="0"/>
          <w:numId w:val="0"/>
        </w:numPr>
        <w:rPr>
          <w:b/>
          <w:bCs/>
        </w:rPr>
      </w:pPr>
      <w:r w:rsidRPr="294F0AC8">
        <w:rPr>
          <w:rFonts w:eastAsiaTheme="minorEastAsia"/>
          <w:b/>
          <w:bCs/>
          <w:color w:val="C00000"/>
        </w:rPr>
        <w:t>Budget impact:</w:t>
      </w:r>
      <w:r w:rsidRPr="294F0AC8">
        <w:rPr>
          <w:b/>
          <w:bCs/>
        </w:rPr>
        <w:t xml:space="preserve"> -</w:t>
      </w:r>
      <w:r w:rsidRPr="294F0AC8">
        <w:rPr>
          <w:b/>
          <w:bCs/>
          <w:i/>
          <w:iCs/>
        </w:rPr>
        <w:t>$60 million in 2022-23 (-$60 million in 2023-24)</w:t>
      </w:r>
    </w:p>
    <w:p w14:paraId="373E5ADD" w14:textId="7EB68678" w:rsidR="79A6475B" w:rsidRDefault="79A6475B" w:rsidP="79A6475B">
      <w:pPr>
        <w:pStyle w:val="ListNumber"/>
        <w:numPr>
          <w:ilvl w:val="0"/>
          <w:numId w:val="0"/>
        </w:numPr>
        <w:rPr>
          <w:rFonts w:eastAsia="Calibri" w:cs="Arial"/>
          <w:szCs w:val="20"/>
        </w:rPr>
      </w:pPr>
    </w:p>
    <w:p w14:paraId="5FC05DB7" w14:textId="351AB0E7" w:rsidR="004B10F9" w:rsidRDefault="5ABE344E" w:rsidP="004B10F9">
      <w:pPr>
        <w:pStyle w:val="Recommendation"/>
      </w:pPr>
      <w:r w:rsidRPr="5ABE344E">
        <w:rPr>
          <w:color w:val="C00000"/>
        </w:rPr>
        <w:t xml:space="preserve">Recommendation 6: </w:t>
      </w:r>
      <w:r w:rsidRPr="5ABE344E">
        <w:rPr>
          <w:color w:val="auto"/>
        </w:rPr>
        <w:t>Reduce waiting periods for newly</w:t>
      </w:r>
      <w:r w:rsidR="2602F1D6" w:rsidRPr="2602F1D6">
        <w:rPr>
          <w:color w:val="auto"/>
        </w:rPr>
        <w:t xml:space="preserve"> </w:t>
      </w:r>
      <w:r w:rsidRPr="5ABE344E">
        <w:rPr>
          <w:color w:val="auto"/>
        </w:rPr>
        <w:t xml:space="preserve">arrived migrants, and abolish the waiting period for Family Tax Benefit, Paid Parental Leave, Special Benefit and </w:t>
      </w:r>
      <w:proofErr w:type="spellStart"/>
      <w:r w:rsidRPr="5ABE344E">
        <w:rPr>
          <w:color w:val="auto"/>
        </w:rPr>
        <w:t>Carer</w:t>
      </w:r>
      <w:proofErr w:type="spellEnd"/>
      <w:r w:rsidRPr="5ABE344E">
        <w:rPr>
          <w:color w:val="auto"/>
        </w:rPr>
        <w:t xml:space="preserve"> Allowance.</w:t>
      </w:r>
    </w:p>
    <w:p w14:paraId="71D8262B" w14:textId="77777777" w:rsidR="004B10F9" w:rsidRDefault="004B10F9" w:rsidP="004B10F9">
      <w:pPr>
        <w:pStyle w:val="ListNumber"/>
        <w:numPr>
          <w:ilvl w:val="0"/>
          <w:numId w:val="0"/>
        </w:numPr>
      </w:pPr>
    </w:p>
    <w:p w14:paraId="0C3D4705" w14:textId="592735DF" w:rsidR="004B10F9" w:rsidRDefault="294F0AC8" w:rsidP="004B10F9">
      <w:pPr>
        <w:pStyle w:val="ListNumber"/>
        <w:numPr>
          <w:ilvl w:val="0"/>
          <w:numId w:val="0"/>
        </w:numPr>
        <w:rPr>
          <w:b/>
          <w:bCs/>
        </w:rPr>
      </w:pPr>
      <w:r w:rsidRPr="294F0AC8">
        <w:rPr>
          <w:rFonts w:eastAsiaTheme="minorEastAsia"/>
          <w:b/>
          <w:bCs/>
          <w:color w:val="C00000"/>
        </w:rPr>
        <w:t>Budget impact:</w:t>
      </w:r>
      <w:r w:rsidRPr="294F0AC8">
        <w:rPr>
          <w:b/>
          <w:bCs/>
        </w:rPr>
        <w:t xml:space="preserve"> </w:t>
      </w:r>
      <w:r w:rsidRPr="294F0AC8">
        <w:rPr>
          <w:b/>
          <w:bCs/>
          <w:i/>
          <w:iCs/>
        </w:rPr>
        <w:t>-$620 million in 2022-23 (-$630 million in 2023-24)</w:t>
      </w:r>
      <w:r w:rsidRPr="294F0AC8">
        <w:rPr>
          <w:b/>
          <w:bCs/>
        </w:rPr>
        <w:t xml:space="preserve"> </w:t>
      </w:r>
    </w:p>
    <w:p w14:paraId="7A0CE6AD" w14:textId="46ACCF1C" w:rsidR="79A6475B" w:rsidRDefault="79A6475B" w:rsidP="79A6475B">
      <w:pPr>
        <w:pStyle w:val="ListNumber"/>
        <w:numPr>
          <w:ilvl w:val="0"/>
          <w:numId w:val="0"/>
        </w:numPr>
        <w:rPr>
          <w:rFonts w:eastAsia="Calibri" w:cs="Arial"/>
          <w:b/>
          <w:bCs/>
          <w:szCs w:val="20"/>
        </w:rPr>
      </w:pPr>
    </w:p>
    <w:p w14:paraId="0D900852" w14:textId="77777777" w:rsidR="00CD4F69" w:rsidRDefault="00CD4F69" w:rsidP="79A6475B">
      <w:pPr>
        <w:pStyle w:val="Recommendation"/>
        <w:rPr>
          <w:color w:val="C00000"/>
        </w:rPr>
      </w:pPr>
    </w:p>
    <w:p w14:paraId="1D6C4B3B" w14:textId="77777777" w:rsidR="00CD4F69" w:rsidRDefault="00CD4F69" w:rsidP="79A6475B">
      <w:pPr>
        <w:pStyle w:val="Recommendation"/>
        <w:rPr>
          <w:color w:val="C00000"/>
        </w:rPr>
      </w:pPr>
    </w:p>
    <w:p w14:paraId="10E311A7" w14:textId="699BE9FC" w:rsidR="626F5FBA" w:rsidRDefault="626F5FBA" w:rsidP="79A6475B">
      <w:pPr>
        <w:pStyle w:val="Recommendation"/>
        <w:rPr>
          <w:color w:val="auto"/>
        </w:rPr>
      </w:pPr>
      <w:r w:rsidRPr="79A6475B">
        <w:rPr>
          <w:color w:val="C00000"/>
        </w:rPr>
        <w:t>Recommendation 7:</w:t>
      </w:r>
      <w:r>
        <w:t xml:space="preserve"> </w:t>
      </w:r>
      <w:r w:rsidRPr="79A6475B">
        <w:rPr>
          <w:color w:val="auto"/>
        </w:rPr>
        <w:t xml:space="preserve">Improve access to income support by removing Ordinary Waiting </w:t>
      </w:r>
      <w:r w:rsidR="0141919E" w:rsidRPr="0141919E">
        <w:rPr>
          <w:color w:val="auto"/>
        </w:rPr>
        <w:t>Period</w:t>
      </w:r>
    </w:p>
    <w:p w14:paraId="7E8FBF14" w14:textId="0830E86A" w:rsidR="79A6475B" w:rsidRDefault="79A6475B" w:rsidP="79A6475B">
      <w:pPr>
        <w:pStyle w:val="ListNumber"/>
        <w:numPr>
          <w:ilvl w:val="0"/>
          <w:numId w:val="0"/>
        </w:numPr>
        <w:rPr>
          <w:rFonts w:eastAsiaTheme="minorEastAsia"/>
          <w:b/>
          <w:bCs/>
          <w:color w:val="C00000"/>
        </w:rPr>
      </w:pPr>
    </w:p>
    <w:p w14:paraId="6C3791D1" w14:textId="72E23112" w:rsidR="47356DEB" w:rsidRDefault="294F0AC8" w:rsidP="294F0AC8">
      <w:pPr>
        <w:pStyle w:val="ListNumber"/>
        <w:numPr>
          <w:ilvl w:val="0"/>
          <w:numId w:val="0"/>
        </w:numPr>
        <w:rPr>
          <w:b/>
          <w:bCs/>
        </w:rPr>
      </w:pPr>
      <w:r w:rsidRPr="294F0AC8">
        <w:rPr>
          <w:rFonts w:eastAsiaTheme="minorEastAsia"/>
          <w:b/>
          <w:bCs/>
          <w:color w:val="C00000"/>
        </w:rPr>
        <w:t>Budget impact:</w:t>
      </w:r>
      <w:r w:rsidRPr="294F0AC8">
        <w:rPr>
          <w:b/>
          <w:bCs/>
        </w:rPr>
        <w:t xml:space="preserve"> </w:t>
      </w:r>
      <w:r w:rsidRPr="294F0AC8">
        <w:rPr>
          <w:b/>
          <w:bCs/>
          <w:i/>
          <w:iCs/>
        </w:rPr>
        <w:t>-$150 million in 2022-23 (-$150 million in 2023-24)</w:t>
      </w:r>
      <w:r>
        <w:br/>
      </w:r>
    </w:p>
    <w:p w14:paraId="41E205EB" w14:textId="0E65BA15" w:rsidR="004B10F9" w:rsidRDefault="294F0AC8" w:rsidP="001D1B51">
      <w:pPr>
        <w:pStyle w:val="Heading2"/>
      </w:pPr>
      <w:bookmarkStart w:id="241" w:name="_Toc1498309849"/>
      <w:bookmarkStart w:id="242" w:name="_Toc2041534877"/>
      <w:bookmarkStart w:id="243" w:name="_Toc1967716522"/>
      <w:bookmarkStart w:id="244" w:name="_Toc893348237"/>
      <w:bookmarkStart w:id="245" w:name="_Toc1591826537"/>
      <w:bookmarkStart w:id="246" w:name="_Toc1300531026"/>
      <w:bookmarkStart w:id="247" w:name="_Toc2087860256"/>
      <w:bookmarkStart w:id="248" w:name="_Toc544264148"/>
      <w:bookmarkStart w:id="249" w:name="_Toc278411188"/>
      <w:bookmarkStart w:id="250" w:name="_Toc1013338604"/>
      <w:bookmarkStart w:id="251" w:name="_Toc244322772"/>
      <w:bookmarkStart w:id="252" w:name="_Toc90983351"/>
      <w:bookmarkStart w:id="253" w:name="_Toc90984614"/>
      <w:r>
        <w:t>Reforms to improve the operation of our income support system</w:t>
      </w:r>
      <w:bookmarkEnd w:id="241"/>
      <w:bookmarkEnd w:id="242"/>
      <w:bookmarkEnd w:id="243"/>
      <w:bookmarkEnd w:id="244"/>
      <w:bookmarkEnd w:id="245"/>
      <w:bookmarkEnd w:id="246"/>
      <w:bookmarkEnd w:id="247"/>
      <w:bookmarkEnd w:id="248"/>
      <w:bookmarkEnd w:id="249"/>
      <w:bookmarkEnd w:id="250"/>
      <w:bookmarkEnd w:id="251"/>
      <w:bookmarkEnd w:id="252"/>
      <w:bookmarkEnd w:id="253"/>
    </w:p>
    <w:p w14:paraId="1E558624" w14:textId="77777777" w:rsidR="00CD4F69" w:rsidRDefault="00CD4F69" w:rsidP="79A6475B">
      <w:pPr>
        <w:rPr>
          <w:rFonts w:eastAsia="Calibri" w:cs="Arial"/>
          <w:szCs w:val="20"/>
        </w:rPr>
      </w:pPr>
    </w:p>
    <w:p w14:paraId="66C7B028" w14:textId="3CC2F59E" w:rsidR="65A8C7E0" w:rsidRDefault="65A8C7E0" w:rsidP="79A6475B">
      <w:pPr>
        <w:rPr>
          <w:rFonts w:eastAsia="Calibri" w:cs="Arial"/>
          <w:szCs w:val="20"/>
        </w:rPr>
      </w:pPr>
      <w:r w:rsidRPr="79A6475B">
        <w:rPr>
          <w:rFonts w:eastAsia="Calibri" w:cs="Arial"/>
          <w:szCs w:val="20"/>
        </w:rPr>
        <w:t>Special Benefit is the payment of last resort</w:t>
      </w:r>
      <w:r w:rsidR="658F24DB" w:rsidRPr="79A6475B">
        <w:rPr>
          <w:rFonts w:eastAsia="Calibri" w:cs="Arial"/>
          <w:szCs w:val="20"/>
        </w:rPr>
        <w:t xml:space="preserve"> for people who do not qualify for other income support.</w:t>
      </w:r>
      <w:r w:rsidRPr="79A6475B">
        <w:rPr>
          <w:rFonts w:eastAsia="Calibri" w:cs="Arial"/>
          <w:szCs w:val="20"/>
        </w:rPr>
        <w:t xml:space="preserve"> </w:t>
      </w:r>
      <w:r w:rsidR="455D2C1A" w:rsidRPr="79A6475B">
        <w:rPr>
          <w:rFonts w:eastAsia="Calibri" w:cs="Arial"/>
          <w:szCs w:val="20"/>
        </w:rPr>
        <w:t>It</w:t>
      </w:r>
      <w:r w:rsidRPr="79A6475B">
        <w:rPr>
          <w:rFonts w:eastAsia="Calibri" w:cs="Arial"/>
          <w:szCs w:val="20"/>
        </w:rPr>
        <w:t xml:space="preserve"> is only received by around </w:t>
      </w:r>
      <w:r w:rsidR="0141919E" w:rsidRPr="0141919E">
        <w:rPr>
          <w:rFonts w:eastAsia="Calibri" w:cs="Arial"/>
          <w:szCs w:val="20"/>
        </w:rPr>
        <w:t>9</w:t>
      </w:r>
      <w:r w:rsidRPr="79A6475B">
        <w:rPr>
          <w:rFonts w:eastAsia="Calibri" w:cs="Arial"/>
          <w:szCs w:val="20"/>
        </w:rPr>
        <w:t xml:space="preserve">,000 people. It is paid at the same rate as </w:t>
      </w:r>
      <w:proofErr w:type="spellStart"/>
      <w:proofErr w:type="gramStart"/>
      <w:r w:rsidRPr="79A6475B">
        <w:rPr>
          <w:rFonts w:eastAsia="Calibri" w:cs="Arial"/>
          <w:szCs w:val="20"/>
        </w:rPr>
        <w:t>JobSeeker</w:t>
      </w:r>
      <w:proofErr w:type="spellEnd"/>
      <w:r w:rsidRPr="79A6475B">
        <w:rPr>
          <w:rFonts w:eastAsia="Calibri" w:cs="Arial"/>
          <w:szCs w:val="20"/>
        </w:rPr>
        <w:t>,</w:t>
      </w:r>
      <w:proofErr w:type="gramEnd"/>
      <w:r w:rsidRPr="79A6475B">
        <w:rPr>
          <w:rFonts w:eastAsia="Calibri" w:cs="Arial"/>
          <w:szCs w:val="20"/>
        </w:rPr>
        <w:t xml:space="preserve"> however it has a dollar-for-dollar income test that includes in-kind </w:t>
      </w:r>
      <w:r w:rsidR="3351B763" w:rsidRPr="79A6475B">
        <w:rPr>
          <w:rFonts w:eastAsia="Calibri" w:cs="Arial"/>
          <w:szCs w:val="20"/>
        </w:rPr>
        <w:t xml:space="preserve">goods and services. Consequently, some people </w:t>
      </w:r>
      <w:r w:rsidR="0141919E" w:rsidRPr="0141919E">
        <w:rPr>
          <w:rFonts w:eastAsia="Calibri" w:cs="Arial"/>
          <w:szCs w:val="20"/>
        </w:rPr>
        <w:t xml:space="preserve">hardly </w:t>
      </w:r>
      <w:r w:rsidR="3351B763" w:rsidRPr="79A6475B">
        <w:rPr>
          <w:rFonts w:eastAsia="Calibri" w:cs="Arial"/>
          <w:szCs w:val="20"/>
        </w:rPr>
        <w:t xml:space="preserve">receive any financial support because of this archaic income test. </w:t>
      </w:r>
    </w:p>
    <w:p w14:paraId="19DCF10C" w14:textId="0320E67D" w:rsidR="3351B763" w:rsidRDefault="3351B763" w:rsidP="79A6475B">
      <w:pPr>
        <w:rPr>
          <w:rFonts w:eastAsia="Calibri" w:cs="Arial"/>
          <w:szCs w:val="20"/>
        </w:rPr>
      </w:pPr>
      <w:r w:rsidRPr="79A6475B">
        <w:rPr>
          <w:rFonts w:eastAsia="Calibri" w:cs="Arial"/>
          <w:szCs w:val="20"/>
        </w:rPr>
        <w:t xml:space="preserve">ACOSS recommends that the income test be aligned to that of </w:t>
      </w:r>
      <w:proofErr w:type="spellStart"/>
      <w:r w:rsidRPr="79A6475B">
        <w:rPr>
          <w:rFonts w:eastAsia="Calibri" w:cs="Arial"/>
          <w:szCs w:val="20"/>
        </w:rPr>
        <w:t>JobSeeker</w:t>
      </w:r>
      <w:proofErr w:type="spellEnd"/>
      <w:r w:rsidRPr="79A6475B">
        <w:rPr>
          <w:rFonts w:eastAsia="Calibri" w:cs="Arial"/>
          <w:szCs w:val="20"/>
        </w:rPr>
        <w:t xml:space="preserve"> so that the small number of people receiving the payment are not treated </w:t>
      </w:r>
      <w:r w:rsidR="1CEFE255" w:rsidRPr="79A6475B">
        <w:rPr>
          <w:rFonts w:eastAsia="Calibri" w:cs="Arial"/>
          <w:szCs w:val="20"/>
        </w:rPr>
        <w:t xml:space="preserve">differently to someone </w:t>
      </w:r>
      <w:r w:rsidR="0141919E" w:rsidRPr="0141919E">
        <w:rPr>
          <w:rFonts w:eastAsia="Calibri" w:cs="Arial"/>
          <w:szCs w:val="20"/>
        </w:rPr>
        <w:t xml:space="preserve">who is otherwise </w:t>
      </w:r>
      <w:r w:rsidR="1CEFE255" w:rsidRPr="79A6475B">
        <w:rPr>
          <w:rFonts w:eastAsia="Calibri" w:cs="Arial"/>
          <w:szCs w:val="20"/>
        </w:rPr>
        <w:t xml:space="preserve">in the same position receiving </w:t>
      </w:r>
      <w:proofErr w:type="spellStart"/>
      <w:r w:rsidR="1CEFE255" w:rsidRPr="79A6475B">
        <w:rPr>
          <w:rFonts w:eastAsia="Calibri" w:cs="Arial"/>
          <w:szCs w:val="20"/>
        </w:rPr>
        <w:t>JobSeeker</w:t>
      </w:r>
      <w:proofErr w:type="spellEnd"/>
      <w:r w:rsidR="1CEFE255" w:rsidRPr="79A6475B">
        <w:rPr>
          <w:rFonts w:eastAsia="Calibri" w:cs="Arial"/>
          <w:szCs w:val="20"/>
        </w:rPr>
        <w:t xml:space="preserve">. </w:t>
      </w:r>
    </w:p>
    <w:p w14:paraId="3543EB4E" w14:textId="753A5B97" w:rsidR="1CEFE255" w:rsidRDefault="1CEFE255" w:rsidP="79A6475B">
      <w:pPr>
        <w:rPr>
          <w:rFonts w:eastAsia="Calibri" w:cs="Arial"/>
        </w:rPr>
      </w:pPr>
      <w:r w:rsidRPr="2602F1D6">
        <w:rPr>
          <w:rFonts w:eastAsia="Calibri" w:cs="Arial"/>
        </w:rPr>
        <w:t xml:space="preserve">ACOSS also recommends that the statute of limitations </w:t>
      </w:r>
      <w:r w:rsidR="1C972F51" w:rsidRPr="2602F1D6">
        <w:rPr>
          <w:rFonts w:eastAsia="Calibri" w:cs="Arial"/>
        </w:rPr>
        <w:t>for</w:t>
      </w:r>
      <w:r w:rsidRPr="2602F1D6">
        <w:rPr>
          <w:rFonts w:eastAsia="Calibri" w:cs="Arial"/>
        </w:rPr>
        <w:t xml:space="preserve"> debt recovery be returned. In 2017, the 6-year statute was abolished, allowing the Federal Government to seek alleged overpayments </w:t>
      </w:r>
      <w:r w:rsidR="51473B8B" w:rsidRPr="2602F1D6">
        <w:rPr>
          <w:rFonts w:eastAsia="Calibri" w:cs="Arial"/>
        </w:rPr>
        <w:t xml:space="preserve">without </w:t>
      </w:r>
      <w:r w:rsidR="280C9BAE" w:rsidRPr="2602F1D6">
        <w:rPr>
          <w:rFonts w:eastAsia="Calibri" w:cs="Arial"/>
        </w:rPr>
        <w:t>a time limit.</w:t>
      </w:r>
      <w:r w:rsidR="68CB4835" w:rsidRPr="2602F1D6">
        <w:rPr>
          <w:rFonts w:eastAsia="Calibri" w:cs="Arial"/>
        </w:rPr>
        <w:t xml:space="preserve"> ACOSS understands people have been pursued for alleged debts </w:t>
      </w:r>
      <w:r w:rsidR="4AB08976" w:rsidRPr="2602F1D6">
        <w:rPr>
          <w:rFonts w:eastAsia="Calibri" w:cs="Arial"/>
        </w:rPr>
        <w:t xml:space="preserve">from more than ten years ago, which is near impossible to contest because they no longer have </w:t>
      </w:r>
      <w:proofErr w:type="spellStart"/>
      <w:r w:rsidR="4AB08976" w:rsidRPr="2602F1D6">
        <w:rPr>
          <w:rFonts w:eastAsia="Calibri" w:cs="Arial"/>
        </w:rPr>
        <w:t>payslips</w:t>
      </w:r>
      <w:proofErr w:type="spellEnd"/>
      <w:r w:rsidR="280C9BAE" w:rsidRPr="2602F1D6">
        <w:rPr>
          <w:rFonts w:eastAsia="Calibri" w:cs="Arial"/>
        </w:rPr>
        <w:t xml:space="preserve"> or other records.</w:t>
      </w:r>
      <w:r w:rsidR="4AB08976" w:rsidRPr="2602F1D6">
        <w:rPr>
          <w:rFonts w:eastAsia="Calibri" w:cs="Arial"/>
        </w:rPr>
        <w:t xml:space="preserve"> It is standard practice to have a statute of limitations </w:t>
      </w:r>
      <w:r w:rsidR="67461DCA" w:rsidRPr="2602F1D6">
        <w:rPr>
          <w:rFonts w:eastAsia="Calibri" w:cs="Arial"/>
        </w:rPr>
        <w:t xml:space="preserve">with respect to debts, and ACOSS calls for it to be returned with </w:t>
      </w:r>
      <w:r w:rsidR="280C9BAE" w:rsidRPr="2602F1D6">
        <w:rPr>
          <w:rFonts w:eastAsia="Calibri" w:cs="Arial"/>
        </w:rPr>
        <w:t xml:space="preserve">respect to </w:t>
      </w:r>
      <w:r w:rsidR="67461DCA" w:rsidRPr="2602F1D6">
        <w:rPr>
          <w:rFonts w:eastAsia="Calibri" w:cs="Arial"/>
        </w:rPr>
        <w:t xml:space="preserve">Centrelink debts. </w:t>
      </w:r>
    </w:p>
    <w:p w14:paraId="61EF8496" w14:textId="337CB1A3" w:rsidR="67461DCA" w:rsidRDefault="67461DCA" w:rsidP="79A6475B">
      <w:pPr>
        <w:rPr>
          <w:rFonts w:eastAsia="Calibri" w:cs="Arial"/>
        </w:rPr>
      </w:pPr>
      <w:r w:rsidRPr="2602F1D6">
        <w:rPr>
          <w:rFonts w:eastAsia="Calibri" w:cs="Arial"/>
        </w:rPr>
        <w:t>Finally, ACOSS recommends that Centrelink be adequately funded to meet demand. During 2020 and 2021, resources were directed to Centrelink to meet increased demand resulting from the pandemic. This additional</w:t>
      </w:r>
      <w:r w:rsidR="34EA333F" w:rsidRPr="2602F1D6">
        <w:rPr>
          <w:rFonts w:eastAsia="Calibri" w:cs="Arial"/>
        </w:rPr>
        <w:t xml:space="preserve"> resourcing reduced call waiting times to record lows and facilitated the rapid administration of payments, ensuring people got support when they were most in need. This should continue to ensure that people can get Centrelink services quickly. </w:t>
      </w:r>
      <w:r w:rsidR="2602F1D6" w:rsidRPr="2602F1D6">
        <w:rPr>
          <w:rFonts w:eastAsia="Calibri" w:cs="Arial"/>
        </w:rPr>
        <w:t>It is</w:t>
      </w:r>
      <w:r w:rsidR="34EA333F" w:rsidRPr="2602F1D6">
        <w:rPr>
          <w:rFonts w:eastAsia="Calibri" w:cs="Arial"/>
        </w:rPr>
        <w:t xml:space="preserve"> also </w:t>
      </w:r>
      <w:r w:rsidR="281D0677" w:rsidRPr="2602F1D6">
        <w:rPr>
          <w:rFonts w:eastAsia="Calibri" w:cs="Arial"/>
        </w:rPr>
        <w:t>crucial that remote Centrelink services be better funde</w:t>
      </w:r>
      <w:r w:rsidR="26634953" w:rsidRPr="2602F1D6">
        <w:rPr>
          <w:rFonts w:eastAsia="Calibri" w:cs="Arial"/>
        </w:rPr>
        <w:t xml:space="preserve">d to meet need, and that Centrelink engage more social workers to support people experiencing domestic violence, </w:t>
      </w:r>
      <w:r w:rsidR="53B43FFF" w:rsidRPr="2602F1D6">
        <w:rPr>
          <w:rFonts w:eastAsia="Calibri" w:cs="Arial"/>
        </w:rPr>
        <w:t xml:space="preserve">trauma, </w:t>
      </w:r>
      <w:r w:rsidR="1DE1D487" w:rsidRPr="2602F1D6">
        <w:rPr>
          <w:rFonts w:eastAsia="Calibri" w:cs="Arial"/>
        </w:rPr>
        <w:t xml:space="preserve">poor mental </w:t>
      </w:r>
      <w:r w:rsidR="009F0924" w:rsidRPr="2602F1D6">
        <w:rPr>
          <w:rFonts w:eastAsia="Calibri" w:cs="Arial"/>
        </w:rPr>
        <w:t>health,</w:t>
      </w:r>
      <w:r w:rsidR="1DE1D487" w:rsidRPr="2602F1D6">
        <w:rPr>
          <w:rFonts w:eastAsia="Calibri" w:cs="Arial"/>
        </w:rPr>
        <w:t xml:space="preserve"> and other issues facing people receiving income support. </w:t>
      </w:r>
    </w:p>
    <w:p w14:paraId="086F9C11" w14:textId="77777777" w:rsidR="00CD4F69" w:rsidRDefault="00CD4F69" w:rsidP="79A6475B">
      <w:pPr>
        <w:rPr>
          <w:rFonts w:eastAsia="Calibri" w:cs="Arial"/>
        </w:rPr>
      </w:pPr>
    </w:p>
    <w:p w14:paraId="6E806295" w14:textId="5E8ED260" w:rsidR="004B10F9" w:rsidRDefault="294F0AC8" w:rsidP="5ABE344E">
      <w:pPr>
        <w:pStyle w:val="Recommendation"/>
        <w:rPr>
          <w:color w:val="auto"/>
        </w:rPr>
      </w:pPr>
      <w:r w:rsidRPr="294F0AC8">
        <w:rPr>
          <w:color w:val="C00000"/>
        </w:rPr>
        <w:t>Recommendation 8:</w:t>
      </w:r>
      <w:r>
        <w:t xml:space="preserve"> </w:t>
      </w:r>
      <w:r w:rsidRPr="294F0AC8">
        <w:rPr>
          <w:color w:val="auto"/>
        </w:rPr>
        <w:t xml:space="preserve">Align the Special Benefit means test, reinstate a statute of limitations on debt recovery and boost Centrelink resources including social workers on staff. </w:t>
      </w:r>
    </w:p>
    <w:p w14:paraId="282992B4" w14:textId="77777777" w:rsidR="00CD4F69" w:rsidRPr="00CD4F69" w:rsidRDefault="00CD4F69" w:rsidP="00CD4F69">
      <w:pPr>
        <w:pStyle w:val="ListNumber"/>
        <w:numPr>
          <w:ilvl w:val="0"/>
          <w:numId w:val="0"/>
        </w:numPr>
        <w:ind w:left="360"/>
      </w:pPr>
    </w:p>
    <w:p w14:paraId="22FDC9EF" w14:textId="0318B75C" w:rsidR="280C9BAE" w:rsidRDefault="294F0AC8" w:rsidP="111CE8BE">
      <w:pPr>
        <w:pStyle w:val="ListNumber"/>
        <w:numPr>
          <w:ilvl w:val="0"/>
          <w:numId w:val="0"/>
        </w:numPr>
      </w:pPr>
      <w:r w:rsidRPr="294F0AC8">
        <w:rPr>
          <w:rFonts w:eastAsiaTheme="minorEastAsia"/>
          <w:b/>
          <w:bCs/>
          <w:color w:val="C00000"/>
        </w:rPr>
        <w:t>Budget impact:</w:t>
      </w:r>
      <w:r w:rsidRPr="294F0AC8">
        <w:rPr>
          <w:b/>
          <w:bCs/>
          <w:color w:val="C00000"/>
        </w:rPr>
        <w:t xml:space="preserve"> </w:t>
      </w:r>
      <w:r w:rsidRPr="294F0AC8">
        <w:rPr>
          <w:b/>
          <w:bCs/>
        </w:rPr>
        <w:t xml:space="preserve"> </w:t>
      </w:r>
      <w:r w:rsidRPr="294F0AC8">
        <w:rPr>
          <w:b/>
          <w:bCs/>
          <w:i/>
          <w:iCs/>
        </w:rPr>
        <w:t xml:space="preserve">-$160 million in 2022-23 (-$160 million in 2023-24) </w:t>
      </w:r>
      <w:r w:rsidR="280C9BAE">
        <w:br w:type="page"/>
      </w:r>
    </w:p>
    <w:p w14:paraId="69BEF6CF" w14:textId="27A4EF6D" w:rsidR="280C9BAE" w:rsidRDefault="294F0AC8" w:rsidP="280C9BAE">
      <w:pPr>
        <w:pStyle w:val="Heading1"/>
        <w:numPr>
          <w:ilvl w:val="0"/>
          <w:numId w:val="0"/>
        </w:numPr>
      </w:pPr>
      <w:bookmarkStart w:id="254" w:name="_Toc677633489"/>
      <w:bookmarkStart w:id="255" w:name="_Toc1841201573"/>
      <w:bookmarkStart w:id="256" w:name="_Toc1725454579"/>
      <w:bookmarkStart w:id="257" w:name="_Toc1146689403"/>
      <w:bookmarkStart w:id="258" w:name="_Toc65333093"/>
      <w:bookmarkStart w:id="259" w:name="_Toc654002987"/>
      <w:bookmarkStart w:id="260" w:name="_Toc1480173762"/>
      <w:bookmarkStart w:id="261" w:name="_Toc687143413"/>
      <w:bookmarkStart w:id="262" w:name="_Toc1950077228"/>
      <w:bookmarkStart w:id="263" w:name="_Toc978613001"/>
      <w:bookmarkStart w:id="264" w:name="_Toc730588738"/>
      <w:bookmarkStart w:id="265" w:name="_Toc90983314"/>
      <w:bookmarkStart w:id="266" w:name="_Toc90983352"/>
      <w:bookmarkStart w:id="267" w:name="_Toc90984615"/>
      <w:r>
        <w:lastRenderedPageBreak/>
        <w:t>2. Restoring jobs for people out of paid work</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055AF318" w14:textId="5262F66D" w:rsidR="280C9BAE" w:rsidRDefault="294F0AC8" w:rsidP="294F0AC8">
      <w:pPr>
        <w:rPr>
          <w:rFonts w:eastAsia="Verdana" w:cs="Verdana"/>
        </w:rPr>
      </w:pPr>
      <w:r w:rsidRPr="294F0AC8">
        <w:rPr>
          <w:rFonts w:eastAsia="Verdana" w:cs="Verdana"/>
        </w:rPr>
        <w:t xml:space="preserve">We have an historic opportunity to achieve full employment, where </w:t>
      </w:r>
      <w:proofErr w:type="gramStart"/>
      <w:r w:rsidRPr="294F0AC8">
        <w:rPr>
          <w:rFonts w:eastAsia="Verdana" w:cs="Verdana"/>
        </w:rPr>
        <w:t>the vast majority of</w:t>
      </w:r>
      <w:proofErr w:type="gramEnd"/>
      <w:r w:rsidRPr="294F0AC8">
        <w:rPr>
          <w:rFonts w:eastAsia="Verdana" w:cs="Verdana"/>
        </w:rPr>
        <w:t xml:space="preserve"> people seeking paid employment can readily find a job. The government has committed to maintain fiscal stimulus and the Reserve Bank has committed not to lift interest rates until unemployment is low enough to trigger sustained increases in real wages of around 3% a year. To reach full employment in the 21st century </w:t>
      </w:r>
      <w:proofErr w:type="spellStart"/>
      <w:r w:rsidRPr="294F0AC8">
        <w:rPr>
          <w:rFonts w:eastAsia="Verdana" w:cs="Verdana"/>
        </w:rPr>
        <w:t>labour</w:t>
      </w:r>
      <w:proofErr w:type="spellEnd"/>
      <w:r w:rsidRPr="294F0AC8">
        <w:rPr>
          <w:rFonts w:eastAsia="Verdana" w:cs="Verdana"/>
        </w:rPr>
        <w:t xml:space="preserve"> market, attention must also be paid to Australia's high levels of underemployment and insecure employment, and over-reliance on temporary migrants to fill entry-level jobs.</w:t>
      </w:r>
    </w:p>
    <w:p w14:paraId="2A1D67A9" w14:textId="5207E174" w:rsidR="280C9BAE" w:rsidRDefault="280C9BAE" w:rsidP="280C9BAE">
      <w:pPr>
        <w:rPr>
          <w:rFonts w:eastAsia="Verdana" w:cs="Verdana"/>
        </w:rPr>
      </w:pPr>
      <w:r w:rsidRPr="2602F1D6">
        <w:rPr>
          <w:rFonts w:eastAsia="Verdana" w:cs="Verdana"/>
        </w:rPr>
        <w:t>Job vacancies have increased as employers reopen for business after the easing of the latest COVID19 lockdowns. Even if there were enough jobs for all applicants</w:t>
      </w:r>
      <w:r w:rsidR="2602F1D6" w:rsidRPr="2602F1D6">
        <w:rPr>
          <w:rFonts w:eastAsia="Verdana" w:cs="Verdana"/>
        </w:rPr>
        <w:t>,</w:t>
      </w:r>
      <w:r w:rsidRPr="2602F1D6">
        <w:rPr>
          <w:rFonts w:eastAsia="Verdana" w:cs="Verdana"/>
        </w:rPr>
        <w:t xml:space="preserve"> however, many people would still be excluded from employment without a concerted effort to lift the skills and capabilities of people who are unemployed and fix mismatches in the </w:t>
      </w:r>
      <w:proofErr w:type="spellStart"/>
      <w:r w:rsidRPr="2602F1D6">
        <w:rPr>
          <w:rFonts w:eastAsia="Verdana" w:cs="Verdana"/>
        </w:rPr>
        <w:t>labour</w:t>
      </w:r>
      <w:proofErr w:type="spellEnd"/>
      <w:r w:rsidRPr="2602F1D6">
        <w:rPr>
          <w:rFonts w:eastAsia="Verdana" w:cs="Verdana"/>
        </w:rPr>
        <w:t xml:space="preserve"> market. </w:t>
      </w:r>
    </w:p>
    <w:p w14:paraId="79A97B85" w14:textId="61FCA78B" w:rsidR="280C9BAE" w:rsidRDefault="294F0AC8" w:rsidP="280C9BAE">
      <w:pPr>
        <w:rPr>
          <w:rFonts w:eastAsia="Verdana" w:cs="Verdana"/>
        </w:rPr>
      </w:pPr>
      <w:r w:rsidRPr="294F0AC8">
        <w:rPr>
          <w:rFonts w:eastAsia="Verdana" w:cs="Verdana"/>
        </w:rPr>
        <w:t xml:space="preserve">In September 2021, there were 882,000 people on unemployment payments for more than a year (over 80% of all on those payments), of whom 557,000 received them for over two years. A profile of people on those payment for over two years revealed that 54% had a disability, </w:t>
      </w:r>
      <w:r w:rsidR="2602F1D6" w:rsidRPr="2602F1D6">
        <w:rPr>
          <w:rFonts w:eastAsia="Verdana" w:cs="Verdana"/>
        </w:rPr>
        <w:t>46</w:t>
      </w:r>
      <w:r w:rsidRPr="294F0AC8">
        <w:rPr>
          <w:rFonts w:eastAsia="Verdana" w:cs="Verdana"/>
        </w:rPr>
        <w:t xml:space="preserve">% were 55 years or older, and 13% were the main </w:t>
      </w:r>
      <w:proofErr w:type="spellStart"/>
      <w:r w:rsidRPr="294F0AC8">
        <w:rPr>
          <w:rFonts w:eastAsia="Verdana" w:cs="Verdana"/>
        </w:rPr>
        <w:t>carers</w:t>
      </w:r>
      <w:proofErr w:type="spellEnd"/>
      <w:r w:rsidRPr="294F0AC8">
        <w:rPr>
          <w:rFonts w:eastAsia="Verdana" w:cs="Verdana"/>
        </w:rPr>
        <w:t xml:space="preserve"> of dependent children (mainly single mothers).</w:t>
      </w:r>
      <w:r w:rsidRPr="294F0AC8">
        <w:rPr>
          <w:rFonts w:eastAsia="Verdana" w:cs="Verdana"/>
          <w:vertAlign w:val="superscript"/>
        </w:rPr>
        <w:t>2</w:t>
      </w:r>
      <w:r w:rsidRPr="294F0AC8">
        <w:rPr>
          <w:rFonts w:eastAsia="Verdana" w:cs="Verdana"/>
        </w:rPr>
        <w:t xml:space="preserve"> Most had high school qualifications or less. Due to a combination of discrimination and unsuitability for the jobs available (for example, jobs requiring degrees or diplomas or a high level of physical fitness), they are being left behind</w:t>
      </w:r>
      <w:r w:rsidR="00CD4F69">
        <w:rPr>
          <w:rFonts w:eastAsia="Verdana" w:cs="Verdana"/>
        </w:rPr>
        <w:t xml:space="preserve"> (Figure 2)</w:t>
      </w:r>
      <w:r w:rsidRPr="294F0AC8">
        <w:rPr>
          <w:rFonts w:eastAsia="Verdana" w:cs="Verdana"/>
        </w:rPr>
        <w:t>.</w:t>
      </w:r>
    </w:p>
    <w:p w14:paraId="2B5401FB" w14:textId="19F62A1C" w:rsidR="280C9BAE" w:rsidRDefault="294F0AC8" w:rsidP="294F0AC8">
      <w:pPr>
        <w:pStyle w:val="Heading3"/>
        <w:rPr>
          <w:rFonts w:asciiTheme="minorHAnsi" w:eastAsiaTheme="minorEastAsia" w:hAnsiTheme="minorHAnsi" w:cstheme="minorBidi"/>
          <w:bCs/>
          <w:color w:val="CE2028"/>
          <w:sz w:val="24"/>
        </w:rPr>
      </w:pPr>
      <w:bookmarkStart w:id="268" w:name="_Toc1760136005"/>
      <w:bookmarkStart w:id="269" w:name="_Toc929348024"/>
      <w:bookmarkStart w:id="270" w:name="_Toc1592695306"/>
      <w:bookmarkStart w:id="271" w:name="_Toc2100102730"/>
      <w:bookmarkStart w:id="272" w:name="_Toc899081607"/>
      <w:bookmarkStart w:id="273" w:name="_Toc1035592076"/>
      <w:bookmarkStart w:id="274" w:name="_Toc2004450883"/>
      <w:bookmarkStart w:id="275" w:name="_Toc718784725"/>
      <w:r w:rsidRPr="294F0AC8">
        <w:rPr>
          <w:rFonts w:asciiTheme="minorHAnsi" w:eastAsiaTheme="minorEastAsia" w:hAnsiTheme="minorHAnsi" w:cstheme="minorBidi"/>
          <w:bCs/>
          <w:color w:val="CE2028"/>
          <w:sz w:val="24"/>
        </w:rPr>
        <w:t>Figure 2: Profile of people on unemployment payments for more than two years</w:t>
      </w:r>
      <w:r w:rsidR="280C9BAE">
        <w:br/>
      </w:r>
      <w:r w:rsidRPr="294F0AC8">
        <w:rPr>
          <w:rFonts w:asciiTheme="minorHAnsi" w:eastAsiaTheme="minorEastAsia" w:hAnsiTheme="minorHAnsi" w:cstheme="minorBidi"/>
          <w:bCs/>
          <w:color w:val="CE2028"/>
          <w:sz w:val="24"/>
        </w:rPr>
        <w:t xml:space="preserve">(per cent </w:t>
      </w:r>
      <w:r w:rsidR="2602F1D6" w:rsidRPr="2602F1D6">
        <w:rPr>
          <w:rFonts w:asciiTheme="minorHAnsi" w:eastAsiaTheme="minorEastAsia" w:hAnsiTheme="minorHAnsi" w:cstheme="minorBidi"/>
          <w:color w:val="CE2028"/>
          <w:sz w:val="24"/>
        </w:rPr>
        <w:t>of</w:t>
      </w:r>
      <w:r w:rsidRPr="294F0AC8">
        <w:rPr>
          <w:rFonts w:asciiTheme="minorHAnsi" w:eastAsiaTheme="minorEastAsia" w:hAnsiTheme="minorHAnsi" w:cstheme="minorBidi"/>
          <w:bCs/>
          <w:color w:val="CE2028"/>
          <w:sz w:val="24"/>
        </w:rPr>
        <w:t xml:space="preserve"> total in April 2021)</w:t>
      </w:r>
      <w:bookmarkEnd w:id="268"/>
      <w:bookmarkEnd w:id="269"/>
      <w:bookmarkEnd w:id="270"/>
      <w:bookmarkEnd w:id="271"/>
      <w:bookmarkEnd w:id="272"/>
      <w:bookmarkEnd w:id="273"/>
      <w:bookmarkEnd w:id="274"/>
      <w:bookmarkEnd w:id="275"/>
    </w:p>
    <w:p w14:paraId="0398BC82" w14:textId="44E15F29" w:rsidR="2602F1D6" w:rsidRDefault="2602F1D6" w:rsidP="2602F1D6">
      <w:pPr>
        <w:rPr>
          <w:rFonts w:eastAsia="Calibri" w:cs="Arial"/>
          <w:szCs w:val="20"/>
        </w:rPr>
      </w:pPr>
      <w:r>
        <w:rPr>
          <w:noProof/>
        </w:rPr>
        <w:drawing>
          <wp:inline distT="0" distB="0" distL="0" distR="0" wp14:anchorId="44BE33A1" wp14:editId="58C5932D">
            <wp:extent cx="4572000" cy="2552700"/>
            <wp:effectExtent l="0" t="0" r="0" b="0"/>
            <wp:docPr id="831277700" name="Picture 83127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572000" cy="2552700"/>
                    </a:xfrm>
                    <a:prstGeom prst="rect">
                      <a:avLst/>
                    </a:prstGeom>
                  </pic:spPr>
                </pic:pic>
              </a:graphicData>
            </a:graphic>
          </wp:inline>
        </w:drawing>
      </w:r>
    </w:p>
    <w:p w14:paraId="20379E02" w14:textId="7F788963" w:rsidR="2602F1D6" w:rsidRDefault="2602F1D6" w:rsidP="2602F1D6">
      <w:pPr>
        <w:rPr>
          <w:rFonts w:eastAsia="Calibri" w:cs="Arial"/>
          <w:szCs w:val="20"/>
        </w:rPr>
      </w:pPr>
      <w:r>
        <w:rPr>
          <w:noProof/>
        </w:rPr>
        <w:drawing>
          <wp:inline distT="0" distB="0" distL="0" distR="0" wp14:anchorId="5F2F0575" wp14:editId="69C84CB5">
            <wp:extent cx="4572000" cy="552450"/>
            <wp:effectExtent l="0" t="0" r="0" b="0"/>
            <wp:docPr id="2053583624" name="Picture 2053583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572000" cy="552450"/>
                    </a:xfrm>
                    <a:prstGeom prst="rect">
                      <a:avLst/>
                    </a:prstGeom>
                  </pic:spPr>
                </pic:pic>
              </a:graphicData>
            </a:graphic>
          </wp:inline>
        </w:drawing>
      </w:r>
    </w:p>
    <w:p w14:paraId="5CB54185" w14:textId="6221574A" w:rsidR="2602F1D6" w:rsidRDefault="2602F1D6">
      <w:r w:rsidRPr="2602F1D6">
        <w:rPr>
          <w:rFonts w:eastAsia="Verdana" w:cs="Verdana"/>
          <w:sz w:val="18"/>
          <w:szCs w:val="18"/>
        </w:rPr>
        <w:t xml:space="preserve">Source: ACOSS (2021) </w:t>
      </w:r>
      <w:r w:rsidRPr="2602F1D6">
        <w:rPr>
          <w:rFonts w:eastAsia="Verdana" w:cs="Verdana"/>
          <w:i/>
          <w:iCs/>
          <w:sz w:val="18"/>
          <w:szCs w:val="18"/>
        </w:rPr>
        <w:t>Faces of unemployment.</w:t>
      </w:r>
      <w:r>
        <w:br w:type="page"/>
      </w:r>
    </w:p>
    <w:p w14:paraId="60E40A52" w14:textId="5A6B0261" w:rsidR="280C9BAE" w:rsidRDefault="280C9BAE" w:rsidP="280C9BAE">
      <w:pPr>
        <w:rPr>
          <w:rFonts w:ascii="Arial" w:eastAsia="Arial" w:hAnsi="Arial" w:cs="Arial"/>
          <w:szCs w:val="20"/>
        </w:rPr>
      </w:pPr>
      <w:r w:rsidRPr="280C9BAE">
        <w:rPr>
          <w:rFonts w:eastAsia="Verdana" w:cs="Verdana"/>
          <w:szCs w:val="20"/>
        </w:rPr>
        <w:lastRenderedPageBreak/>
        <w:t>A</w:t>
      </w:r>
      <w:r w:rsidR="00CD4F69">
        <w:rPr>
          <w:rFonts w:eastAsia="Verdana" w:cs="Verdana"/>
          <w:szCs w:val="20"/>
        </w:rPr>
        <w:t>t the same time</w:t>
      </w:r>
      <w:r w:rsidR="00FB52FF">
        <w:rPr>
          <w:rFonts w:eastAsia="Verdana" w:cs="Verdana"/>
          <w:szCs w:val="20"/>
        </w:rPr>
        <w:t>,</w:t>
      </w:r>
      <w:r w:rsidRPr="280C9BAE">
        <w:rPr>
          <w:rFonts w:eastAsia="Verdana" w:cs="Verdana"/>
          <w:szCs w:val="20"/>
        </w:rPr>
        <w:t xml:space="preserve"> entry level jobs are diminishing, a long-standing trend exacerbated by the recession. From August 2019 to August 2021, lower-paid positions such as </w:t>
      </w:r>
      <w:proofErr w:type="spellStart"/>
      <w:r w:rsidRPr="280C9BAE">
        <w:rPr>
          <w:rFonts w:eastAsia="Verdana" w:cs="Verdana"/>
          <w:szCs w:val="20"/>
        </w:rPr>
        <w:t>labouring</w:t>
      </w:r>
      <w:proofErr w:type="spellEnd"/>
      <w:r w:rsidRPr="280C9BAE">
        <w:rPr>
          <w:rFonts w:ascii="Arial" w:eastAsia="Arial" w:hAnsi="Arial" w:cs="Arial"/>
          <w:szCs w:val="20"/>
        </w:rPr>
        <w:t xml:space="preserve">, </w:t>
      </w:r>
      <w:r w:rsidRPr="280C9BAE">
        <w:rPr>
          <w:rFonts w:eastAsia="Verdana" w:cs="Verdana"/>
          <w:szCs w:val="20"/>
        </w:rPr>
        <w:t>sales and many jobs in care services declined by 148,000, middle-paid jobs (trades and administrative jobs) declined by 69,000, while higher paid positions (managers and professionals) rose by 405,000.</w:t>
      </w:r>
      <w:r w:rsidRPr="280C9BAE">
        <w:rPr>
          <w:rFonts w:ascii="Arial" w:eastAsia="Arial" w:hAnsi="Arial" w:cs="Arial"/>
          <w:szCs w:val="20"/>
          <w:vertAlign w:val="superscript"/>
        </w:rPr>
        <w:t>3</w:t>
      </w:r>
    </w:p>
    <w:p w14:paraId="2B9B473C" w14:textId="285A560B" w:rsidR="294F0AC8" w:rsidRDefault="00CD4F69" w:rsidP="294F0AC8">
      <w:pPr>
        <w:rPr>
          <w:rFonts w:eastAsia="Verdana" w:cs="Verdana"/>
        </w:rPr>
      </w:pPr>
      <w:r>
        <w:rPr>
          <w:rFonts w:eastAsia="Verdana" w:cs="Verdana"/>
        </w:rPr>
        <w:t>E</w:t>
      </w:r>
      <w:r w:rsidR="294F0AC8" w:rsidRPr="294F0AC8">
        <w:rPr>
          <w:rFonts w:eastAsia="Verdana" w:cs="Verdana"/>
        </w:rPr>
        <w:t xml:space="preserve">mployers in industries such as hospitality, retail and horticulture increasingly depend on temporary migrant workers to fill entry-level jobs. Together with weak regulation of visa conditions and workplace relations in those sectors, this has led to widespread underpayment and abuse of temporary migrant workers who depend on the employer to maintain their visas. These regulatory weaknesses should be fixed before large scale employment of temporary migrant workers in entry level jobs resumes. Australia should restore migration policies that </w:t>
      </w:r>
      <w:proofErr w:type="spellStart"/>
      <w:r w:rsidR="294F0AC8" w:rsidRPr="294F0AC8">
        <w:rPr>
          <w:rFonts w:eastAsia="Verdana" w:cs="Verdana"/>
        </w:rPr>
        <w:t>prioritise</w:t>
      </w:r>
      <w:proofErr w:type="spellEnd"/>
      <w:r w:rsidR="294F0AC8" w:rsidRPr="294F0AC8">
        <w:rPr>
          <w:rFonts w:eastAsia="Verdana" w:cs="Verdana"/>
        </w:rPr>
        <w:t xml:space="preserve"> skilled, permanent migration (along with support for family reunion and refugees), and people who work here temporarily should receive decent incomes in return and reasonable opportunities to transition to permanent residency.    </w:t>
      </w:r>
    </w:p>
    <w:p w14:paraId="3259B306" w14:textId="58073AF3" w:rsidR="294F0AC8" w:rsidRDefault="294F0AC8" w:rsidP="294F0AC8">
      <w:pPr>
        <w:rPr>
          <w:rFonts w:eastAsia="Calibri" w:cs="Arial"/>
          <w:b/>
          <w:bCs/>
        </w:rPr>
      </w:pPr>
      <w:r w:rsidRPr="294F0AC8">
        <w:rPr>
          <w:rFonts w:eastAsia="Calibri" w:cs="Arial"/>
          <w:b/>
          <w:bCs/>
        </w:rPr>
        <w:t>Major recommendations:</w:t>
      </w:r>
    </w:p>
    <w:p w14:paraId="0C96C057" w14:textId="75CC2190" w:rsidR="294F0AC8" w:rsidRDefault="294F0AC8" w:rsidP="00DD3DC0">
      <w:pPr>
        <w:pStyle w:val="ListParagraph"/>
        <w:numPr>
          <w:ilvl w:val="0"/>
          <w:numId w:val="14"/>
        </w:numPr>
        <w:tabs>
          <w:tab w:val="left" w:pos="2149"/>
        </w:tabs>
        <w:spacing w:after="160" w:line="259" w:lineRule="auto"/>
        <w:ind w:right="69"/>
        <w:rPr>
          <w:rFonts w:asciiTheme="minorHAnsi" w:eastAsiaTheme="minorEastAsia" w:hAnsiTheme="minorHAnsi"/>
          <w:b/>
        </w:rPr>
      </w:pPr>
      <w:r w:rsidRPr="294F0AC8">
        <w:rPr>
          <w:rFonts w:eastAsia="Verdana" w:cs="Verdana"/>
          <w:b/>
          <w:color w:val="auto"/>
        </w:rPr>
        <w:t xml:space="preserve">The government should introduce a flexible Jobs and Training Guarantee for people unemployed long-term, comprising either </w:t>
      </w:r>
      <w:proofErr w:type="spellStart"/>
      <w:r w:rsidRPr="294F0AC8">
        <w:rPr>
          <w:rFonts w:eastAsia="Verdana" w:cs="Verdana"/>
          <w:b/>
          <w:color w:val="auto"/>
        </w:rPr>
        <w:t>subsidised</w:t>
      </w:r>
      <w:proofErr w:type="spellEnd"/>
      <w:r w:rsidRPr="294F0AC8">
        <w:rPr>
          <w:rFonts w:eastAsia="Verdana" w:cs="Verdana"/>
          <w:b/>
          <w:color w:val="auto"/>
        </w:rPr>
        <w:t xml:space="preserve"> temporary employment, substantial further education or training, or other help to connect them directly to suitable jobs.</w:t>
      </w:r>
    </w:p>
    <w:p w14:paraId="01EE9B8D" w14:textId="17A3AC70" w:rsidR="294F0AC8" w:rsidRDefault="294F0AC8" w:rsidP="294F0AC8">
      <w:pPr>
        <w:pStyle w:val="ListParagraph"/>
        <w:spacing w:after="160" w:line="259" w:lineRule="auto"/>
        <w:ind w:right="69"/>
        <w:rPr>
          <w:rFonts w:asciiTheme="minorHAnsi" w:eastAsiaTheme="minorEastAsia" w:hAnsiTheme="minorHAnsi"/>
          <w:b/>
        </w:rPr>
      </w:pPr>
      <w:r w:rsidRPr="294F0AC8">
        <w:rPr>
          <w:rFonts w:eastAsia="Verdana" w:cs="Verdana"/>
          <w:b/>
          <w:color w:val="auto"/>
        </w:rPr>
        <w:t>Harsh unemployment payment compliance arrangements, including automated payment suspensions, excessive activity requirements, and a lack of discretion for employment service providers and Services Australia to withhold penalties, should be replaced with a strengths-based approach.</w:t>
      </w:r>
    </w:p>
    <w:p w14:paraId="50533BF5" w14:textId="5B9508EE" w:rsidR="294F0AC8" w:rsidRDefault="294F0AC8" w:rsidP="294F0AC8">
      <w:pPr>
        <w:rPr>
          <w:rFonts w:eastAsia="Calibri" w:cs="Arial"/>
          <w:szCs w:val="20"/>
        </w:rPr>
      </w:pPr>
    </w:p>
    <w:p w14:paraId="04B225D3" w14:textId="4C3021EB" w:rsidR="280C9BAE" w:rsidRDefault="294F0AC8" w:rsidP="001D1B51">
      <w:pPr>
        <w:pStyle w:val="Heading2"/>
      </w:pPr>
      <w:bookmarkStart w:id="276" w:name="_Toc654177086"/>
      <w:bookmarkStart w:id="277" w:name="_Toc1509702246"/>
      <w:bookmarkStart w:id="278" w:name="_Toc1602415945"/>
      <w:bookmarkStart w:id="279" w:name="_Toc497121972"/>
      <w:bookmarkStart w:id="280" w:name="_Toc781702546"/>
      <w:bookmarkStart w:id="281" w:name="_Toc1556943221"/>
      <w:bookmarkStart w:id="282" w:name="_Toc1499622055"/>
      <w:bookmarkStart w:id="283" w:name="_Toc1348651655"/>
      <w:bookmarkStart w:id="284" w:name="_Toc2031002351"/>
      <w:bookmarkStart w:id="285" w:name="_Toc1660013867"/>
      <w:bookmarkStart w:id="286" w:name="_Toc1480463598"/>
      <w:bookmarkStart w:id="287" w:name="_Toc90983353"/>
      <w:bookmarkStart w:id="288" w:name="_Toc90984616"/>
      <w:r w:rsidRPr="294F0AC8">
        <w:t>A jobs and training guarantee to reduce long-term unemployment</w:t>
      </w:r>
      <w:bookmarkEnd w:id="276"/>
      <w:bookmarkEnd w:id="277"/>
      <w:bookmarkEnd w:id="278"/>
      <w:bookmarkEnd w:id="279"/>
      <w:bookmarkEnd w:id="280"/>
      <w:bookmarkEnd w:id="281"/>
      <w:bookmarkEnd w:id="282"/>
      <w:bookmarkEnd w:id="283"/>
      <w:bookmarkEnd w:id="284"/>
      <w:bookmarkEnd w:id="285"/>
      <w:bookmarkEnd w:id="286"/>
      <w:bookmarkEnd w:id="287"/>
      <w:bookmarkEnd w:id="288"/>
    </w:p>
    <w:p w14:paraId="263A63E0" w14:textId="34429A50" w:rsidR="280C9BAE" w:rsidRDefault="294F0AC8" w:rsidP="294F0AC8">
      <w:pPr>
        <w:rPr>
          <w:rFonts w:eastAsia="Verdana" w:cs="Verdana"/>
        </w:rPr>
      </w:pPr>
      <w:r w:rsidRPr="294F0AC8">
        <w:rPr>
          <w:rFonts w:eastAsia="Verdana" w:cs="Verdana"/>
        </w:rPr>
        <w:t xml:space="preserve">To ensure that people unemployed long-term can take advantage of the jobs available as we move towards full employment, we propose a flexible, community and employer-driven Jobs and Training Guarantee. This proposal draws on our observations that short term ‘work experience’ and internship models are not as effective as job starts with wage subsidies, and that many participants in employment services are severely restricted in the range of jobs they can apply for by a lack of post-secondary qualifications. Further, wage subsidies in the </w:t>
      </w:r>
      <w:proofErr w:type="spellStart"/>
      <w:r w:rsidRPr="294F0AC8">
        <w:rPr>
          <w:rFonts w:eastAsia="Verdana" w:cs="Verdana"/>
        </w:rPr>
        <w:t>JobMaker</w:t>
      </w:r>
      <w:proofErr w:type="spellEnd"/>
      <w:r w:rsidRPr="294F0AC8">
        <w:rPr>
          <w:rFonts w:eastAsia="Verdana" w:cs="Verdana"/>
        </w:rPr>
        <w:t xml:space="preserve"> program were not effective because the subsidies were inadequate, they were not promoted as part of a wider scheme to reduce long-term unemployment and did not take account of employer’s real hiring practices and the needs of local </w:t>
      </w:r>
      <w:proofErr w:type="spellStart"/>
      <w:r w:rsidRPr="294F0AC8">
        <w:rPr>
          <w:rFonts w:eastAsia="Verdana" w:cs="Verdana"/>
        </w:rPr>
        <w:t>labour</w:t>
      </w:r>
      <w:proofErr w:type="spellEnd"/>
      <w:r w:rsidRPr="294F0AC8">
        <w:rPr>
          <w:rFonts w:eastAsia="Verdana" w:cs="Verdana"/>
        </w:rPr>
        <w:t xml:space="preserve"> markets.  </w:t>
      </w:r>
    </w:p>
    <w:p w14:paraId="25BD71C6" w14:textId="167B7C53" w:rsidR="280C9BAE" w:rsidRDefault="294F0AC8" w:rsidP="294F0AC8">
      <w:pPr>
        <w:rPr>
          <w:rFonts w:eastAsia="Verdana" w:cs="Verdana"/>
        </w:rPr>
      </w:pPr>
      <w:r w:rsidRPr="294F0AC8">
        <w:rPr>
          <w:rFonts w:eastAsia="Verdana" w:cs="Verdana"/>
        </w:rPr>
        <w:t xml:space="preserve">To partially fund the guarantee, ACOSS recommends abolition of the Work for the Dole program and the Youth Jobs </w:t>
      </w:r>
      <w:r w:rsidR="2602F1D6" w:rsidRPr="2602F1D6">
        <w:rPr>
          <w:rFonts w:eastAsia="Verdana" w:cs="Verdana"/>
        </w:rPr>
        <w:t>Path</w:t>
      </w:r>
      <w:r w:rsidRPr="294F0AC8">
        <w:rPr>
          <w:rFonts w:eastAsia="Verdana" w:cs="Verdana"/>
        </w:rPr>
        <w:t xml:space="preserve"> program</w:t>
      </w:r>
      <w:r w:rsidR="00FB52FF">
        <w:rPr>
          <w:rFonts w:eastAsia="Verdana" w:cs="Verdana"/>
        </w:rPr>
        <w:t>. ACOSS also recommends</w:t>
      </w:r>
      <w:r w:rsidRPr="294F0AC8">
        <w:rPr>
          <w:rFonts w:eastAsia="Verdana" w:cs="Verdana"/>
        </w:rPr>
        <w:t xml:space="preserve"> the government not proceed with the proposed expansion of the Employability Skills Training program (EST) and National Work Experience Program (NWEP) in the New Employment Services model (NESM). </w:t>
      </w:r>
    </w:p>
    <w:p w14:paraId="34BE5DEC" w14:textId="2F4175F9" w:rsidR="280C9BAE" w:rsidRDefault="294F0AC8" w:rsidP="294F0AC8">
      <w:pPr>
        <w:rPr>
          <w:rFonts w:eastAsia="Verdana" w:cs="Verdana"/>
        </w:rPr>
      </w:pPr>
      <w:r w:rsidRPr="294F0AC8">
        <w:rPr>
          <w:rFonts w:eastAsia="Verdana" w:cs="Verdana"/>
        </w:rPr>
        <w:t>Work for the Dole is a punitive program that makes</w:t>
      </w:r>
      <w:r w:rsidR="00D20797">
        <w:rPr>
          <w:rFonts w:eastAsia="Verdana" w:cs="Verdana"/>
        </w:rPr>
        <w:t xml:space="preserve"> next to no</w:t>
      </w:r>
      <w:r w:rsidRPr="294F0AC8">
        <w:rPr>
          <w:rFonts w:eastAsia="Verdana" w:cs="Verdana"/>
        </w:rPr>
        <w:t xml:space="preserve"> difference to people's employment prospects because they </w:t>
      </w:r>
      <w:r w:rsidR="2602F1D6" w:rsidRPr="2602F1D6">
        <w:rPr>
          <w:rFonts w:eastAsia="Verdana" w:cs="Verdana"/>
        </w:rPr>
        <w:t>do not</w:t>
      </w:r>
      <w:r w:rsidRPr="294F0AC8">
        <w:rPr>
          <w:rFonts w:eastAsia="Verdana" w:cs="Verdana"/>
        </w:rPr>
        <w:t xml:space="preserve"> receive work experience in regular employment. Similarly, sh</w:t>
      </w:r>
      <w:r w:rsidRPr="294F0AC8">
        <w:rPr>
          <w:rFonts w:eastAsia="Verdana" w:cs="Verdana"/>
          <w:sz w:val="19"/>
          <w:szCs w:val="19"/>
        </w:rPr>
        <w:t>ort periods of unpaid work experience available in the</w:t>
      </w:r>
      <w:r w:rsidRPr="2602F1D6">
        <w:rPr>
          <w:rFonts w:eastAsia="Verdana" w:cs="Verdana"/>
        </w:rPr>
        <w:t xml:space="preserve"> NWEP (up to a month) are unlikely to significantly improve the employment prospects of large </w:t>
      </w:r>
      <w:r w:rsidRPr="2602F1D6">
        <w:rPr>
          <w:rFonts w:eastAsia="Verdana" w:cs="Verdana"/>
        </w:rPr>
        <w:lastRenderedPageBreak/>
        <w:t xml:space="preserve">numbers of people who are unemployed long-term. Short EST courses are unlikely to have much impact unless connected with actual experience in regular employment. The resources devoted to these programs would be better spent to support more substantial forms of work experience and training through the jobs and training guarantee.  </w:t>
      </w:r>
    </w:p>
    <w:p w14:paraId="04936F1C" w14:textId="0D0206E4" w:rsidR="280C9BAE" w:rsidRDefault="294F0AC8" w:rsidP="294F0AC8">
      <w:pPr>
        <w:rPr>
          <w:rFonts w:eastAsia="Verdana" w:cs="Verdana"/>
        </w:rPr>
      </w:pPr>
      <w:r w:rsidRPr="294F0AC8">
        <w:rPr>
          <w:rFonts w:eastAsia="Verdana" w:cs="Verdana"/>
        </w:rPr>
        <w:t>For this purpose, a dedicated wage subsidy program for people unemployed long-term should be established by combining existing schemes. This should meet the actual cost of the subsidy.</w:t>
      </w:r>
      <w:r w:rsidRPr="294F0AC8">
        <w:rPr>
          <w:rFonts w:eastAsia="Verdana" w:cs="Verdana"/>
          <w:vertAlign w:val="superscript"/>
        </w:rPr>
        <w:t>8</w:t>
      </w:r>
      <w:r w:rsidRPr="294F0AC8">
        <w:rPr>
          <w:rFonts w:ascii="Calibri" w:eastAsia="Calibri" w:hAnsi="Calibri" w:cs="Calibri"/>
        </w:rPr>
        <w:t xml:space="preserve"> </w:t>
      </w:r>
      <w:r w:rsidRPr="294F0AC8">
        <w:rPr>
          <w:rFonts w:eastAsia="Verdana" w:cs="Verdana"/>
        </w:rPr>
        <w:t xml:space="preserve">Training places could largely be provided through the </w:t>
      </w:r>
      <w:proofErr w:type="spellStart"/>
      <w:r w:rsidRPr="294F0AC8">
        <w:rPr>
          <w:rFonts w:eastAsia="Verdana" w:cs="Verdana"/>
        </w:rPr>
        <w:t>Jobtrainer</w:t>
      </w:r>
      <w:proofErr w:type="spellEnd"/>
      <w:r w:rsidRPr="294F0AC8">
        <w:rPr>
          <w:rFonts w:eastAsia="Verdana" w:cs="Verdana"/>
        </w:rPr>
        <w:t xml:space="preserve"> and Skills for Education and Employment programs. </w:t>
      </w:r>
    </w:p>
    <w:p w14:paraId="352408E2" w14:textId="246E49C1" w:rsidR="280C9BAE" w:rsidRDefault="294F0AC8" w:rsidP="294F0AC8">
      <w:pPr>
        <w:rPr>
          <w:rFonts w:eastAsia="Verdana" w:cs="Verdana"/>
        </w:rPr>
      </w:pPr>
      <w:r w:rsidRPr="294F0AC8">
        <w:rPr>
          <w:rFonts w:eastAsia="Verdana" w:cs="Verdana"/>
        </w:rPr>
        <w:t xml:space="preserve">Other forms of assistance under the guarantee would connect people directly to job opportunities and be financed at </w:t>
      </w:r>
      <w:r w:rsidR="2602F1D6" w:rsidRPr="2602F1D6">
        <w:rPr>
          <w:rFonts w:eastAsia="Verdana" w:cs="Verdana"/>
        </w:rPr>
        <w:t xml:space="preserve">the </w:t>
      </w:r>
      <w:r w:rsidRPr="294F0AC8">
        <w:rPr>
          <w:rFonts w:eastAsia="Verdana" w:cs="Verdana"/>
        </w:rPr>
        <w:t>provider's discretion drawing on the Employment Fund. The Fund should be redesigned for this purpose, since credits to the existing Fund are limited to a one-off amount of $1,600 for each unemployed person regardless of their duration of unemployment, and experience suggests shows that providers are likely to underspend the funds available.</w:t>
      </w:r>
      <w:r w:rsidRPr="294F0AC8">
        <w:rPr>
          <w:rFonts w:ascii="Calibri" w:eastAsia="Calibri" w:hAnsi="Calibri" w:cs="Calibri"/>
          <w:vertAlign w:val="superscript"/>
        </w:rPr>
        <w:t xml:space="preserve"> 7</w:t>
      </w:r>
      <w:r w:rsidRPr="294F0AC8">
        <w:rPr>
          <w:rFonts w:ascii="Calibri" w:eastAsia="Calibri" w:hAnsi="Calibri" w:cs="Calibri"/>
        </w:rPr>
        <w:t xml:space="preserve">   </w:t>
      </w:r>
      <w:r w:rsidRPr="294F0AC8">
        <w:rPr>
          <w:rFonts w:eastAsia="Verdana" w:cs="Verdana"/>
        </w:rPr>
        <w:t>Employment Fund credits should be topped up annually so that people unemployed long-term are not 'parked' in the system.</w:t>
      </w:r>
    </w:p>
    <w:p w14:paraId="5C09C3E0" w14:textId="12D54A3C" w:rsidR="280C9BAE" w:rsidRDefault="294F0AC8" w:rsidP="294F0AC8">
      <w:pPr>
        <w:pStyle w:val="Recommendation"/>
        <w:spacing w:after="240"/>
        <w:rPr>
          <w:rFonts w:eastAsia="Verdana" w:cs="Verdana"/>
          <w:color w:val="000000" w:themeColor="text1"/>
        </w:rPr>
      </w:pPr>
      <w:r w:rsidRPr="294F0AC8">
        <w:rPr>
          <w:rFonts w:eastAsia="Verdana" w:cs="Verdana"/>
          <w:color w:val="C00000"/>
        </w:rPr>
        <w:t>Recommendation 9:</w:t>
      </w:r>
      <w:r w:rsidRPr="294F0AC8">
        <w:rPr>
          <w:rFonts w:eastAsia="Verdana" w:cs="Verdana"/>
        </w:rPr>
        <w:t xml:space="preserve"> </w:t>
      </w:r>
      <w:r w:rsidRPr="294F0AC8">
        <w:rPr>
          <w:rFonts w:eastAsia="Verdana" w:cs="Verdana"/>
          <w:color w:val="000000" w:themeColor="text1"/>
        </w:rPr>
        <w:t>Introduce a Jobs and Training Guarantee for people unemployed long-term.</w:t>
      </w:r>
    </w:p>
    <w:p w14:paraId="48600395" w14:textId="2CF39206" w:rsidR="294F0AC8" w:rsidRDefault="294F0AC8" w:rsidP="00DD3DC0">
      <w:pPr>
        <w:pStyle w:val="Recommendation"/>
        <w:numPr>
          <w:ilvl w:val="0"/>
          <w:numId w:val="43"/>
        </w:numPr>
        <w:spacing w:after="240"/>
        <w:rPr>
          <w:rFonts w:asciiTheme="minorHAnsi" w:eastAsiaTheme="minorEastAsia" w:hAnsiTheme="minorHAnsi"/>
          <w:bCs/>
          <w:color w:val="000000" w:themeColor="text1"/>
          <w:szCs w:val="20"/>
        </w:rPr>
      </w:pPr>
      <w:r w:rsidRPr="294F0AC8">
        <w:rPr>
          <w:rFonts w:eastAsia="Verdana" w:cs="Verdana"/>
          <w:color w:val="auto"/>
        </w:rPr>
        <w:t>A flexible jobs and training guarantee should be offered to young people who are on unemployment payments for over 12 months and others on those payments for over 24 months.</w:t>
      </w:r>
    </w:p>
    <w:p w14:paraId="043D62A8" w14:textId="0B08BE0C" w:rsidR="280C9BAE" w:rsidRDefault="294F0AC8" w:rsidP="00DD3DC0">
      <w:pPr>
        <w:pStyle w:val="Recommendation"/>
        <w:numPr>
          <w:ilvl w:val="0"/>
          <w:numId w:val="43"/>
        </w:numPr>
        <w:rPr>
          <w:rFonts w:asciiTheme="minorHAnsi" w:eastAsiaTheme="minorEastAsia" w:hAnsiTheme="minorHAnsi"/>
          <w:bCs/>
          <w:color w:val="000000" w:themeColor="text1"/>
          <w:szCs w:val="20"/>
        </w:rPr>
      </w:pPr>
      <w:r w:rsidRPr="294F0AC8">
        <w:rPr>
          <w:rFonts w:eastAsia="Verdana" w:cs="Verdana"/>
          <w:color w:val="auto"/>
        </w:rPr>
        <w:t xml:space="preserve">The guarantee would comprise </w:t>
      </w:r>
      <w:proofErr w:type="spellStart"/>
      <w:r w:rsidRPr="294F0AC8">
        <w:rPr>
          <w:rFonts w:eastAsia="Verdana" w:cs="Verdana"/>
          <w:color w:val="auto"/>
        </w:rPr>
        <w:t>subsidised</w:t>
      </w:r>
      <w:proofErr w:type="spellEnd"/>
      <w:r w:rsidRPr="294F0AC8">
        <w:rPr>
          <w:rFonts w:eastAsia="Verdana" w:cs="Verdana"/>
          <w:color w:val="auto"/>
        </w:rPr>
        <w:t xml:space="preserve"> paid work-experience, and/or vocational and foundational education and training and/or other assistance to connect them directly to a suitable job, which is offered in each year of long-term unemployment. It would:</w:t>
      </w:r>
    </w:p>
    <w:p w14:paraId="4287D1F8" w14:textId="6D56322D" w:rsidR="280C9BAE" w:rsidRDefault="00FF0D41" w:rsidP="00DD3DC0">
      <w:pPr>
        <w:pStyle w:val="Recommendation"/>
        <w:numPr>
          <w:ilvl w:val="1"/>
          <w:numId w:val="17"/>
        </w:numPr>
        <w:rPr>
          <w:rFonts w:asciiTheme="minorHAnsi" w:eastAsiaTheme="minorEastAsia" w:hAnsiTheme="minorHAnsi"/>
          <w:bCs/>
          <w:color w:val="000000" w:themeColor="text1"/>
          <w:szCs w:val="20"/>
        </w:rPr>
      </w:pPr>
      <w:r>
        <w:rPr>
          <w:rFonts w:eastAsia="Verdana" w:cs="Verdana"/>
          <w:bCs/>
          <w:color w:val="auto"/>
          <w:szCs w:val="20"/>
        </w:rPr>
        <w:t>b</w:t>
      </w:r>
      <w:r w:rsidR="280C9BAE" w:rsidRPr="280C9BAE">
        <w:rPr>
          <w:rFonts w:eastAsia="Verdana" w:cs="Verdana"/>
          <w:bCs/>
          <w:color w:val="auto"/>
          <w:szCs w:val="20"/>
        </w:rPr>
        <w:t xml:space="preserve">e negotiated between program participants and skilled employment consultants who have the time and resources to properly assess their needs and assemble a suitable package of </w:t>
      </w:r>
      <w:proofErr w:type="gramStart"/>
      <w:r w:rsidR="280C9BAE" w:rsidRPr="280C9BAE">
        <w:rPr>
          <w:rFonts w:eastAsia="Verdana" w:cs="Verdana"/>
          <w:bCs/>
          <w:color w:val="auto"/>
          <w:szCs w:val="20"/>
        </w:rPr>
        <w:t>support;</w:t>
      </w:r>
      <w:proofErr w:type="gramEnd"/>
    </w:p>
    <w:p w14:paraId="76903D9B" w14:textId="284D2414" w:rsidR="280C9BAE" w:rsidRDefault="00FF0D41" w:rsidP="00DD3DC0">
      <w:pPr>
        <w:pStyle w:val="Recommendation"/>
        <w:numPr>
          <w:ilvl w:val="1"/>
          <w:numId w:val="17"/>
        </w:numPr>
        <w:rPr>
          <w:rFonts w:asciiTheme="minorHAnsi" w:eastAsiaTheme="minorEastAsia" w:hAnsiTheme="minorHAnsi"/>
          <w:bCs/>
          <w:color w:val="000000" w:themeColor="text1"/>
          <w:szCs w:val="20"/>
        </w:rPr>
      </w:pPr>
      <w:r>
        <w:rPr>
          <w:rFonts w:eastAsia="Verdana" w:cs="Verdana"/>
          <w:bCs/>
          <w:color w:val="auto"/>
          <w:szCs w:val="20"/>
        </w:rPr>
        <w:t>b</w:t>
      </w:r>
      <w:r w:rsidR="280C9BAE" w:rsidRPr="280C9BAE">
        <w:rPr>
          <w:rFonts w:eastAsia="Verdana" w:cs="Verdana"/>
          <w:bCs/>
          <w:color w:val="auto"/>
          <w:szCs w:val="20"/>
        </w:rPr>
        <w:t xml:space="preserve">e backed by local planning mechanisms under an enhanced Local Jobs Program that connects the right people with the right jobs and training </w:t>
      </w:r>
      <w:proofErr w:type="gramStart"/>
      <w:r w:rsidR="280C9BAE" w:rsidRPr="280C9BAE">
        <w:rPr>
          <w:rFonts w:eastAsia="Verdana" w:cs="Verdana"/>
          <w:bCs/>
          <w:color w:val="auto"/>
          <w:szCs w:val="20"/>
        </w:rPr>
        <w:t>places;</w:t>
      </w:r>
      <w:proofErr w:type="gramEnd"/>
    </w:p>
    <w:p w14:paraId="25E19AE3" w14:textId="3BF7AFF5" w:rsidR="280C9BAE" w:rsidRDefault="00FF0D41" w:rsidP="00DD3DC0">
      <w:pPr>
        <w:pStyle w:val="Recommendation"/>
        <w:numPr>
          <w:ilvl w:val="1"/>
          <w:numId w:val="17"/>
        </w:numPr>
        <w:spacing w:after="240"/>
        <w:rPr>
          <w:rFonts w:asciiTheme="minorHAnsi" w:eastAsiaTheme="minorEastAsia" w:hAnsiTheme="minorHAnsi"/>
          <w:color w:val="000000" w:themeColor="text1"/>
        </w:rPr>
      </w:pPr>
      <w:r>
        <w:rPr>
          <w:rFonts w:eastAsia="Verdana" w:cs="Verdana"/>
          <w:color w:val="auto"/>
        </w:rPr>
        <w:t>i</w:t>
      </w:r>
      <w:r w:rsidR="294F0AC8" w:rsidRPr="294F0AC8">
        <w:rPr>
          <w:rFonts w:eastAsia="Verdana" w:cs="Verdana"/>
          <w:color w:val="auto"/>
        </w:rPr>
        <w:t>nclude access to jobs generated through public procurement (by setting targets for employment of people unemployed long term in public tenders).</w:t>
      </w:r>
    </w:p>
    <w:p w14:paraId="67E5CC80" w14:textId="13124A51" w:rsidR="280C9BAE" w:rsidRDefault="294F0AC8" w:rsidP="00DD3DC0">
      <w:pPr>
        <w:pStyle w:val="Recommendation"/>
        <w:numPr>
          <w:ilvl w:val="0"/>
          <w:numId w:val="43"/>
        </w:numPr>
        <w:rPr>
          <w:rFonts w:asciiTheme="minorHAnsi" w:eastAsiaTheme="minorEastAsia" w:hAnsiTheme="minorHAnsi"/>
          <w:bCs/>
          <w:color w:val="000000" w:themeColor="text1"/>
          <w:szCs w:val="20"/>
        </w:rPr>
      </w:pPr>
      <w:r w:rsidRPr="294F0AC8">
        <w:rPr>
          <w:rFonts w:eastAsia="Verdana" w:cs="Verdana"/>
          <w:color w:val="auto"/>
        </w:rPr>
        <w:t xml:space="preserve">To implement the guarantee, the following programs would be expanded, </w:t>
      </w:r>
      <w:proofErr w:type="gramStart"/>
      <w:r w:rsidRPr="294F0AC8">
        <w:rPr>
          <w:rFonts w:eastAsia="Verdana" w:cs="Verdana"/>
          <w:color w:val="auto"/>
        </w:rPr>
        <w:t>improved</w:t>
      </w:r>
      <w:proofErr w:type="gramEnd"/>
      <w:r w:rsidRPr="294F0AC8">
        <w:rPr>
          <w:rFonts w:eastAsia="Verdana" w:cs="Verdana"/>
          <w:color w:val="auto"/>
        </w:rPr>
        <w:t xml:space="preserve"> and consolidated:</w:t>
      </w:r>
    </w:p>
    <w:p w14:paraId="7E2FD2D9" w14:textId="52DCC91D" w:rsidR="280C9BAE" w:rsidRDefault="294F0AC8" w:rsidP="00DD3DC0">
      <w:pPr>
        <w:pStyle w:val="Recommendation"/>
        <w:numPr>
          <w:ilvl w:val="1"/>
          <w:numId w:val="16"/>
        </w:numPr>
        <w:rPr>
          <w:rFonts w:asciiTheme="minorHAnsi" w:eastAsiaTheme="minorEastAsia" w:hAnsiTheme="minorHAnsi"/>
          <w:color w:val="000000" w:themeColor="text1"/>
        </w:rPr>
      </w:pPr>
      <w:r w:rsidRPr="294F0AC8">
        <w:rPr>
          <w:rFonts w:eastAsia="Verdana" w:cs="Verdana"/>
          <w:color w:val="auto"/>
        </w:rPr>
        <w:t xml:space="preserve">Wage subsidies with private employers and community services for </w:t>
      </w:r>
      <w:proofErr w:type="gramStart"/>
      <w:r w:rsidRPr="294F0AC8">
        <w:rPr>
          <w:rFonts w:eastAsia="Verdana" w:cs="Verdana"/>
          <w:color w:val="auto"/>
        </w:rPr>
        <w:t>3-6 month</w:t>
      </w:r>
      <w:proofErr w:type="gramEnd"/>
      <w:r w:rsidRPr="294F0AC8">
        <w:rPr>
          <w:rFonts w:eastAsia="Verdana" w:cs="Verdana"/>
          <w:color w:val="auto"/>
        </w:rPr>
        <w:t xml:space="preserve"> placements in regular employment, replacing the Employability Skills Training, Work for the Dole and the Youth Jobs </w:t>
      </w:r>
      <w:proofErr w:type="spellStart"/>
      <w:r w:rsidRPr="294F0AC8">
        <w:rPr>
          <w:rFonts w:eastAsia="Verdana" w:cs="Verdana"/>
          <w:color w:val="auto"/>
        </w:rPr>
        <w:t>PaTH</w:t>
      </w:r>
      <w:proofErr w:type="spellEnd"/>
      <w:r w:rsidRPr="294F0AC8">
        <w:rPr>
          <w:rFonts w:eastAsia="Verdana" w:cs="Verdana"/>
          <w:color w:val="auto"/>
        </w:rPr>
        <w:t xml:space="preserve"> programs;</w:t>
      </w:r>
    </w:p>
    <w:p w14:paraId="56AB8003" w14:textId="093388E5" w:rsidR="280C9BAE" w:rsidRDefault="280C9BAE" w:rsidP="00DD3DC0">
      <w:pPr>
        <w:pStyle w:val="Recommendation"/>
        <w:numPr>
          <w:ilvl w:val="1"/>
          <w:numId w:val="16"/>
        </w:numPr>
        <w:rPr>
          <w:rFonts w:asciiTheme="minorHAnsi" w:eastAsiaTheme="minorEastAsia" w:hAnsiTheme="minorHAnsi"/>
          <w:bCs/>
          <w:color w:val="000000" w:themeColor="text1"/>
          <w:szCs w:val="20"/>
        </w:rPr>
      </w:pPr>
      <w:r w:rsidRPr="280C9BAE">
        <w:rPr>
          <w:rFonts w:eastAsia="Verdana" w:cs="Verdana"/>
          <w:bCs/>
          <w:color w:val="auto"/>
          <w:szCs w:val="20"/>
        </w:rPr>
        <w:t xml:space="preserve">Free vocational training and further education under the </w:t>
      </w:r>
      <w:proofErr w:type="spellStart"/>
      <w:r w:rsidRPr="280C9BAE">
        <w:rPr>
          <w:rFonts w:eastAsia="Verdana" w:cs="Verdana"/>
          <w:bCs/>
          <w:color w:val="auto"/>
          <w:szCs w:val="20"/>
        </w:rPr>
        <w:t>Jobtrainer</w:t>
      </w:r>
      <w:proofErr w:type="spellEnd"/>
      <w:r w:rsidRPr="280C9BAE">
        <w:rPr>
          <w:rFonts w:eastAsia="Verdana" w:cs="Verdana"/>
          <w:bCs/>
          <w:color w:val="auto"/>
          <w:szCs w:val="20"/>
        </w:rPr>
        <w:t xml:space="preserve"> and Skills for Education and Employment schemes; and</w:t>
      </w:r>
    </w:p>
    <w:p w14:paraId="7262DBAB" w14:textId="2CA39D8B" w:rsidR="280C9BAE" w:rsidRDefault="280C9BAE" w:rsidP="00DD3DC0">
      <w:pPr>
        <w:pStyle w:val="Recommendation"/>
        <w:numPr>
          <w:ilvl w:val="1"/>
          <w:numId w:val="16"/>
        </w:numPr>
        <w:rPr>
          <w:rFonts w:asciiTheme="minorHAnsi" w:eastAsiaTheme="minorEastAsia" w:hAnsiTheme="minorHAnsi"/>
          <w:color w:val="000000" w:themeColor="text1"/>
        </w:rPr>
      </w:pPr>
      <w:r w:rsidRPr="2602F1D6">
        <w:rPr>
          <w:rFonts w:eastAsia="Verdana" w:cs="Verdana"/>
          <w:color w:val="auto"/>
        </w:rPr>
        <w:t>Annual credits to the Employment Fund in respect of people who fall within the above target groups.</w:t>
      </w:r>
      <w:r w:rsidR="00CD4F69">
        <w:rPr>
          <w:rFonts w:eastAsia="Verdana" w:cs="Verdana"/>
          <w:color w:val="auto"/>
        </w:rPr>
        <w:br/>
      </w:r>
    </w:p>
    <w:p w14:paraId="01B3AC0B" w14:textId="049F5013" w:rsidR="294F0AC8" w:rsidRDefault="294F0AC8" w:rsidP="294F0AC8">
      <w:pPr>
        <w:pStyle w:val="ListNumber"/>
        <w:numPr>
          <w:ilvl w:val="0"/>
          <w:numId w:val="0"/>
        </w:numPr>
        <w:rPr>
          <w:rFonts w:eastAsia="Verdana" w:cs="Verdana"/>
        </w:rPr>
      </w:pPr>
      <w:r w:rsidRPr="294F0AC8">
        <w:rPr>
          <w:rFonts w:eastAsiaTheme="minorEastAsia"/>
          <w:b/>
          <w:bCs/>
          <w:color w:val="CE2028"/>
        </w:rPr>
        <w:t>Budget impact:</w:t>
      </w:r>
      <w:r w:rsidRPr="294F0AC8">
        <w:rPr>
          <w:b/>
          <w:bCs/>
        </w:rPr>
        <w:t xml:space="preserve"> -</w:t>
      </w:r>
      <w:r w:rsidRPr="294F0AC8">
        <w:rPr>
          <w:b/>
          <w:bCs/>
          <w:i/>
          <w:iCs/>
        </w:rPr>
        <w:t>$500 million in 2022-23 (-$1,000 million in 2023-24)</w:t>
      </w:r>
      <w:r w:rsidRPr="294F0AC8">
        <w:rPr>
          <w:rFonts w:eastAsia="Verdana" w:cs="Verdana"/>
          <w:b/>
          <w:bCs/>
          <w:color w:val="C00000"/>
        </w:rPr>
        <w:t xml:space="preserve"> </w:t>
      </w:r>
    </w:p>
    <w:p w14:paraId="386930A5" w14:textId="1BDFA428" w:rsidR="280C9BAE" w:rsidRDefault="280C9BAE" w:rsidP="001D1B51">
      <w:pPr>
        <w:pStyle w:val="Heading2"/>
      </w:pPr>
    </w:p>
    <w:p w14:paraId="6DA95105" w14:textId="13961964" w:rsidR="00CD4F69" w:rsidRDefault="00CD4F69" w:rsidP="00CD4F69"/>
    <w:p w14:paraId="0058CC73" w14:textId="5FDC06B1" w:rsidR="00CD4F69" w:rsidRDefault="00CD4F69" w:rsidP="00CD4F69"/>
    <w:p w14:paraId="16F993D6" w14:textId="77777777" w:rsidR="00CD4F69" w:rsidRPr="00CD4F69" w:rsidRDefault="00CD4F69" w:rsidP="00CD4F69"/>
    <w:p w14:paraId="78BFA308" w14:textId="2B296120" w:rsidR="280C9BAE" w:rsidRDefault="294F0AC8" w:rsidP="001D1B51">
      <w:pPr>
        <w:pStyle w:val="Heading2"/>
      </w:pPr>
      <w:bookmarkStart w:id="289" w:name="_Toc33466414"/>
      <w:bookmarkStart w:id="290" w:name="_Toc680434034"/>
      <w:bookmarkStart w:id="291" w:name="_Toc1059618862"/>
      <w:bookmarkStart w:id="292" w:name="_Toc1280713938"/>
      <w:bookmarkStart w:id="293" w:name="_Toc381868365"/>
      <w:bookmarkStart w:id="294" w:name="_Toc1549648692"/>
      <w:bookmarkStart w:id="295" w:name="_Toc608205256"/>
      <w:bookmarkStart w:id="296" w:name="_Toc1854679926"/>
      <w:bookmarkStart w:id="297" w:name="_Toc2035333220"/>
      <w:bookmarkStart w:id="298" w:name="_Toc683908758"/>
      <w:bookmarkStart w:id="299" w:name="_Toc1857582322"/>
      <w:bookmarkStart w:id="300" w:name="_Toc90983354"/>
      <w:bookmarkStart w:id="301" w:name="_Toc90984617"/>
      <w:r w:rsidRPr="294F0AC8">
        <w:t>Infrastructure to plan for Jobs and Training Guarantees in local communities</w:t>
      </w:r>
      <w:bookmarkEnd w:id="289"/>
      <w:bookmarkEnd w:id="290"/>
      <w:bookmarkEnd w:id="291"/>
      <w:bookmarkEnd w:id="292"/>
      <w:bookmarkEnd w:id="293"/>
      <w:bookmarkEnd w:id="294"/>
      <w:bookmarkEnd w:id="295"/>
      <w:bookmarkEnd w:id="296"/>
      <w:bookmarkEnd w:id="297"/>
      <w:bookmarkEnd w:id="298"/>
      <w:bookmarkEnd w:id="299"/>
      <w:bookmarkEnd w:id="300"/>
      <w:bookmarkEnd w:id="301"/>
    </w:p>
    <w:p w14:paraId="29B06E80" w14:textId="77777777" w:rsidR="00CD4F69" w:rsidRDefault="00CD4F69" w:rsidP="294F0AC8">
      <w:pPr>
        <w:rPr>
          <w:rFonts w:eastAsia="Verdana" w:cs="Verdana"/>
        </w:rPr>
      </w:pPr>
    </w:p>
    <w:p w14:paraId="52CBF1B3" w14:textId="6490FFC1" w:rsidR="280C9BAE" w:rsidRDefault="294F0AC8" w:rsidP="294F0AC8">
      <w:pPr>
        <w:rPr>
          <w:rFonts w:eastAsia="Verdana" w:cs="Verdana"/>
        </w:rPr>
      </w:pPr>
      <w:r w:rsidRPr="294F0AC8">
        <w:rPr>
          <w:rFonts w:eastAsia="Verdana" w:cs="Verdana"/>
        </w:rPr>
        <w:t xml:space="preserve">The expansion of the Employment Facilitators and the Local Jobs Program to the 52 employment regions in the 2021 Budget was a positive step towards building the required local partnerships to generate jobs and improve the prospects of those unemployed long-term in the </w:t>
      </w:r>
      <w:proofErr w:type="spellStart"/>
      <w:r w:rsidRPr="294F0AC8">
        <w:rPr>
          <w:rFonts w:eastAsia="Verdana" w:cs="Verdana"/>
        </w:rPr>
        <w:t>labour</w:t>
      </w:r>
      <w:proofErr w:type="spellEnd"/>
      <w:r w:rsidRPr="294F0AC8">
        <w:rPr>
          <w:rFonts w:eastAsia="Verdana" w:cs="Verdana"/>
        </w:rPr>
        <w:t xml:space="preserve"> market. However, ACOSS has previously argued that partnerships led by government rather than local communities and services are unlikely to work effectively.</w:t>
      </w:r>
      <w:r w:rsidRPr="294F0AC8">
        <w:rPr>
          <w:rFonts w:eastAsia="Verdana" w:cs="Verdana"/>
          <w:vertAlign w:val="superscript"/>
        </w:rPr>
        <w:t>9</w:t>
      </w:r>
      <w:r w:rsidRPr="294F0AC8">
        <w:rPr>
          <w:rFonts w:eastAsia="Verdana" w:cs="Verdana"/>
        </w:rPr>
        <w:t xml:space="preserve"> We believe that local collaboration should be deepened because the Facilitators and Task Forces alone are insufficient to establish enduring community-driven workforce planning systems.</w:t>
      </w:r>
      <w:r w:rsidRPr="294F0AC8">
        <w:rPr>
          <w:rFonts w:eastAsia="Verdana" w:cs="Verdana"/>
          <w:vertAlign w:val="superscript"/>
        </w:rPr>
        <w:t>10</w:t>
      </w:r>
    </w:p>
    <w:p w14:paraId="4E085013" w14:textId="126CF1CB" w:rsidR="280C9BAE" w:rsidRDefault="294F0AC8" w:rsidP="294F0AC8">
      <w:pPr>
        <w:rPr>
          <w:rFonts w:eastAsia="Verdana" w:cs="Verdana"/>
        </w:rPr>
      </w:pPr>
      <w:r w:rsidRPr="294F0AC8">
        <w:rPr>
          <w:rFonts w:eastAsia="Verdana" w:cs="Verdana"/>
        </w:rPr>
        <w:t xml:space="preserve">Planning must be undertaken at a community level to adjust existing employment programs and the proposed Jobs and Training Guarantee to local needs. For example, a community-driven Jobs and Training Guarantee could include jobs in a range of roles related to building climate resilience, retrofitting low-income housing, building social housing, care services and services to support the community during disasters and recovery. To really stimulate demand for Jobs and Training guarantee places it may be necessary to implement targets in communities by engaging employers in commitments to these schemes through local Chambers of Commerce and Farming Associations, and engaging TAFE and community colleges in local plans to reduce long-term unemployment. </w:t>
      </w:r>
    </w:p>
    <w:p w14:paraId="7884A600" w14:textId="77777777" w:rsidR="00CD4F69" w:rsidRDefault="00CD4F69" w:rsidP="294F0AC8">
      <w:pPr>
        <w:rPr>
          <w:rFonts w:eastAsia="Verdana" w:cs="Verdana"/>
        </w:rPr>
      </w:pPr>
    </w:p>
    <w:p w14:paraId="1D316040" w14:textId="20C064D2" w:rsidR="280C9BAE" w:rsidRDefault="294F0AC8" w:rsidP="294F0AC8">
      <w:pPr>
        <w:pStyle w:val="Recommendation"/>
        <w:spacing w:after="240"/>
        <w:rPr>
          <w:rFonts w:eastAsia="Verdana" w:cs="Verdana"/>
          <w:color w:val="000000" w:themeColor="text1"/>
        </w:rPr>
      </w:pPr>
      <w:r w:rsidRPr="294F0AC8">
        <w:rPr>
          <w:rFonts w:eastAsia="Verdana" w:cs="Verdana"/>
          <w:color w:val="C00000"/>
        </w:rPr>
        <w:t>Recommendation 10:</w:t>
      </w:r>
      <w:r w:rsidRPr="294F0AC8">
        <w:rPr>
          <w:rFonts w:eastAsia="Verdana" w:cs="Verdana"/>
        </w:rPr>
        <w:t xml:space="preserve"> </w:t>
      </w:r>
      <w:r w:rsidRPr="294F0AC8">
        <w:rPr>
          <w:rFonts w:eastAsia="Verdana" w:cs="Verdana"/>
          <w:color w:val="000000" w:themeColor="text1"/>
        </w:rPr>
        <w:t>Strengthen partnerships to undertake community-driven jobs planning linked to broader economic regeneration plans by:</w:t>
      </w:r>
    </w:p>
    <w:p w14:paraId="5BADD9D9" w14:textId="6F8FECFE" w:rsidR="280C9BAE" w:rsidRDefault="00E04A0A" w:rsidP="00DD3DC0">
      <w:pPr>
        <w:pStyle w:val="ListNumber"/>
        <w:numPr>
          <w:ilvl w:val="0"/>
          <w:numId w:val="38"/>
        </w:numPr>
        <w:rPr>
          <w:rFonts w:asciiTheme="minorHAnsi" w:eastAsiaTheme="minorEastAsia" w:hAnsiTheme="minorHAnsi"/>
          <w:b/>
          <w:bCs/>
          <w:szCs w:val="20"/>
        </w:rPr>
      </w:pPr>
      <w:r>
        <w:rPr>
          <w:rFonts w:eastAsia="Verdana" w:cs="Verdana"/>
          <w:b/>
          <w:bCs/>
          <w:color w:val="auto"/>
        </w:rPr>
        <w:t>b</w:t>
      </w:r>
      <w:r w:rsidR="294F0AC8" w:rsidRPr="294F0AC8">
        <w:rPr>
          <w:rFonts w:eastAsia="Verdana" w:cs="Verdana"/>
          <w:b/>
          <w:bCs/>
          <w:color w:val="auto"/>
        </w:rPr>
        <w:t xml:space="preserve">roadening the membership of Local Jobs and Skills Taskforces to include agencies with local workforce planning knowledge and appointing independent chairs drawn from the </w:t>
      </w:r>
      <w:proofErr w:type="gramStart"/>
      <w:r w:rsidR="294F0AC8" w:rsidRPr="294F0AC8">
        <w:rPr>
          <w:rFonts w:eastAsia="Verdana" w:cs="Verdana"/>
          <w:b/>
          <w:bCs/>
          <w:color w:val="auto"/>
        </w:rPr>
        <w:t>community;</w:t>
      </w:r>
      <w:proofErr w:type="gramEnd"/>
    </w:p>
    <w:p w14:paraId="2F770D5F" w14:textId="7ED7EF99" w:rsidR="280C9BAE" w:rsidRDefault="00E04A0A" w:rsidP="00DD3DC0">
      <w:pPr>
        <w:pStyle w:val="Recommendation"/>
        <w:numPr>
          <w:ilvl w:val="0"/>
          <w:numId w:val="38"/>
        </w:numPr>
        <w:rPr>
          <w:rFonts w:asciiTheme="minorHAnsi" w:eastAsiaTheme="minorEastAsia" w:hAnsiTheme="minorHAnsi"/>
          <w:bCs/>
          <w:color w:val="000000" w:themeColor="text1"/>
          <w:szCs w:val="20"/>
        </w:rPr>
      </w:pPr>
      <w:r>
        <w:rPr>
          <w:rFonts w:eastAsia="Verdana" w:cs="Verdana"/>
          <w:color w:val="auto"/>
        </w:rPr>
        <w:t>e</w:t>
      </w:r>
      <w:r w:rsidR="294F0AC8" w:rsidRPr="294F0AC8">
        <w:rPr>
          <w:rFonts w:eastAsia="Verdana" w:cs="Verdana"/>
          <w:color w:val="auto"/>
        </w:rPr>
        <w:t>xtending the Facilitator role so that jobs strategies for regions are developed in partnership with existing economic generation plans and local workforce planning initiatives;</w:t>
      </w:r>
      <w:r w:rsidR="280C9BAE">
        <w:br/>
      </w:r>
    </w:p>
    <w:p w14:paraId="5FDBB074" w14:textId="1F3E7DF6" w:rsidR="280C9BAE" w:rsidRDefault="00E04A0A" w:rsidP="00DD3DC0">
      <w:pPr>
        <w:pStyle w:val="Recommendation"/>
        <w:numPr>
          <w:ilvl w:val="0"/>
          <w:numId w:val="38"/>
        </w:numPr>
        <w:rPr>
          <w:rFonts w:asciiTheme="minorHAnsi" w:eastAsiaTheme="minorEastAsia" w:hAnsiTheme="minorHAnsi"/>
          <w:bCs/>
          <w:color w:val="000000" w:themeColor="text1"/>
          <w:szCs w:val="20"/>
        </w:rPr>
      </w:pPr>
      <w:r>
        <w:rPr>
          <w:rFonts w:eastAsia="Verdana" w:cs="Verdana"/>
          <w:color w:val="auto"/>
        </w:rPr>
        <w:t>e</w:t>
      </w:r>
      <w:r w:rsidR="294F0AC8" w:rsidRPr="294F0AC8">
        <w:rPr>
          <w:rFonts w:eastAsia="Verdana" w:cs="Verdana"/>
          <w:color w:val="auto"/>
        </w:rPr>
        <w:t>stablishing a national body to connect Local Taskforces with national policies and priorities and share best practice;</w:t>
      </w:r>
      <w:r w:rsidR="280C9BAE">
        <w:br/>
      </w:r>
    </w:p>
    <w:p w14:paraId="2E692B8A" w14:textId="45A27CBC" w:rsidR="280C9BAE" w:rsidRDefault="00E04A0A" w:rsidP="00DD3DC0">
      <w:pPr>
        <w:pStyle w:val="Recommendation"/>
        <w:numPr>
          <w:ilvl w:val="0"/>
          <w:numId w:val="38"/>
        </w:numPr>
        <w:rPr>
          <w:rFonts w:asciiTheme="minorHAnsi" w:eastAsiaTheme="minorEastAsia" w:hAnsiTheme="minorHAnsi"/>
          <w:bCs/>
          <w:color w:val="000000" w:themeColor="text1"/>
          <w:szCs w:val="20"/>
        </w:rPr>
      </w:pPr>
      <w:r>
        <w:rPr>
          <w:rFonts w:eastAsia="Verdana" w:cs="Verdana"/>
          <w:color w:val="auto"/>
        </w:rPr>
        <w:t>e</w:t>
      </w:r>
      <w:r w:rsidR="294F0AC8" w:rsidRPr="294F0AC8">
        <w:rPr>
          <w:rFonts w:eastAsia="Verdana" w:cs="Verdana"/>
          <w:color w:val="auto"/>
        </w:rPr>
        <w:t>stablishing Jobs and Training Guarantee place targets for each community;</w:t>
      </w:r>
      <w:r w:rsidR="280C9BAE">
        <w:br/>
      </w:r>
    </w:p>
    <w:p w14:paraId="2169A286" w14:textId="36053A00" w:rsidR="280C9BAE" w:rsidRDefault="00E04A0A" w:rsidP="00DD3DC0">
      <w:pPr>
        <w:pStyle w:val="Recommendation"/>
        <w:numPr>
          <w:ilvl w:val="0"/>
          <w:numId w:val="38"/>
        </w:numPr>
        <w:rPr>
          <w:rFonts w:asciiTheme="minorHAnsi" w:eastAsiaTheme="minorEastAsia" w:hAnsiTheme="minorHAnsi"/>
          <w:bCs/>
          <w:color w:val="000000" w:themeColor="text1"/>
          <w:szCs w:val="20"/>
        </w:rPr>
      </w:pPr>
      <w:r>
        <w:rPr>
          <w:rFonts w:eastAsia="Verdana" w:cs="Verdana"/>
          <w:color w:val="auto"/>
        </w:rPr>
        <w:t>a</w:t>
      </w:r>
      <w:r w:rsidR="294F0AC8" w:rsidRPr="294F0AC8">
        <w:rPr>
          <w:rFonts w:eastAsia="Verdana" w:cs="Verdana"/>
          <w:color w:val="auto"/>
        </w:rPr>
        <w:t>ligning social procurement strategies with the allocation of Jobs and Training Guarantee places.</w:t>
      </w:r>
    </w:p>
    <w:p w14:paraId="7AF6D8D3" w14:textId="7468772C" w:rsidR="280C9BAE" w:rsidRDefault="280C9BAE" w:rsidP="280C9BAE">
      <w:pPr>
        <w:pStyle w:val="ListNumber"/>
        <w:numPr>
          <w:ilvl w:val="0"/>
          <w:numId w:val="0"/>
        </w:numPr>
        <w:rPr>
          <w:rFonts w:eastAsia="Calibri" w:cs="Arial"/>
          <w:color w:val="auto"/>
          <w:szCs w:val="20"/>
        </w:rPr>
      </w:pPr>
    </w:p>
    <w:p w14:paraId="12870D4C" w14:textId="3D965194" w:rsidR="280C9BAE" w:rsidRDefault="280C9BAE" w:rsidP="280C9BAE">
      <w:pPr>
        <w:pStyle w:val="ListNumber"/>
        <w:numPr>
          <w:ilvl w:val="0"/>
          <w:numId w:val="0"/>
        </w:numPr>
        <w:rPr>
          <w:rFonts w:eastAsia="Calibri" w:cs="Arial"/>
          <w:szCs w:val="20"/>
        </w:rPr>
      </w:pPr>
    </w:p>
    <w:p w14:paraId="730E2CCF" w14:textId="018EDF08" w:rsidR="2602F1D6" w:rsidRPr="00E04A0A" w:rsidRDefault="294F0AC8" w:rsidP="00E04A0A">
      <w:pPr>
        <w:pStyle w:val="ListNumber"/>
        <w:numPr>
          <w:ilvl w:val="0"/>
          <w:numId w:val="0"/>
        </w:numPr>
        <w:rPr>
          <w:rFonts w:eastAsia="Verdana" w:cs="Verdana"/>
        </w:rPr>
      </w:pPr>
      <w:r w:rsidRPr="294F0AC8">
        <w:rPr>
          <w:rFonts w:eastAsia="Verdana" w:cs="Verdana"/>
          <w:b/>
          <w:bCs/>
          <w:color w:val="C00000"/>
        </w:rPr>
        <w:t>Budget impact:</w:t>
      </w:r>
      <w:r w:rsidRPr="294F0AC8">
        <w:rPr>
          <w:rFonts w:eastAsia="Verdana" w:cs="Verdana"/>
          <w:i/>
          <w:iCs/>
          <w:color w:val="CE2028"/>
        </w:rPr>
        <w:t xml:space="preserve"> </w:t>
      </w:r>
      <w:r w:rsidRPr="294F0AC8">
        <w:rPr>
          <w:rFonts w:eastAsia="Verdana" w:cs="Verdana"/>
          <w:b/>
          <w:bCs/>
          <w:i/>
          <w:iCs/>
        </w:rPr>
        <w:t xml:space="preserve">-$1m 2022-23 (-$3m 2023-24) </w:t>
      </w:r>
      <w:r w:rsidR="2602F1D6">
        <w:br w:type="page"/>
      </w:r>
    </w:p>
    <w:p w14:paraId="509F367C" w14:textId="437C5958" w:rsidR="280C9BAE" w:rsidRDefault="294F0AC8" w:rsidP="001D1B51">
      <w:pPr>
        <w:pStyle w:val="Heading2"/>
      </w:pPr>
      <w:bookmarkStart w:id="302" w:name="_Toc1237817813"/>
      <w:bookmarkStart w:id="303" w:name="_Toc61422481"/>
      <w:bookmarkStart w:id="304" w:name="_Toc395769117"/>
      <w:bookmarkStart w:id="305" w:name="_Toc617509155"/>
      <w:bookmarkStart w:id="306" w:name="_Toc1932927202"/>
      <w:bookmarkStart w:id="307" w:name="_Toc2132525054"/>
      <w:bookmarkStart w:id="308" w:name="_Toc1776720921"/>
      <w:bookmarkStart w:id="309" w:name="_Toc134487930"/>
      <w:bookmarkStart w:id="310" w:name="_Toc1852666462"/>
      <w:bookmarkStart w:id="311" w:name="_Toc363227434"/>
      <w:bookmarkStart w:id="312" w:name="_Toc2020567124"/>
      <w:bookmarkStart w:id="313" w:name="_Toc90983355"/>
      <w:bookmarkStart w:id="314" w:name="_Toc90984618"/>
      <w:r w:rsidRPr="294F0AC8">
        <w:lastRenderedPageBreak/>
        <w:t>Put the 'service’ back in employment services</w:t>
      </w:r>
      <w:bookmarkEnd w:id="302"/>
      <w:bookmarkEnd w:id="303"/>
      <w:bookmarkEnd w:id="304"/>
      <w:bookmarkEnd w:id="305"/>
      <w:bookmarkEnd w:id="306"/>
      <w:bookmarkEnd w:id="307"/>
      <w:bookmarkEnd w:id="308"/>
      <w:bookmarkEnd w:id="309"/>
      <w:bookmarkEnd w:id="310"/>
      <w:bookmarkEnd w:id="311"/>
      <w:bookmarkEnd w:id="312"/>
      <w:bookmarkEnd w:id="313"/>
      <w:bookmarkEnd w:id="314"/>
    </w:p>
    <w:p w14:paraId="4139B45C" w14:textId="77777777" w:rsidR="00CD4F69" w:rsidRDefault="00CD4F69" w:rsidP="280C9BAE">
      <w:pPr>
        <w:rPr>
          <w:rFonts w:eastAsia="Verdana" w:cs="Verdana"/>
        </w:rPr>
      </w:pPr>
    </w:p>
    <w:p w14:paraId="51871D42" w14:textId="6606B03C" w:rsidR="280C9BAE" w:rsidRDefault="280C9BAE" w:rsidP="280C9BAE">
      <w:pPr>
        <w:rPr>
          <w:rFonts w:eastAsia="Verdana" w:cs="Verdana"/>
        </w:rPr>
      </w:pPr>
      <w:r w:rsidRPr="2602F1D6">
        <w:rPr>
          <w:rFonts w:eastAsia="Verdana" w:cs="Verdana"/>
        </w:rPr>
        <w:t xml:space="preserve">As we </w:t>
      </w:r>
      <w:r w:rsidR="00C60ED9">
        <w:rPr>
          <w:rFonts w:eastAsia="Verdana" w:cs="Verdana"/>
        </w:rPr>
        <w:t>look to recover</w:t>
      </w:r>
      <w:r w:rsidRPr="2602F1D6">
        <w:rPr>
          <w:rFonts w:eastAsia="Verdana" w:cs="Verdana"/>
        </w:rPr>
        <w:t xml:space="preserve"> from COVID-related economic shocks for </w:t>
      </w:r>
      <w:r w:rsidR="00C60ED9">
        <w:rPr>
          <w:rFonts w:eastAsia="Verdana" w:cs="Verdana"/>
        </w:rPr>
        <w:t>a</w:t>
      </w:r>
      <w:r w:rsidRPr="2602F1D6">
        <w:rPr>
          <w:rFonts w:eastAsia="Verdana" w:cs="Verdana"/>
        </w:rPr>
        <w:t xml:space="preserve"> second time, </w:t>
      </w:r>
      <w:r w:rsidR="00C60ED9">
        <w:rPr>
          <w:rFonts w:eastAsia="Verdana" w:cs="Verdana"/>
        </w:rPr>
        <w:t xml:space="preserve">we must </w:t>
      </w:r>
      <w:r w:rsidRPr="2602F1D6">
        <w:rPr>
          <w:rFonts w:eastAsia="Verdana" w:cs="Verdana"/>
        </w:rPr>
        <w:t>ensure that the major reforms underway</w:t>
      </w:r>
      <w:r w:rsidR="00C60ED9">
        <w:rPr>
          <w:rFonts w:eastAsia="Verdana" w:cs="Verdana"/>
        </w:rPr>
        <w:t xml:space="preserve"> in employment services</w:t>
      </w:r>
      <w:r w:rsidRPr="2602F1D6">
        <w:rPr>
          <w:rFonts w:eastAsia="Verdana" w:cs="Verdana"/>
        </w:rPr>
        <w:t xml:space="preserve"> lead to the outcomes anticipated by the </w:t>
      </w:r>
      <w:r w:rsidR="00AB466A">
        <w:rPr>
          <w:rFonts w:eastAsia="Verdana" w:cs="Verdana"/>
        </w:rPr>
        <w:t>Employment Services Expert Advisory Panel</w:t>
      </w:r>
      <w:r w:rsidRPr="2602F1D6">
        <w:rPr>
          <w:rFonts w:eastAsia="Verdana" w:cs="Verdana"/>
        </w:rPr>
        <w:t xml:space="preserve">. The upcoming transition to the New Employment Services Model (NESM) will need to be monitored closely so that people living in the most disadvantaged regions and communities who are at greater risk of unemployment than before receive the support they need. </w:t>
      </w:r>
    </w:p>
    <w:p w14:paraId="3B48F4DF" w14:textId="229991BE" w:rsidR="280C9BAE" w:rsidRDefault="280C9BAE" w:rsidP="280C9BAE">
      <w:pPr>
        <w:rPr>
          <w:rFonts w:eastAsia="Verdana" w:cs="Verdana"/>
          <w:szCs w:val="20"/>
        </w:rPr>
      </w:pPr>
      <w:r w:rsidRPr="280C9BAE">
        <w:rPr>
          <w:rFonts w:eastAsia="Verdana" w:cs="Verdana"/>
          <w:szCs w:val="20"/>
        </w:rPr>
        <w:t xml:space="preserve">The 2021-2022 budget included a saving of $860m in employment services expenditure over four years. ACOSS is concerned this saving will undermine the Expert Panel’s recommendations to improve the quality of the Enhanced Service stream of NESM. For the </w:t>
      </w:r>
      <w:proofErr w:type="spellStart"/>
      <w:r w:rsidRPr="280C9BAE">
        <w:rPr>
          <w:rFonts w:eastAsia="Verdana" w:cs="Verdana"/>
          <w:szCs w:val="20"/>
        </w:rPr>
        <w:t>jobactive</w:t>
      </w:r>
      <w:proofErr w:type="spellEnd"/>
      <w:r w:rsidRPr="280C9BAE">
        <w:rPr>
          <w:rFonts w:eastAsia="Verdana" w:cs="Verdana"/>
          <w:szCs w:val="20"/>
        </w:rPr>
        <w:t xml:space="preserve"> system to undergo genuine reform it is important the initial panel license is offered to agencies genuinely committed to reforming their corporate cultures and structures. Bias in the system towards larger, for-profit providers should be removed to facilitate the entry of specialist and local community agencies into the new program.</w:t>
      </w:r>
      <w:r w:rsidRPr="280C9BAE">
        <w:rPr>
          <w:rFonts w:eastAsia="Verdana" w:cs="Verdana"/>
          <w:szCs w:val="20"/>
          <w:vertAlign w:val="superscript"/>
        </w:rPr>
        <w:t>11</w:t>
      </w:r>
      <w:r w:rsidRPr="280C9BAE">
        <w:rPr>
          <w:rFonts w:eastAsia="Verdana" w:cs="Verdana"/>
          <w:szCs w:val="20"/>
        </w:rPr>
        <w:t xml:space="preserve">  </w:t>
      </w:r>
    </w:p>
    <w:p w14:paraId="4B9A509D" w14:textId="3638F908" w:rsidR="280C9BAE" w:rsidRDefault="280C9BAE" w:rsidP="280C9BAE">
      <w:pPr>
        <w:rPr>
          <w:rFonts w:eastAsia="Verdana" w:cs="Verdana"/>
          <w:szCs w:val="20"/>
        </w:rPr>
      </w:pPr>
      <w:r w:rsidRPr="280C9BAE">
        <w:rPr>
          <w:rFonts w:eastAsia="Verdana" w:cs="Verdana"/>
          <w:szCs w:val="20"/>
        </w:rPr>
        <w:t xml:space="preserve">Further, there is more to do to ensure the licensing system is independent of purchasing and administers a new set of performance standards. Transition arrangements should </w:t>
      </w:r>
      <w:proofErr w:type="spellStart"/>
      <w:r w:rsidRPr="280C9BAE">
        <w:rPr>
          <w:rFonts w:eastAsia="Verdana" w:cs="Verdana"/>
          <w:szCs w:val="20"/>
        </w:rPr>
        <w:t>minimi</w:t>
      </w:r>
      <w:r w:rsidR="00AB466A">
        <w:rPr>
          <w:rFonts w:eastAsia="Verdana" w:cs="Verdana"/>
          <w:szCs w:val="20"/>
        </w:rPr>
        <w:t>se</w:t>
      </w:r>
      <w:proofErr w:type="spellEnd"/>
      <w:r w:rsidRPr="280C9BAE">
        <w:rPr>
          <w:rFonts w:eastAsia="Verdana" w:cs="Verdana"/>
          <w:szCs w:val="20"/>
        </w:rPr>
        <w:t xml:space="preserve"> disruptio</w:t>
      </w:r>
      <w:r w:rsidR="00C60ED9">
        <w:rPr>
          <w:rFonts w:eastAsia="Verdana" w:cs="Verdana"/>
          <w:szCs w:val="20"/>
        </w:rPr>
        <w:t>n</w:t>
      </w:r>
      <w:r w:rsidRPr="280C9BAE">
        <w:rPr>
          <w:rFonts w:eastAsia="Verdana" w:cs="Verdana"/>
          <w:szCs w:val="20"/>
        </w:rPr>
        <w:t xml:space="preserve"> and ensur</w:t>
      </w:r>
      <w:r w:rsidR="00AB466A">
        <w:rPr>
          <w:rFonts w:eastAsia="Verdana" w:cs="Verdana"/>
          <w:szCs w:val="20"/>
        </w:rPr>
        <w:t>e</w:t>
      </w:r>
      <w:r w:rsidRPr="280C9BAE">
        <w:rPr>
          <w:rFonts w:eastAsia="Verdana" w:cs="Verdana"/>
          <w:szCs w:val="20"/>
        </w:rPr>
        <w:t xml:space="preserve"> that people who </w:t>
      </w:r>
      <w:r w:rsidR="00AB466A">
        <w:rPr>
          <w:rFonts w:eastAsia="Verdana" w:cs="Verdana"/>
          <w:szCs w:val="20"/>
        </w:rPr>
        <w:t>use</w:t>
      </w:r>
      <w:r w:rsidRPr="280C9BAE">
        <w:rPr>
          <w:rFonts w:eastAsia="Verdana" w:cs="Verdana"/>
          <w:szCs w:val="20"/>
        </w:rPr>
        <w:t xml:space="preserve"> digital employment services have access to </w:t>
      </w:r>
      <w:r w:rsidR="00AB466A">
        <w:rPr>
          <w:rFonts w:eastAsia="Verdana" w:cs="Verdana"/>
          <w:szCs w:val="20"/>
        </w:rPr>
        <w:t xml:space="preserve">the </w:t>
      </w:r>
      <w:r w:rsidRPr="280C9BAE">
        <w:rPr>
          <w:rFonts w:eastAsia="Verdana" w:cs="Verdana"/>
          <w:szCs w:val="20"/>
        </w:rPr>
        <w:t>real support they need.</w:t>
      </w:r>
    </w:p>
    <w:p w14:paraId="1A942DDC" w14:textId="35633BCD" w:rsidR="280C9BAE" w:rsidRDefault="294F0AC8" w:rsidP="294F0AC8">
      <w:pPr>
        <w:pStyle w:val="Recommendation"/>
        <w:spacing w:after="240"/>
        <w:rPr>
          <w:rFonts w:eastAsia="Verdana" w:cs="Verdana"/>
          <w:color w:val="auto"/>
        </w:rPr>
      </w:pPr>
      <w:r w:rsidRPr="294F0AC8">
        <w:rPr>
          <w:rFonts w:eastAsia="Verdana" w:cs="Verdana"/>
          <w:color w:val="C00000"/>
        </w:rPr>
        <w:t xml:space="preserve">Recommendation 11: </w:t>
      </w:r>
      <w:r w:rsidRPr="294F0AC8">
        <w:rPr>
          <w:rFonts w:eastAsia="Verdana" w:cs="Verdana"/>
          <w:color w:val="auto"/>
        </w:rPr>
        <w:t>Ensuring New Employment Services transition to become genuinely supportive services by:</w:t>
      </w:r>
    </w:p>
    <w:p w14:paraId="2B2FA77B" w14:textId="0DC68C04" w:rsidR="280C9BAE" w:rsidRDefault="00C60ED9" w:rsidP="00DD3DC0">
      <w:pPr>
        <w:pStyle w:val="ListParagraph"/>
        <w:numPr>
          <w:ilvl w:val="0"/>
          <w:numId w:val="42"/>
        </w:numPr>
        <w:spacing w:after="240"/>
        <w:rPr>
          <w:rFonts w:asciiTheme="minorHAnsi" w:eastAsiaTheme="minorEastAsia" w:hAnsiTheme="minorHAnsi"/>
          <w:b/>
        </w:rPr>
      </w:pPr>
      <w:r>
        <w:rPr>
          <w:rFonts w:eastAsia="Verdana" w:cs="Verdana"/>
          <w:b/>
        </w:rPr>
        <w:t>i</w:t>
      </w:r>
      <w:r w:rsidR="294F0AC8" w:rsidRPr="294F0AC8">
        <w:rPr>
          <w:rFonts w:eastAsia="Verdana" w:cs="Verdana"/>
          <w:b/>
        </w:rPr>
        <w:t>ntroducing an independent statutory licensing body that determines whether providers can enter the employment services system, and (where minimum standards are breached) whether they must leave. The licensing body would have oversight of a new set of minimum and higher-level service standards (including qualifications of front-line staff and responsiveness to the needs of service users).</w:t>
      </w:r>
      <w:r w:rsidR="280C9BAE">
        <w:br/>
      </w:r>
    </w:p>
    <w:p w14:paraId="0013317E" w14:textId="438CD89F" w:rsidR="280C9BAE" w:rsidRDefault="00C60ED9" w:rsidP="00DD3DC0">
      <w:pPr>
        <w:pStyle w:val="ListParagraph"/>
        <w:numPr>
          <w:ilvl w:val="0"/>
          <w:numId w:val="42"/>
        </w:numPr>
        <w:spacing w:before="240" w:after="240"/>
        <w:rPr>
          <w:rFonts w:asciiTheme="minorHAnsi" w:eastAsiaTheme="minorEastAsia" w:hAnsiTheme="minorHAnsi"/>
          <w:b/>
        </w:rPr>
      </w:pPr>
      <w:r>
        <w:rPr>
          <w:rFonts w:eastAsia="Verdana" w:cs="Verdana"/>
          <w:b/>
        </w:rPr>
        <w:t>r</w:t>
      </w:r>
      <w:r w:rsidR="294F0AC8" w:rsidRPr="294F0AC8">
        <w:rPr>
          <w:rFonts w:eastAsia="Verdana" w:cs="Verdana"/>
          <w:b/>
        </w:rPr>
        <w:t>ecalibrating the New Employment Services Model fee structure so that it provides more funding in advance, greatly reduces consultant caseloads, and assists people with direct costs of job search and barriers to employment through an enhanced Employment Fund.</w:t>
      </w:r>
    </w:p>
    <w:p w14:paraId="324C31FD" w14:textId="3CC2ADA7" w:rsidR="280C9BAE" w:rsidRDefault="280C9BAE" w:rsidP="00133039">
      <w:pPr>
        <w:pStyle w:val="List3"/>
        <w:spacing w:after="0"/>
        <w:ind w:left="0" w:firstLine="0"/>
        <w:rPr>
          <w:rFonts w:eastAsia="Calibri" w:cs="Arial"/>
          <w:b/>
          <w:bCs/>
          <w:szCs w:val="20"/>
        </w:rPr>
      </w:pPr>
      <w:r w:rsidRPr="280C9BAE">
        <w:rPr>
          <w:rFonts w:eastAsia="Calibri" w:cs="Arial"/>
          <w:b/>
          <w:bCs/>
          <w:color w:val="C00000"/>
          <w:szCs w:val="20"/>
        </w:rPr>
        <w:t>Budget impact:</w:t>
      </w:r>
      <w:r w:rsidRPr="280C9BAE">
        <w:rPr>
          <w:rFonts w:eastAsia="Calibri" w:cs="Arial"/>
          <w:b/>
          <w:bCs/>
          <w:szCs w:val="20"/>
        </w:rPr>
        <w:t xml:space="preserve"> Not available</w:t>
      </w:r>
    </w:p>
    <w:p w14:paraId="4620D8B7" w14:textId="672E3FA9" w:rsidR="280C9BAE" w:rsidRDefault="280C9BAE" w:rsidP="280C9BAE">
      <w:pPr>
        <w:pStyle w:val="List3"/>
        <w:ind w:left="0" w:firstLine="0"/>
        <w:rPr>
          <w:rFonts w:eastAsia="Calibri" w:cs="Arial"/>
          <w:b/>
          <w:bCs/>
          <w:szCs w:val="20"/>
        </w:rPr>
      </w:pPr>
    </w:p>
    <w:p w14:paraId="4E757D2C" w14:textId="1CF353C4" w:rsidR="280C9BAE" w:rsidRDefault="294F0AC8" w:rsidP="001D1B51">
      <w:pPr>
        <w:pStyle w:val="Heading2"/>
      </w:pPr>
      <w:bookmarkStart w:id="315" w:name="_Toc90983356"/>
      <w:bookmarkStart w:id="316" w:name="_Toc90984619"/>
      <w:bookmarkStart w:id="317" w:name="_Toc581910549"/>
      <w:bookmarkStart w:id="318" w:name="_Toc471835723"/>
      <w:bookmarkStart w:id="319" w:name="_Toc779585669"/>
      <w:bookmarkStart w:id="320" w:name="_Toc894322260"/>
      <w:bookmarkStart w:id="321" w:name="_Toc330955343"/>
      <w:bookmarkStart w:id="322" w:name="_Toc284649426"/>
      <w:bookmarkStart w:id="323" w:name="_Toc1270750093"/>
      <w:bookmarkStart w:id="324" w:name="_Toc397908181"/>
      <w:bookmarkStart w:id="325" w:name="_Toc1908830252"/>
      <w:bookmarkStart w:id="326" w:name="_Toc1056313701"/>
      <w:bookmarkStart w:id="327" w:name="_Toc555083864"/>
      <w:r w:rsidRPr="294F0AC8">
        <w:t>Remove harsh</w:t>
      </w:r>
      <w:r w:rsidR="003C7BBF">
        <w:t xml:space="preserve">, </w:t>
      </w:r>
      <w:proofErr w:type="gramStart"/>
      <w:r w:rsidR="003C7BBF">
        <w:t>automat</w:t>
      </w:r>
      <w:r w:rsidR="00BF55A1">
        <w:t>ed</w:t>
      </w:r>
      <w:proofErr w:type="gramEnd"/>
      <w:r w:rsidRPr="294F0AC8">
        <w:t xml:space="preserve"> and onerous elements from the </w:t>
      </w:r>
      <w:r w:rsidR="003C7BBF">
        <w:t xml:space="preserve">compliance system </w:t>
      </w:r>
      <w:bookmarkEnd w:id="315"/>
      <w:bookmarkEnd w:id="316"/>
      <w:r w:rsidRPr="294F0AC8">
        <w:t xml:space="preserve"> </w:t>
      </w:r>
      <w:bookmarkEnd w:id="317"/>
      <w:bookmarkEnd w:id="318"/>
      <w:bookmarkEnd w:id="319"/>
      <w:bookmarkEnd w:id="320"/>
      <w:bookmarkEnd w:id="321"/>
      <w:bookmarkEnd w:id="322"/>
      <w:bookmarkEnd w:id="323"/>
      <w:bookmarkEnd w:id="324"/>
      <w:bookmarkEnd w:id="325"/>
      <w:bookmarkEnd w:id="326"/>
      <w:bookmarkEnd w:id="327"/>
    </w:p>
    <w:p w14:paraId="06954B15" w14:textId="77777777" w:rsidR="00CD4F69" w:rsidRDefault="00CD4F69" w:rsidP="294F0AC8">
      <w:pPr>
        <w:rPr>
          <w:rFonts w:eastAsia="Verdana" w:cs="Verdana"/>
        </w:rPr>
      </w:pPr>
    </w:p>
    <w:p w14:paraId="6F8DE50F" w14:textId="49B5AA33" w:rsidR="280C9BAE" w:rsidRDefault="294F0AC8" w:rsidP="294F0AC8">
      <w:pPr>
        <w:rPr>
          <w:rFonts w:eastAsia="Verdana" w:cs="Verdana"/>
        </w:rPr>
      </w:pPr>
      <w:r w:rsidRPr="294F0AC8">
        <w:rPr>
          <w:rFonts w:eastAsia="Verdana" w:cs="Verdana"/>
        </w:rPr>
        <w:t>As COVID restrictions have been eased</w:t>
      </w:r>
      <w:r w:rsidR="005F24AC">
        <w:rPr>
          <w:rFonts w:eastAsia="Verdana" w:cs="Verdana"/>
        </w:rPr>
        <w:t>,</w:t>
      </w:r>
      <w:r w:rsidRPr="294F0AC8">
        <w:rPr>
          <w:rFonts w:eastAsia="Verdana" w:cs="Verdana"/>
        </w:rPr>
        <w:t xml:space="preserve"> the previous harsh compliance system has returned. Requirements have not been modified to take account of people's fear of </w:t>
      </w:r>
      <w:r w:rsidR="005F24AC">
        <w:rPr>
          <w:rFonts w:eastAsia="Verdana" w:cs="Verdana"/>
        </w:rPr>
        <w:t>COVID</w:t>
      </w:r>
      <w:r w:rsidRPr="294F0AC8">
        <w:rPr>
          <w:rFonts w:eastAsia="Verdana" w:cs="Verdana"/>
        </w:rPr>
        <w:t xml:space="preserve"> infection and diminished employment opportunities, especially in regions with few vacancies. This had led to the re-emergence of wide-spread payment suspensions, even after a two-day delay for suspensions was introduced in December 2020. Payment suspensions cause distress and are counterproductive while people are looking for paid work. </w:t>
      </w:r>
    </w:p>
    <w:p w14:paraId="12F3CB61" w14:textId="77777777" w:rsidR="00AB466A" w:rsidRDefault="00AB466A" w:rsidP="280C9BAE">
      <w:pPr>
        <w:rPr>
          <w:rFonts w:eastAsia="Verdana" w:cs="Verdana"/>
        </w:rPr>
      </w:pPr>
    </w:p>
    <w:p w14:paraId="2EEBDDEB" w14:textId="4B3D7015" w:rsidR="280C9BAE" w:rsidRDefault="280C9BAE" w:rsidP="280C9BAE">
      <w:pPr>
        <w:rPr>
          <w:rFonts w:eastAsia="Verdana" w:cs="Verdana"/>
        </w:rPr>
      </w:pPr>
      <w:r w:rsidRPr="2602F1D6">
        <w:rPr>
          <w:rFonts w:eastAsia="Verdana" w:cs="Verdana"/>
        </w:rPr>
        <w:lastRenderedPageBreak/>
        <w:t>The 2021-2022 budget also outlined a $197</w:t>
      </w:r>
      <w:r w:rsidR="00AB466A">
        <w:rPr>
          <w:rFonts w:eastAsia="Verdana" w:cs="Verdana"/>
        </w:rPr>
        <w:t xml:space="preserve"> </w:t>
      </w:r>
      <w:r w:rsidRPr="2602F1D6">
        <w:rPr>
          <w:rFonts w:eastAsia="Verdana" w:cs="Verdana"/>
        </w:rPr>
        <w:t>m</w:t>
      </w:r>
      <w:r w:rsidR="00AB466A">
        <w:rPr>
          <w:rFonts w:eastAsia="Verdana" w:cs="Verdana"/>
        </w:rPr>
        <w:t>illion</w:t>
      </w:r>
      <w:r w:rsidRPr="2602F1D6">
        <w:rPr>
          <w:rFonts w:eastAsia="Verdana" w:cs="Verdana"/>
        </w:rPr>
        <w:t xml:space="preserve"> saving over </w:t>
      </w:r>
      <w:r w:rsidR="2602F1D6" w:rsidRPr="2602F1D6">
        <w:rPr>
          <w:rFonts w:eastAsia="Verdana" w:cs="Verdana"/>
        </w:rPr>
        <w:t>four</w:t>
      </w:r>
      <w:r w:rsidRPr="2602F1D6">
        <w:rPr>
          <w:rFonts w:eastAsia="Verdana" w:cs="Verdana"/>
        </w:rPr>
        <w:t xml:space="preserve"> years by introducing payment delays for digital job seekers, to which ACOSS strenuously objected in the parliamentary inquiry into the Streamlining Participation Requirements Bill.</w:t>
      </w:r>
      <w:r w:rsidRPr="2602F1D6">
        <w:rPr>
          <w:rFonts w:eastAsia="Verdana" w:cs="Verdana"/>
          <w:vertAlign w:val="superscript"/>
        </w:rPr>
        <w:t>12</w:t>
      </w:r>
      <w:r w:rsidRPr="2602F1D6">
        <w:rPr>
          <w:rFonts w:eastAsia="Verdana" w:cs="Verdana"/>
        </w:rPr>
        <w:t xml:space="preserve"> </w:t>
      </w:r>
    </w:p>
    <w:p w14:paraId="397514CB" w14:textId="09BE7163" w:rsidR="280C9BAE" w:rsidRDefault="280C9BAE" w:rsidP="280C9BAE">
      <w:pPr>
        <w:rPr>
          <w:rFonts w:eastAsia="Verdana" w:cs="Verdana"/>
        </w:rPr>
      </w:pPr>
      <w:r w:rsidRPr="2602F1D6">
        <w:rPr>
          <w:rFonts w:eastAsia="Verdana" w:cs="Verdana"/>
        </w:rPr>
        <w:t>ACOSS is concerned the</w:t>
      </w:r>
      <w:r w:rsidR="00AB466A">
        <w:rPr>
          <w:rFonts w:eastAsia="Verdana" w:cs="Verdana"/>
        </w:rPr>
        <w:t xml:space="preserve"> system of ‘</w:t>
      </w:r>
      <w:r w:rsidRPr="2602F1D6">
        <w:rPr>
          <w:rFonts w:eastAsia="Verdana" w:cs="Verdana"/>
        </w:rPr>
        <w:t>Points-based Activation</w:t>
      </w:r>
      <w:r w:rsidR="00AB466A">
        <w:rPr>
          <w:rFonts w:eastAsia="Verdana" w:cs="Verdana"/>
        </w:rPr>
        <w:t>’</w:t>
      </w:r>
      <w:r w:rsidRPr="2602F1D6">
        <w:rPr>
          <w:rFonts w:eastAsia="Verdana" w:cs="Verdana"/>
        </w:rPr>
        <w:t xml:space="preserve"> (PBA) in the NESM is not as flexible as had been envisaged by the Expert Panel. </w:t>
      </w:r>
      <w:r w:rsidR="00AB466A">
        <w:rPr>
          <w:rFonts w:eastAsia="Verdana" w:cs="Verdana"/>
        </w:rPr>
        <w:t>T</w:t>
      </w:r>
      <w:r w:rsidRPr="2602F1D6">
        <w:rPr>
          <w:rFonts w:eastAsia="Verdana" w:cs="Verdana"/>
        </w:rPr>
        <w:t xml:space="preserve">he proposed mandatory activities at pre-determined intervals in the NESM are contrary </w:t>
      </w:r>
      <w:r w:rsidR="2602F1D6" w:rsidRPr="2602F1D6">
        <w:rPr>
          <w:rFonts w:eastAsia="Verdana" w:cs="Verdana"/>
        </w:rPr>
        <w:t xml:space="preserve">to </w:t>
      </w:r>
      <w:r w:rsidRPr="2602F1D6">
        <w:rPr>
          <w:rFonts w:eastAsia="Verdana" w:cs="Verdana"/>
        </w:rPr>
        <w:t xml:space="preserve">the intent of the points-based model. These excessive and inflexible job search and mutual obligation requirements undermine the Expert Panel’s vision of </w:t>
      </w:r>
      <w:proofErr w:type="spellStart"/>
      <w:r w:rsidRPr="2602F1D6">
        <w:rPr>
          <w:rFonts w:eastAsia="Verdana" w:cs="Verdana"/>
        </w:rPr>
        <w:t>personalised</w:t>
      </w:r>
      <w:proofErr w:type="spellEnd"/>
      <w:r w:rsidRPr="2602F1D6">
        <w:rPr>
          <w:rFonts w:eastAsia="Verdana" w:cs="Verdana"/>
        </w:rPr>
        <w:t xml:space="preserve"> employment assistance and agency.</w:t>
      </w:r>
    </w:p>
    <w:p w14:paraId="5732FE1D" w14:textId="4E977FF9" w:rsidR="280C9BAE" w:rsidRDefault="294F0AC8" w:rsidP="294F0AC8">
      <w:pPr>
        <w:pStyle w:val="Recommendation"/>
        <w:spacing w:after="240"/>
        <w:rPr>
          <w:rFonts w:eastAsia="Verdana" w:cs="Verdana"/>
          <w:color w:val="000000" w:themeColor="text1"/>
        </w:rPr>
      </w:pPr>
      <w:r w:rsidRPr="294F0AC8">
        <w:rPr>
          <w:rFonts w:eastAsia="Verdana" w:cs="Verdana"/>
          <w:color w:val="C00000"/>
        </w:rPr>
        <w:t xml:space="preserve">Recommendation 12: </w:t>
      </w:r>
      <w:r w:rsidRPr="006D4C2D">
        <w:rPr>
          <w:rFonts w:eastAsia="Verdana" w:cs="Verdana"/>
          <w:color w:val="auto"/>
        </w:rPr>
        <w:t xml:space="preserve">Replace </w:t>
      </w:r>
      <w:r w:rsidRPr="294F0AC8">
        <w:rPr>
          <w:rFonts w:eastAsia="Verdana" w:cs="Verdana"/>
          <w:color w:val="000000" w:themeColor="text1"/>
        </w:rPr>
        <w:t>harsh unemployment payment compliance arrangements with a strengths-based approach by:</w:t>
      </w:r>
    </w:p>
    <w:p w14:paraId="49254ACA" w14:textId="27EC9DEB" w:rsidR="280C9BAE" w:rsidRDefault="008B0658" w:rsidP="00DD3DC0">
      <w:pPr>
        <w:pStyle w:val="ListParagraph"/>
        <w:numPr>
          <w:ilvl w:val="0"/>
          <w:numId w:val="13"/>
        </w:numPr>
        <w:tabs>
          <w:tab w:val="num" w:pos="360"/>
        </w:tabs>
        <w:rPr>
          <w:rFonts w:asciiTheme="minorHAnsi" w:eastAsiaTheme="minorEastAsia" w:hAnsiTheme="minorHAnsi"/>
          <w:b/>
        </w:rPr>
      </w:pPr>
      <w:r>
        <w:rPr>
          <w:b/>
        </w:rPr>
        <w:t>r</w:t>
      </w:r>
      <w:r w:rsidR="280C9BAE" w:rsidRPr="280C9BAE">
        <w:rPr>
          <w:b/>
        </w:rPr>
        <w:t xml:space="preserve">emoving automated payment </w:t>
      </w:r>
      <w:proofErr w:type="gramStart"/>
      <w:r w:rsidR="280C9BAE" w:rsidRPr="280C9BAE">
        <w:rPr>
          <w:b/>
        </w:rPr>
        <w:t>suspensions;</w:t>
      </w:r>
      <w:proofErr w:type="gramEnd"/>
      <w:r w:rsidR="280C9BAE" w:rsidRPr="280C9BAE">
        <w:rPr>
          <w:b/>
        </w:rPr>
        <w:t xml:space="preserve"> </w:t>
      </w:r>
    </w:p>
    <w:p w14:paraId="6BAA5EBA" w14:textId="475A36F7" w:rsidR="280C9BAE" w:rsidRDefault="008B0658" w:rsidP="00DD3DC0">
      <w:pPr>
        <w:pStyle w:val="ListParagraph"/>
        <w:numPr>
          <w:ilvl w:val="0"/>
          <w:numId w:val="13"/>
        </w:numPr>
        <w:tabs>
          <w:tab w:val="num" w:pos="360"/>
        </w:tabs>
        <w:rPr>
          <w:rFonts w:asciiTheme="minorHAnsi" w:eastAsiaTheme="minorEastAsia" w:hAnsiTheme="minorHAnsi"/>
          <w:b/>
        </w:rPr>
      </w:pPr>
      <w:r>
        <w:rPr>
          <w:b/>
        </w:rPr>
        <w:t>r</w:t>
      </w:r>
      <w:r w:rsidR="280C9BAE" w:rsidRPr="280C9BAE">
        <w:rPr>
          <w:b/>
        </w:rPr>
        <w:t xml:space="preserve">estoring default hours for compulsory annual activity requirements (mutual obligation) to 15 hours a week instead of the current 25 </w:t>
      </w:r>
      <w:proofErr w:type="gramStart"/>
      <w:r w:rsidR="280C9BAE" w:rsidRPr="280C9BAE">
        <w:rPr>
          <w:b/>
        </w:rPr>
        <w:t>hours;</w:t>
      </w:r>
      <w:proofErr w:type="gramEnd"/>
    </w:p>
    <w:p w14:paraId="01C86A95" w14:textId="6F68B2C2" w:rsidR="280C9BAE" w:rsidRDefault="008B0658" w:rsidP="00DD3DC0">
      <w:pPr>
        <w:pStyle w:val="ListParagraph"/>
        <w:numPr>
          <w:ilvl w:val="0"/>
          <w:numId w:val="13"/>
        </w:numPr>
        <w:rPr>
          <w:rFonts w:asciiTheme="minorHAnsi" w:eastAsiaTheme="minorEastAsia" w:hAnsiTheme="minorHAnsi"/>
          <w:b/>
        </w:rPr>
      </w:pPr>
      <w:r>
        <w:rPr>
          <w:b/>
        </w:rPr>
        <w:t>l</w:t>
      </w:r>
      <w:r w:rsidR="280C9BAE" w:rsidRPr="280C9BAE">
        <w:rPr>
          <w:b/>
        </w:rPr>
        <w:t xml:space="preserve">egislating to ensure that mutual obligation requirements for people with reduced capacity are </w:t>
      </w:r>
      <w:proofErr w:type="gramStart"/>
      <w:r w:rsidR="280C9BAE" w:rsidRPr="280C9BAE">
        <w:rPr>
          <w:b/>
        </w:rPr>
        <w:t>protected;</w:t>
      </w:r>
      <w:proofErr w:type="gramEnd"/>
    </w:p>
    <w:p w14:paraId="7245DE9E" w14:textId="47F610C6" w:rsidR="280C9BAE" w:rsidRDefault="008B0658" w:rsidP="00DD3DC0">
      <w:pPr>
        <w:pStyle w:val="ListParagraph"/>
        <w:numPr>
          <w:ilvl w:val="0"/>
          <w:numId w:val="13"/>
        </w:numPr>
        <w:tabs>
          <w:tab w:val="num" w:pos="360"/>
        </w:tabs>
        <w:rPr>
          <w:rFonts w:asciiTheme="minorHAnsi" w:eastAsiaTheme="minorEastAsia" w:hAnsiTheme="minorHAnsi"/>
          <w:b/>
        </w:rPr>
      </w:pPr>
      <w:r>
        <w:rPr>
          <w:b/>
        </w:rPr>
        <w:t>r</w:t>
      </w:r>
      <w:r w:rsidR="280C9BAE" w:rsidRPr="280C9BAE">
        <w:rPr>
          <w:b/>
        </w:rPr>
        <w:t>estoring the role of Services Australia in assessing compliance with activity requirements, including the first 5 ‘</w:t>
      </w:r>
      <w:proofErr w:type="gramStart"/>
      <w:r w:rsidR="280C9BAE" w:rsidRPr="280C9BAE">
        <w:rPr>
          <w:b/>
        </w:rPr>
        <w:t>demerits’;</w:t>
      </w:r>
      <w:proofErr w:type="gramEnd"/>
      <w:r w:rsidR="280C9BAE" w:rsidRPr="280C9BAE">
        <w:rPr>
          <w:b/>
        </w:rPr>
        <w:t xml:space="preserve">  </w:t>
      </w:r>
    </w:p>
    <w:p w14:paraId="1545C1AD" w14:textId="610A3302" w:rsidR="280C9BAE" w:rsidRDefault="008B0658" w:rsidP="00DD3DC0">
      <w:pPr>
        <w:pStyle w:val="ListParagraph"/>
        <w:numPr>
          <w:ilvl w:val="0"/>
          <w:numId w:val="13"/>
        </w:numPr>
        <w:tabs>
          <w:tab w:val="num" w:pos="360"/>
        </w:tabs>
        <w:rPr>
          <w:rFonts w:asciiTheme="minorHAnsi" w:eastAsiaTheme="minorEastAsia" w:hAnsiTheme="minorHAnsi"/>
          <w:b/>
        </w:rPr>
      </w:pPr>
      <w:r>
        <w:rPr>
          <w:b/>
        </w:rPr>
        <w:t>r</w:t>
      </w:r>
      <w:r w:rsidR="280C9BAE" w:rsidRPr="280C9BAE">
        <w:rPr>
          <w:b/>
        </w:rPr>
        <w:t xml:space="preserve">estoring discretion for employment services to excuse (not report) </w:t>
      </w:r>
      <w:r w:rsidR="00791E09">
        <w:rPr>
          <w:b/>
        </w:rPr>
        <w:t>activity test breaches</w:t>
      </w:r>
      <w:r w:rsidR="280C9BAE" w:rsidRPr="280C9BAE">
        <w:rPr>
          <w:b/>
        </w:rPr>
        <w:t xml:space="preserve">, and Services Australia to waive </w:t>
      </w:r>
      <w:proofErr w:type="gramStart"/>
      <w:r w:rsidR="280C9BAE" w:rsidRPr="280C9BAE">
        <w:rPr>
          <w:b/>
        </w:rPr>
        <w:t>penalties;</w:t>
      </w:r>
      <w:proofErr w:type="gramEnd"/>
      <w:r w:rsidR="280C9BAE" w:rsidRPr="280C9BAE">
        <w:rPr>
          <w:b/>
        </w:rPr>
        <w:t xml:space="preserve"> </w:t>
      </w:r>
    </w:p>
    <w:p w14:paraId="5044411B" w14:textId="2980F67A" w:rsidR="280C9BAE" w:rsidRDefault="008B0658" w:rsidP="00DD3DC0">
      <w:pPr>
        <w:pStyle w:val="ListParagraph"/>
        <w:numPr>
          <w:ilvl w:val="0"/>
          <w:numId w:val="13"/>
        </w:numPr>
        <w:rPr>
          <w:rFonts w:asciiTheme="minorHAnsi" w:eastAsiaTheme="minorEastAsia" w:hAnsiTheme="minorHAnsi"/>
          <w:b/>
        </w:rPr>
      </w:pPr>
      <w:r>
        <w:rPr>
          <w:b/>
        </w:rPr>
        <w:t>u</w:t>
      </w:r>
      <w:r w:rsidR="280C9BAE" w:rsidRPr="280C9BAE">
        <w:rPr>
          <w:b/>
        </w:rPr>
        <w:t>pdating the mutual obligation requirements in the NESM so that Points Based activation is not undermined by rigid requirements; and</w:t>
      </w:r>
    </w:p>
    <w:p w14:paraId="0F0CBA26" w14:textId="6833EEC0" w:rsidR="280C9BAE" w:rsidRDefault="008B0658" w:rsidP="00DD3DC0">
      <w:pPr>
        <w:pStyle w:val="ListParagraph"/>
        <w:numPr>
          <w:ilvl w:val="0"/>
          <w:numId w:val="13"/>
        </w:numPr>
        <w:rPr>
          <w:rFonts w:asciiTheme="minorHAnsi" w:eastAsiaTheme="minorEastAsia" w:hAnsiTheme="minorHAnsi"/>
          <w:b/>
        </w:rPr>
      </w:pPr>
      <w:r>
        <w:rPr>
          <w:b/>
        </w:rPr>
        <w:t>r</w:t>
      </w:r>
      <w:r w:rsidR="294F0AC8" w:rsidRPr="294F0AC8">
        <w:rPr>
          <w:b/>
        </w:rPr>
        <w:t>emoving the $197m budget saving from delayed first payments for users of digital services.</w:t>
      </w:r>
    </w:p>
    <w:p w14:paraId="4BE789E5" w14:textId="284863D4" w:rsidR="280C9BAE" w:rsidRDefault="280C9BAE" w:rsidP="280C9BAE">
      <w:pPr>
        <w:spacing w:after="20" w:line="240" w:lineRule="auto"/>
        <w:jc w:val="both"/>
        <w:rPr>
          <w:rFonts w:eastAsia="Calibri" w:cs="Arial"/>
          <w:szCs w:val="20"/>
        </w:rPr>
      </w:pPr>
    </w:p>
    <w:p w14:paraId="19FE4972" w14:textId="7357B5F1" w:rsidR="280C9BAE" w:rsidRDefault="294F0AC8" w:rsidP="294F0AC8">
      <w:pPr>
        <w:spacing w:after="20" w:line="240" w:lineRule="auto"/>
        <w:jc w:val="both"/>
        <w:rPr>
          <w:rFonts w:eastAsia="Calibri" w:cs="Arial"/>
        </w:rPr>
      </w:pPr>
      <w:r w:rsidRPr="294F0AC8">
        <w:rPr>
          <w:rFonts w:eastAsiaTheme="minorEastAsia"/>
          <w:b/>
          <w:bCs/>
          <w:color w:val="CE2028"/>
        </w:rPr>
        <w:t>Budget impact:</w:t>
      </w:r>
      <w:r w:rsidRPr="294F0AC8">
        <w:rPr>
          <w:b/>
          <w:bCs/>
        </w:rPr>
        <w:t xml:space="preserve"> </w:t>
      </w:r>
      <w:r w:rsidRPr="294F0AC8">
        <w:rPr>
          <w:b/>
          <w:bCs/>
          <w:i/>
          <w:iCs/>
        </w:rPr>
        <w:t xml:space="preserve">-$50 million in 2022-23 </w:t>
      </w:r>
      <w:r w:rsidR="24E94A06" w:rsidRPr="24E94A06">
        <w:rPr>
          <w:b/>
          <w:bCs/>
          <w:i/>
          <w:iCs/>
        </w:rPr>
        <w:t>(-$</w:t>
      </w:r>
      <w:r w:rsidRPr="294F0AC8">
        <w:rPr>
          <w:b/>
          <w:bCs/>
          <w:i/>
          <w:iCs/>
        </w:rPr>
        <w:t>50</w:t>
      </w:r>
      <w:r w:rsidRPr="294F0AC8">
        <w:rPr>
          <w:rFonts w:eastAsia="Verdana" w:cs="Verdana"/>
          <w:b/>
          <w:bCs/>
          <w:i/>
          <w:iCs/>
        </w:rPr>
        <w:t xml:space="preserve"> million in 2023-24)</w:t>
      </w:r>
    </w:p>
    <w:p w14:paraId="49AB5DD8" w14:textId="1AAA8167" w:rsidR="280C9BAE" w:rsidRDefault="280C9BAE" w:rsidP="280C9BAE">
      <w:pPr>
        <w:spacing w:after="20" w:line="240" w:lineRule="auto"/>
        <w:jc w:val="both"/>
        <w:rPr>
          <w:rFonts w:eastAsia="Calibri" w:cs="Arial"/>
          <w:b/>
          <w:bCs/>
          <w:i/>
          <w:iCs/>
          <w:szCs w:val="20"/>
        </w:rPr>
      </w:pPr>
    </w:p>
    <w:p w14:paraId="276E3119" w14:textId="2E070235" w:rsidR="280C9BAE" w:rsidRDefault="294F0AC8" w:rsidP="001D1B51">
      <w:pPr>
        <w:pStyle w:val="Heading2"/>
      </w:pPr>
      <w:bookmarkStart w:id="328" w:name="_Toc1248769677"/>
      <w:bookmarkStart w:id="329" w:name="_Toc1271429601"/>
      <w:bookmarkStart w:id="330" w:name="_Toc1982353906"/>
      <w:bookmarkStart w:id="331" w:name="_Toc97767225"/>
      <w:bookmarkStart w:id="332" w:name="_Toc1440559848"/>
      <w:bookmarkStart w:id="333" w:name="_Toc1820569010"/>
      <w:bookmarkStart w:id="334" w:name="_Toc1754898191"/>
      <w:bookmarkStart w:id="335" w:name="_Toc1637029351"/>
      <w:bookmarkStart w:id="336" w:name="_Toc163379243"/>
      <w:bookmarkStart w:id="337" w:name="_Toc1734882931"/>
      <w:bookmarkStart w:id="338" w:name="_Toc1049889633"/>
      <w:bookmarkStart w:id="339" w:name="_Toc90983357"/>
      <w:bookmarkStart w:id="340" w:name="_Toc90984620"/>
      <w:r w:rsidRPr="294F0AC8">
        <w:t>Career guidance and training to clear a path to decent jobs</w:t>
      </w:r>
      <w:bookmarkEnd w:id="328"/>
      <w:bookmarkEnd w:id="329"/>
      <w:bookmarkEnd w:id="330"/>
      <w:bookmarkEnd w:id="331"/>
      <w:bookmarkEnd w:id="332"/>
      <w:bookmarkEnd w:id="333"/>
      <w:bookmarkEnd w:id="334"/>
      <w:bookmarkEnd w:id="335"/>
      <w:bookmarkEnd w:id="336"/>
      <w:bookmarkEnd w:id="337"/>
      <w:bookmarkEnd w:id="338"/>
      <w:bookmarkEnd w:id="339"/>
      <w:bookmarkEnd w:id="340"/>
    </w:p>
    <w:p w14:paraId="4AC4CF7C" w14:textId="77777777" w:rsidR="00AB466A" w:rsidRDefault="00AB466A" w:rsidP="280C9BAE">
      <w:pPr>
        <w:rPr>
          <w:rFonts w:eastAsia="Verdana" w:cs="Verdana"/>
          <w:szCs w:val="20"/>
        </w:rPr>
      </w:pPr>
    </w:p>
    <w:p w14:paraId="623D0E20" w14:textId="0E597BF5" w:rsidR="280C9BAE" w:rsidRDefault="280C9BAE" w:rsidP="280C9BAE">
      <w:pPr>
        <w:rPr>
          <w:rFonts w:eastAsia="Verdana" w:cs="Verdana"/>
          <w:szCs w:val="20"/>
        </w:rPr>
      </w:pPr>
      <w:r w:rsidRPr="280C9BAE">
        <w:rPr>
          <w:rFonts w:eastAsia="Verdana" w:cs="Verdana"/>
          <w:szCs w:val="20"/>
        </w:rPr>
        <w:t xml:space="preserve">Many people who are unemployed would benefit from career guidance and training. Professional career guidance and training are not widely available through </w:t>
      </w:r>
      <w:proofErr w:type="spellStart"/>
      <w:r w:rsidRPr="280C9BAE">
        <w:rPr>
          <w:rFonts w:eastAsia="Verdana" w:cs="Verdana"/>
          <w:szCs w:val="20"/>
        </w:rPr>
        <w:t>jobactive</w:t>
      </w:r>
      <w:proofErr w:type="spellEnd"/>
      <w:r w:rsidRPr="280C9BAE">
        <w:rPr>
          <w:rFonts w:eastAsia="Verdana" w:cs="Verdana"/>
          <w:szCs w:val="20"/>
        </w:rPr>
        <w:t xml:space="preserve"> because providers are not resourced to offer </w:t>
      </w:r>
      <w:r w:rsidR="004729F2" w:rsidRPr="280C9BAE">
        <w:rPr>
          <w:rFonts w:eastAsia="Verdana" w:cs="Verdana"/>
          <w:szCs w:val="20"/>
        </w:rPr>
        <w:t>it and</w:t>
      </w:r>
      <w:r w:rsidRPr="280C9BAE">
        <w:rPr>
          <w:rFonts w:eastAsia="Verdana" w:cs="Verdana"/>
          <w:szCs w:val="20"/>
        </w:rPr>
        <w:t xml:space="preserve"> have limited financial incentives to place people in training. The missing links in this chain of career information and support are:</w:t>
      </w:r>
    </w:p>
    <w:p w14:paraId="557ECB3E" w14:textId="1B702FA8" w:rsidR="280C9BAE" w:rsidRDefault="280C9BAE" w:rsidP="00DD3DC0">
      <w:pPr>
        <w:pStyle w:val="ListParagraph"/>
        <w:numPr>
          <w:ilvl w:val="0"/>
          <w:numId w:val="18"/>
        </w:numPr>
        <w:tabs>
          <w:tab w:val="num" w:pos="360"/>
        </w:tabs>
        <w:rPr>
          <w:rFonts w:asciiTheme="minorHAnsi" w:eastAsiaTheme="minorEastAsia" w:hAnsiTheme="minorHAnsi"/>
          <w:bCs w:val="0"/>
        </w:rPr>
      </w:pPr>
      <w:r w:rsidRPr="280C9BAE">
        <w:rPr>
          <w:rFonts w:eastAsia="Verdana" w:cs="Verdana"/>
          <w:bCs w:val="0"/>
        </w:rPr>
        <w:t xml:space="preserve">inadequate and uncertain funding for public and community education providers; and </w:t>
      </w:r>
    </w:p>
    <w:p w14:paraId="1CFC1B0E" w14:textId="5C5AF061" w:rsidR="280C9BAE" w:rsidRDefault="280C9BAE" w:rsidP="00DD3DC0">
      <w:pPr>
        <w:pStyle w:val="ListParagraph"/>
        <w:numPr>
          <w:ilvl w:val="0"/>
          <w:numId w:val="18"/>
        </w:numPr>
        <w:tabs>
          <w:tab w:val="num" w:pos="360"/>
        </w:tabs>
        <w:rPr>
          <w:rFonts w:asciiTheme="minorHAnsi" w:eastAsiaTheme="minorEastAsia" w:hAnsiTheme="minorHAnsi"/>
          <w:bCs w:val="0"/>
        </w:rPr>
      </w:pPr>
      <w:r w:rsidRPr="280C9BAE">
        <w:rPr>
          <w:rFonts w:eastAsia="Verdana" w:cs="Verdana"/>
          <w:bCs w:val="0"/>
        </w:rPr>
        <w:t>a lack of robust local networks of professional career advisors.</w:t>
      </w:r>
    </w:p>
    <w:p w14:paraId="1A870F16" w14:textId="70F6B08B" w:rsidR="280C9BAE" w:rsidRDefault="280C9BAE" w:rsidP="280C9BAE">
      <w:pPr>
        <w:rPr>
          <w:rFonts w:eastAsia="Verdana" w:cs="Verdana"/>
          <w:sz w:val="12"/>
          <w:szCs w:val="12"/>
        </w:rPr>
      </w:pPr>
    </w:p>
    <w:p w14:paraId="10CC2BD3" w14:textId="30AECE8A" w:rsidR="280C9BAE" w:rsidRDefault="280C9BAE" w:rsidP="280C9BAE">
      <w:pPr>
        <w:rPr>
          <w:rFonts w:eastAsia="Verdana" w:cs="Verdana"/>
          <w:szCs w:val="20"/>
        </w:rPr>
      </w:pPr>
      <w:r w:rsidRPr="280C9BAE">
        <w:rPr>
          <w:rFonts w:eastAsia="Verdana" w:cs="Verdana"/>
          <w:szCs w:val="20"/>
        </w:rPr>
        <w:t xml:space="preserve">The national skills commission and the </w:t>
      </w:r>
      <w:proofErr w:type="spellStart"/>
      <w:r w:rsidRPr="280C9BAE">
        <w:rPr>
          <w:rFonts w:eastAsia="Verdana" w:cs="Verdana"/>
          <w:i/>
          <w:iCs/>
          <w:szCs w:val="20"/>
        </w:rPr>
        <w:t>Jobtrainer</w:t>
      </w:r>
      <w:proofErr w:type="spellEnd"/>
      <w:r w:rsidRPr="280C9BAE">
        <w:rPr>
          <w:rFonts w:eastAsia="Verdana" w:cs="Verdana"/>
          <w:i/>
          <w:iCs/>
          <w:szCs w:val="20"/>
        </w:rPr>
        <w:t xml:space="preserve"> </w:t>
      </w:r>
      <w:r w:rsidRPr="280C9BAE">
        <w:rPr>
          <w:rFonts w:eastAsia="Verdana" w:cs="Verdana"/>
          <w:szCs w:val="20"/>
        </w:rPr>
        <w:t xml:space="preserve">program are useful initiatives to align training with current and future industry demands. </w:t>
      </w:r>
    </w:p>
    <w:p w14:paraId="6FB0F9AB" w14:textId="61A02B05" w:rsidR="280C9BAE" w:rsidRDefault="280C9BAE" w:rsidP="280C9BAE">
      <w:pPr>
        <w:rPr>
          <w:rFonts w:eastAsia="Verdana" w:cs="Verdana"/>
          <w:szCs w:val="20"/>
        </w:rPr>
      </w:pPr>
      <w:r w:rsidRPr="280C9BAE">
        <w:rPr>
          <w:rFonts w:eastAsia="Verdana" w:cs="Verdana"/>
          <w:szCs w:val="20"/>
        </w:rPr>
        <w:t xml:space="preserve">However, career guidance services for people who are unemployed are fragmented according to the age and family status of participants and are of varying quality. More substantial support is available for young people through the </w:t>
      </w:r>
      <w:r w:rsidRPr="280C9BAE">
        <w:rPr>
          <w:rFonts w:eastAsia="Verdana" w:cs="Verdana"/>
          <w:i/>
          <w:iCs/>
          <w:szCs w:val="20"/>
        </w:rPr>
        <w:t>Transition to Work</w:t>
      </w:r>
      <w:r w:rsidRPr="280C9BAE">
        <w:rPr>
          <w:rFonts w:eastAsia="Verdana" w:cs="Verdana"/>
          <w:szCs w:val="20"/>
        </w:rPr>
        <w:t xml:space="preserve"> program and for older people through the </w:t>
      </w:r>
      <w:r w:rsidRPr="280C9BAE">
        <w:rPr>
          <w:rFonts w:eastAsia="Verdana" w:cs="Verdana"/>
          <w:i/>
          <w:iCs/>
          <w:szCs w:val="20"/>
        </w:rPr>
        <w:t xml:space="preserve">Career Transition Assistance </w:t>
      </w:r>
      <w:r w:rsidRPr="280C9BAE">
        <w:rPr>
          <w:rFonts w:eastAsia="Verdana" w:cs="Verdana"/>
          <w:szCs w:val="20"/>
        </w:rPr>
        <w:t xml:space="preserve">scheme, but there is gap in career advice and support for people in middle-age. </w:t>
      </w:r>
    </w:p>
    <w:p w14:paraId="556348F1" w14:textId="77777777" w:rsidR="00AB466A" w:rsidRDefault="00AB466A" w:rsidP="280C9BAE"/>
    <w:p w14:paraId="4F26D6F3" w14:textId="77777777" w:rsidR="00AB466A" w:rsidRDefault="00AB466A" w:rsidP="280C9BAE"/>
    <w:p w14:paraId="47238F3A" w14:textId="77777777" w:rsidR="00AB466A" w:rsidRDefault="00AB466A" w:rsidP="280C9BAE"/>
    <w:p w14:paraId="573824F9" w14:textId="77777777" w:rsidR="00AB466A" w:rsidRDefault="00AB466A" w:rsidP="280C9BAE"/>
    <w:p w14:paraId="4683969C" w14:textId="1FEF3741" w:rsidR="280C9BAE" w:rsidRDefault="280C9BAE" w:rsidP="280C9BAE">
      <w:r w:rsidRPr="280C9BAE">
        <w:t xml:space="preserve">In ACOSS’s view, </w:t>
      </w:r>
      <w:proofErr w:type="spellStart"/>
      <w:r w:rsidRPr="280C9BAE">
        <w:t>ParentsNext</w:t>
      </w:r>
      <w:proofErr w:type="spellEnd"/>
      <w:r w:rsidRPr="280C9BAE">
        <w:t xml:space="preserve"> is not a beneficial program because compulsory participation by parents of preschool age children in prevocational programs is an unacceptable restriction on the autonomy of people receiving income support. </w:t>
      </w:r>
      <w:proofErr w:type="spellStart"/>
      <w:r w:rsidRPr="280C9BAE">
        <w:t>ParentsNext</w:t>
      </w:r>
      <w:proofErr w:type="spellEnd"/>
      <w:r w:rsidRPr="280C9BAE">
        <w:t xml:space="preserve"> should be redesigned so it can provide more extensive support for those who are most likely to benefit, rather than the current broad-brush approach. The imposition of activity requirements on parents with preschool-age children exacerbates inequities in time-use experienced by parents, and single </w:t>
      </w:r>
      <w:proofErr w:type="gramStart"/>
      <w:r w:rsidRPr="280C9BAE">
        <w:t>mothers in particular</w:t>
      </w:r>
      <w:proofErr w:type="gramEnd"/>
      <w:r w:rsidRPr="280C9BAE">
        <w:t xml:space="preserve">.  </w:t>
      </w:r>
    </w:p>
    <w:p w14:paraId="37278770" w14:textId="77777777" w:rsidR="00AB466A" w:rsidRDefault="00AB466A" w:rsidP="280C9BAE">
      <w:pPr>
        <w:rPr>
          <w:rFonts w:eastAsia="Calibri" w:cs="Arial"/>
          <w:szCs w:val="20"/>
        </w:rPr>
      </w:pPr>
    </w:p>
    <w:p w14:paraId="225DDE9E" w14:textId="1B2861CA" w:rsidR="280C9BAE" w:rsidRDefault="294F0AC8" w:rsidP="294F0AC8">
      <w:pPr>
        <w:rPr>
          <w:rFonts w:eastAsia="Calibri" w:cs="Arial"/>
          <w:b/>
          <w:bCs/>
          <w:szCs w:val="20"/>
        </w:rPr>
      </w:pPr>
      <w:r w:rsidRPr="294F0AC8">
        <w:rPr>
          <w:rFonts w:eastAsia="Verdana" w:cs="Verdana"/>
          <w:b/>
          <w:bCs/>
          <w:color w:val="C00000"/>
        </w:rPr>
        <w:t>Recommendation 13:</w:t>
      </w:r>
      <w:r w:rsidRPr="294F0AC8">
        <w:rPr>
          <w:rFonts w:eastAsia="Verdana" w:cs="Verdana"/>
          <w:b/>
          <w:bCs/>
        </w:rPr>
        <w:t xml:space="preserve"> Establish a Career guidance service and provide training for those who need it by:</w:t>
      </w:r>
    </w:p>
    <w:p w14:paraId="0F80E188" w14:textId="6D73B64F" w:rsidR="280C9BAE" w:rsidRDefault="004729F2" w:rsidP="00DD3DC0">
      <w:pPr>
        <w:pStyle w:val="ListParagraph"/>
        <w:numPr>
          <w:ilvl w:val="0"/>
          <w:numId w:val="12"/>
        </w:numPr>
        <w:rPr>
          <w:b/>
        </w:rPr>
      </w:pPr>
      <w:r>
        <w:rPr>
          <w:b/>
        </w:rPr>
        <w:t>f</w:t>
      </w:r>
      <w:r w:rsidR="294F0AC8" w:rsidRPr="294F0AC8">
        <w:rPr>
          <w:b/>
        </w:rPr>
        <w:t xml:space="preserve">unding professional career guidance and support services, linked to education and training places through </w:t>
      </w:r>
      <w:proofErr w:type="spellStart"/>
      <w:r w:rsidR="294F0AC8" w:rsidRPr="294F0AC8">
        <w:rPr>
          <w:b/>
        </w:rPr>
        <w:t>JobTrainer</w:t>
      </w:r>
      <w:proofErr w:type="spellEnd"/>
      <w:r w:rsidR="294F0AC8" w:rsidRPr="294F0AC8">
        <w:rPr>
          <w:b/>
        </w:rPr>
        <w:t xml:space="preserve"> and other </w:t>
      </w:r>
      <w:proofErr w:type="gramStart"/>
      <w:r w:rsidR="294F0AC8" w:rsidRPr="294F0AC8">
        <w:rPr>
          <w:b/>
        </w:rPr>
        <w:t>programs;</w:t>
      </w:r>
      <w:proofErr w:type="gramEnd"/>
    </w:p>
    <w:p w14:paraId="366E69EE" w14:textId="4670FEDC" w:rsidR="280C9BAE" w:rsidRDefault="004729F2" w:rsidP="00DD3DC0">
      <w:pPr>
        <w:pStyle w:val="ListParagraph"/>
        <w:numPr>
          <w:ilvl w:val="0"/>
          <w:numId w:val="12"/>
        </w:numPr>
        <w:tabs>
          <w:tab w:val="left" w:pos="567"/>
        </w:tabs>
        <w:rPr>
          <w:rFonts w:asciiTheme="minorHAnsi" w:eastAsiaTheme="minorEastAsia" w:hAnsiTheme="minorHAnsi"/>
          <w:b/>
        </w:rPr>
      </w:pPr>
      <w:r>
        <w:rPr>
          <w:b/>
        </w:rPr>
        <w:t xml:space="preserve">  a</w:t>
      </w:r>
      <w:r w:rsidR="280C9BAE" w:rsidRPr="280C9BAE">
        <w:rPr>
          <w:b/>
        </w:rPr>
        <w:t xml:space="preserve">ttaching funds to these programs to purchase further education and training, as agreed between career counsellors and </w:t>
      </w:r>
      <w:proofErr w:type="gramStart"/>
      <w:r w:rsidR="280C9BAE" w:rsidRPr="280C9BAE">
        <w:rPr>
          <w:b/>
        </w:rPr>
        <w:t>participants;</w:t>
      </w:r>
      <w:proofErr w:type="gramEnd"/>
    </w:p>
    <w:p w14:paraId="5045BA1D" w14:textId="045A4248" w:rsidR="280C9BAE" w:rsidRDefault="004729F2" w:rsidP="00DD3DC0">
      <w:pPr>
        <w:pStyle w:val="ListParagraph"/>
        <w:numPr>
          <w:ilvl w:val="0"/>
          <w:numId w:val="12"/>
        </w:numPr>
        <w:tabs>
          <w:tab w:val="left" w:pos="567"/>
        </w:tabs>
        <w:rPr>
          <w:rFonts w:asciiTheme="minorHAnsi" w:eastAsiaTheme="minorEastAsia" w:hAnsiTheme="minorHAnsi"/>
          <w:b/>
        </w:rPr>
      </w:pPr>
      <w:r>
        <w:rPr>
          <w:b/>
        </w:rPr>
        <w:t xml:space="preserve">  r</w:t>
      </w:r>
      <w:r w:rsidR="280C9BAE" w:rsidRPr="280C9BAE">
        <w:rPr>
          <w:b/>
        </w:rPr>
        <w:t xml:space="preserve">emoving inequities in the support available for different </w:t>
      </w:r>
      <w:proofErr w:type="gramStart"/>
      <w:r w:rsidR="280C9BAE" w:rsidRPr="280C9BAE">
        <w:rPr>
          <w:b/>
        </w:rPr>
        <w:t>groups;</w:t>
      </w:r>
      <w:proofErr w:type="gramEnd"/>
    </w:p>
    <w:p w14:paraId="6070C620" w14:textId="3C93BF59" w:rsidR="280C9BAE" w:rsidRDefault="004729F2" w:rsidP="00DD3DC0">
      <w:pPr>
        <w:pStyle w:val="ListParagraph"/>
        <w:numPr>
          <w:ilvl w:val="0"/>
          <w:numId w:val="12"/>
        </w:numPr>
        <w:tabs>
          <w:tab w:val="left" w:pos="567"/>
        </w:tabs>
        <w:rPr>
          <w:rFonts w:asciiTheme="minorHAnsi" w:eastAsiaTheme="minorEastAsia" w:hAnsiTheme="minorHAnsi"/>
          <w:b/>
        </w:rPr>
      </w:pPr>
      <w:r>
        <w:rPr>
          <w:b/>
        </w:rPr>
        <w:t xml:space="preserve">  e</w:t>
      </w:r>
      <w:r w:rsidR="280C9BAE" w:rsidRPr="280C9BAE">
        <w:rPr>
          <w:b/>
        </w:rPr>
        <w:t xml:space="preserve">stablishing an Education to </w:t>
      </w:r>
      <w:r w:rsidR="00791E09">
        <w:rPr>
          <w:b/>
        </w:rPr>
        <w:t>Employment</w:t>
      </w:r>
      <w:r w:rsidR="280C9BAE" w:rsidRPr="280C9BAE">
        <w:rPr>
          <w:b/>
        </w:rPr>
        <w:t xml:space="preserve"> Transition Service for young people with Year 12 qualifications or less, at risk in the transition from education to employment, building on the Transition to Work </w:t>
      </w:r>
      <w:proofErr w:type="gramStart"/>
      <w:r w:rsidR="280C9BAE" w:rsidRPr="280C9BAE">
        <w:rPr>
          <w:b/>
        </w:rPr>
        <w:t>program;</w:t>
      </w:r>
      <w:proofErr w:type="gramEnd"/>
    </w:p>
    <w:p w14:paraId="3A036E4A" w14:textId="7D0E0164" w:rsidR="280C9BAE" w:rsidRDefault="004729F2" w:rsidP="00DD3DC0">
      <w:pPr>
        <w:pStyle w:val="ListParagraph"/>
        <w:numPr>
          <w:ilvl w:val="0"/>
          <w:numId w:val="12"/>
        </w:numPr>
        <w:tabs>
          <w:tab w:val="left" w:pos="709"/>
        </w:tabs>
        <w:rPr>
          <w:rFonts w:asciiTheme="minorHAnsi" w:eastAsiaTheme="minorEastAsia" w:hAnsiTheme="minorHAnsi"/>
          <w:b/>
        </w:rPr>
      </w:pPr>
      <w:r>
        <w:rPr>
          <w:b/>
        </w:rPr>
        <w:t>p</w:t>
      </w:r>
      <w:r w:rsidR="280C9BAE" w:rsidRPr="280C9BAE">
        <w:rPr>
          <w:b/>
        </w:rPr>
        <w:t xml:space="preserve">roviding a career guidance and support services for parents and </w:t>
      </w:r>
      <w:proofErr w:type="spellStart"/>
      <w:r w:rsidR="280C9BAE" w:rsidRPr="280C9BAE">
        <w:rPr>
          <w:b/>
        </w:rPr>
        <w:t>carers</w:t>
      </w:r>
      <w:proofErr w:type="spellEnd"/>
      <w:r w:rsidR="280C9BAE" w:rsidRPr="280C9BAE">
        <w:rPr>
          <w:b/>
        </w:rPr>
        <w:t xml:space="preserve"> returning to paid work, replacing the </w:t>
      </w:r>
      <w:proofErr w:type="spellStart"/>
      <w:r w:rsidR="280C9BAE" w:rsidRPr="280C9BAE">
        <w:rPr>
          <w:b/>
        </w:rPr>
        <w:t>ParentsNext</w:t>
      </w:r>
      <w:proofErr w:type="spellEnd"/>
      <w:r w:rsidR="280C9BAE" w:rsidRPr="280C9BAE">
        <w:rPr>
          <w:b/>
        </w:rPr>
        <w:t xml:space="preserve"> program (voluntary for those whose youngest child is below school age</w:t>
      </w:r>
      <w:proofErr w:type="gramStart"/>
      <w:r w:rsidR="280C9BAE" w:rsidRPr="280C9BAE">
        <w:rPr>
          <w:b/>
        </w:rPr>
        <w:t>);</w:t>
      </w:r>
      <w:proofErr w:type="gramEnd"/>
    </w:p>
    <w:p w14:paraId="15FED711" w14:textId="633B7376" w:rsidR="280C9BAE" w:rsidRDefault="004729F2" w:rsidP="00DD3DC0">
      <w:pPr>
        <w:pStyle w:val="ListParagraph"/>
        <w:numPr>
          <w:ilvl w:val="0"/>
          <w:numId w:val="12"/>
        </w:numPr>
        <w:tabs>
          <w:tab w:val="left" w:pos="709"/>
        </w:tabs>
        <w:rPr>
          <w:rFonts w:asciiTheme="minorHAnsi" w:eastAsiaTheme="minorEastAsia" w:hAnsiTheme="minorHAnsi"/>
          <w:b/>
        </w:rPr>
      </w:pPr>
      <w:r>
        <w:rPr>
          <w:b/>
        </w:rPr>
        <w:t>p</w:t>
      </w:r>
      <w:r w:rsidR="294F0AC8" w:rsidRPr="294F0AC8">
        <w:rPr>
          <w:b/>
        </w:rPr>
        <w:t>roviding a career guidance and support service for older workers who need to adjust their careers, building on the Career Transition Assistance program; and</w:t>
      </w:r>
    </w:p>
    <w:p w14:paraId="240BEBFF" w14:textId="17E9C598" w:rsidR="280C9BAE" w:rsidRDefault="004729F2" w:rsidP="00DD3DC0">
      <w:pPr>
        <w:pStyle w:val="ListParagraph"/>
        <w:numPr>
          <w:ilvl w:val="0"/>
          <w:numId w:val="12"/>
        </w:numPr>
        <w:tabs>
          <w:tab w:val="left" w:pos="709"/>
        </w:tabs>
        <w:rPr>
          <w:rFonts w:asciiTheme="minorHAnsi" w:eastAsiaTheme="minorEastAsia" w:hAnsiTheme="minorHAnsi"/>
          <w:b/>
        </w:rPr>
      </w:pPr>
      <w:r>
        <w:rPr>
          <w:b/>
        </w:rPr>
        <w:t>p</w:t>
      </w:r>
      <w:r w:rsidR="280C9BAE" w:rsidRPr="280C9BAE">
        <w:rPr>
          <w:b/>
        </w:rPr>
        <w:t xml:space="preserve">roviding a career guidance component of </w:t>
      </w:r>
      <w:proofErr w:type="spellStart"/>
      <w:r w:rsidR="280C9BAE" w:rsidRPr="280C9BAE">
        <w:rPr>
          <w:b/>
        </w:rPr>
        <w:t>jobactive</w:t>
      </w:r>
      <w:proofErr w:type="spellEnd"/>
      <w:r w:rsidR="280C9BAE" w:rsidRPr="280C9BAE">
        <w:rPr>
          <w:b/>
        </w:rPr>
        <w:t xml:space="preserve"> services for people recently retrenched from their employment.</w:t>
      </w:r>
      <w:r w:rsidR="280C9BAE">
        <w:br/>
      </w:r>
    </w:p>
    <w:p w14:paraId="0CADEE46" w14:textId="18748A8A" w:rsidR="280C9BAE" w:rsidRDefault="280C9BAE" w:rsidP="280C9BAE">
      <w:pPr>
        <w:pStyle w:val="List3"/>
        <w:tabs>
          <w:tab w:val="left" w:pos="709"/>
        </w:tabs>
        <w:spacing w:after="0"/>
        <w:ind w:left="426"/>
        <w:rPr>
          <w:rFonts w:eastAsia="Calibri" w:cs="Arial"/>
          <w:b/>
          <w:bCs/>
          <w:szCs w:val="20"/>
        </w:rPr>
      </w:pPr>
      <w:r w:rsidRPr="280C9BAE">
        <w:rPr>
          <w:rFonts w:eastAsia="Calibri" w:cs="Arial"/>
          <w:b/>
          <w:bCs/>
          <w:color w:val="FF0000"/>
          <w:szCs w:val="20"/>
        </w:rPr>
        <w:t>Budget Impact:</w:t>
      </w:r>
      <w:r w:rsidRPr="280C9BAE">
        <w:rPr>
          <w:rFonts w:eastAsia="Calibri" w:cs="Arial"/>
          <w:b/>
          <w:bCs/>
          <w:szCs w:val="20"/>
        </w:rPr>
        <w:t xml:space="preserve"> Not available.</w:t>
      </w:r>
    </w:p>
    <w:p w14:paraId="222A2EA4" w14:textId="5F498301" w:rsidR="280C9BAE" w:rsidRDefault="280C9BAE" w:rsidP="280C9BAE">
      <w:pPr>
        <w:pStyle w:val="List3"/>
        <w:tabs>
          <w:tab w:val="left" w:pos="709"/>
        </w:tabs>
        <w:ind w:left="426" w:firstLine="0"/>
        <w:rPr>
          <w:rFonts w:eastAsia="Calibri" w:cs="Arial"/>
          <w:szCs w:val="20"/>
          <w:highlight w:val="yellow"/>
        </w:rPr>
      </w:pPr>
    </w:p>
    <w:p w14:paraId="6A482EC8" w14:textId="76A44A6A" w:rsidR="280C9BAE" w:rsidRDefault="280C9BAE" w:rsidP="280C9BAE">
      <w:pPr>
        <w:pStyle w:val="List3"/>
        <w:tabs>
          <w:tab w:val="left" w:pos="709"/>
        </w:tabs>
        <w:ind w:left="426" w:firstLine="0"/>
        <w:rPr>
          <w:rFonts w:eastAsia="Calibri" w:cs="Arial"/>
          <w:szCs w:val="20"/>
          <w:highlight w:val="yellow"/>
        </w:rPr>
      </w:pPr>
    </w:p>
    <w:p w14:paraId="445470F3" w14:textId="28F7426C" w:rsidR="280C9BAE" w:rsidRDefault="280C9BAE" w:rsidP="280C9BAE">
      <w:pPr>
        <w:pStyle w:val="List3"/>
        <w:tabs>
          <w:tab w:val="left" w:pos="709"/>
        </w:tabs>
        <w:ind w:left="426" w:firstLine="0"/>
        <w:rPr>
          <w:rFonts w:eastAsia="Calibri" w:cs="Arial"/>
          <w:szCs w:val="20"/>
          <w:highlight w:val="yellow"/>
        </w:rPr>
      </w:pPr>
    </w:p>
    <w:p w14:paraId="3FA6D216" w14:textId="481063B4" w:rsidR="2602F1D6" w:rsidRDefault="2602F1D6">
      <w:r>
        <w:br w:type="page"/>
      </w:r>
    </w:p>
    <w:p w14:paraId="55F04655" w14:textId="5F401F50" w:rsidR="0068094C" w:rsidRDefault="294F0AC8" w:rsidP="280C9BAE">
      <w:pPr>
        <w:pStyle w:val="Heading1"/>
        <w:numPr>
          <w:ilvl w:val="0"/>
          <w:numId w:val="0"/>
        </w:numPr>
      </w:pPr>
      <w:bookmarkStart w:id="341" w:name="_Toc497428625"/>
      <w:bookmarkStart w:id="342" w:name="_Toc564837979"/>
      <w:bookmarkStart w:id="343" w:name="_Toc1221844720"/>
      <w:bookmarkStart w:id="344" w:name="_Toc2016364808"/>
      <w:bookmarkStart w:id="345" w:name="_Toc1557317219"/>
      <w:bookmarkStart w:id="346" w:name="_Toc844895038"/>
      <w:bookmarkStart w:id="347" w:name="_Toc379334501"/>
      <w:bookmarkStart w:id="348" w:name="_Toc1202217621"/>
      <w:bookmarkStart w:id="349" w:name="_Toc73591140"/>
      <w:bookmarkStart w:id="350" w:name="_Toc104074469"/>
      <w:bookmarkStart w:id="351" w:name="_Toc1230216618"/>
      <w:bookmarkStart w:id="352" w:name="_Toc90983315"/>
      <w:bookmarkStart w:id="353" w:name="_Toc90983358"/>
      <w:bookmarkStart w:id="354" w:name="_Toc90984621"/>
      <w:r>
        <w:lastRenderedPageBreak/>
        <w:t xml:space="preserve">3. Fair, </w:t>
      </w:r>
      <w:proofErr w:type="gramStart"/>
      <w:r>
        <w:t>fast</w:t>
      </w:r>
      <w:proofErr w:type="gramEnd"/>
      <w:r>
        <w:t xml:space="preserve"> and inclusive climate action</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11236007" w14:textId="77777777" w:rsidR="00AB466A" w:rsidRDefault="00AB466A" w:rsidP="280C9BAE">
      <w:pPr>
        <w:rPr>
          <w:rFonts w:eastAsia="Verdana" w:cs="Verdana"/>
          <w:color w:val="auto"/>
          <w:lang w:val="en"/>
        </w:rPr>
      </w:pPr>
    </w:p>
    <w:p w14:paraId="53DEF7C0" w14:textId="42A7291A" w:rsidR="0068094C" w:rsidRDefault="280C9BAE" w:rsidP="280C9BAE">
      <w:pPr>
        <w:rPr>
          <w:rFonts w:eastAsia="Verdana" w:cs="Verdana"/>
          <w:color w:val="auto"/>
          <w:szCs w:val="20"/>
          <w:lang w:val="en"/>
        </w:rPr>
      </w:pPr>
      <w:r w:rsidRPr="785CF3EC">
        <w:rPr>
          <w:rFonts w:eastAsia="Verdana" w:cs="Verdana"/>
          <w:color w:val="auto"/>
          <w:lang w:val="en"/>
        </w:rPr>
        <w:t xml:space="preserve">Climate change threatens people’s health and wellbeing, quality of life, employment, livelihoods, </w:t>
      </w:r>
      <w:r w:rsidR="004729F2" w:rsidRPr="785CF3EC">
        <w:rPr>
          <w:rFonts w:eastAsia="Verdana" w:cs="Verdana"/>
          <w:color w:val="auto"/>
          <w:lang w:val="en"/>
        </w:rPr>
        <w:t>homes,</w:t>
      </w:r>
      <w:r w:rsidRPr="785CF3EC">
        <w:rPr>
          <w:rFonts w:eastAsia="Verdana" w:cs="Verdana"/>
          <w:color w:val="auto"/>
          <w:lang w:val="en"/>
        </w:rPr>
        <w:t xml:space="preserve"> and life itself. The impacts are occurring now and </w:t>
      </w:r>
      <w:r w:rsidR="004729F2" w:rsidRPr="785CF3EC">
        <w:rPr>
          <w:rFonts w:eastAsia="Verdana" w:cs="Verdana"/>
          <w:color w:val="auto"/>
          <w:lang w:val="en"/>
        </w:rPr>
        <w:t>accelerating and</w:t>
      </w:r>
      <w:r w:rsidRPr="785CF3EC">
        <w:rPr>
          <w:rFonts w:eastAsia="Verdana" w:cs="Verdana"/>
          <w:color w:val="auto"/>
          <w:szCs w:val="20"/>
          <w:lang w:val="en"/>
        </w:rPr>
        <w:t xml:space="preserve"> pose a particular threat to First Nations communities and our young people’s futures</w:t>
      </w:r>
      <w:r w:rsidRPr="280C9BAE">
        <w:rPr>
          <w:rFonts w:eastAsia="Verdana" w:cs="Verdana"/>
          <w:color w:val="auto"/>
          <w:szCs w:val="20"/>
          <w:lang w:val="en"/>
        </w:rPr>
        <w:t xml:space="preserve">. </w:t>
      </w:r>
    </w:p>
    <w:p w14:paraId="61762B13" w14:textId="4EA55200" w:rsidR="0068094C" w:rsidRDefault="280C9BAE" w:rsidP="280C9BAE">
      <w:pPr>
        <w:rPr>
          <w:rFonts w:eastAsia="Calibri" w:cs="Arial"/>
          <w:szCs w:val="20"/>
          <w:lang w:val="en"/>
        </w:rPr>
      </w:pPr>
      <w:r w:rsidRPr="06F5CC88">
        <w:rPr>
          <w:rFonts w:eastAsia="Verdana" w:cs="Verdana"/>
          <w:color w:val="auto"/>
          <w:lang w:val="en"/>
        </w:rPr>
        <w:t>People experiencing financial and social disadvantage are negatively impacted the most by climate change. They also worst affected by a slow, poorly managed transition to a clean energy economy</w:t>
      </w:r>
      <w:r w:rsidRPr="280C9BAE">
        <w:rPr>
          <w:rFonts w:eastAsia="Verdana" w:cs="Verdana"/>
          <w:color w:val="auto"/>
          <w:szCs w:val="20"/>
          <w:lang w:val="en"/>
        </w:rPr>
        <w:t xml:space="preserve"> </w:t>
      </w:r>
      <w:r w:rsidRPr="06F5CC88">
        <w:rPr>
          <w:rFonts w:eastAsia="Verdana" w:cs="Verdana"/>
          <w:color w:val="auto"/>
          <w:szCs w:val="20"/>
          <w:lang w:val="en"/>
        </w:rPr>
        <w:t xml:space="preserve">because they pay disproportionately more for essential services and do not have the finances to access clean energy technologies. </w:t>
      </w:r>
    </w:p>
    <w:p w14:paraId="312D806A" w14:textId="0B0EFF81" w:rsidR="0068094C" w:rsidRDefault="280C9BAE" w:rsidP="280C9BAE">
      <w:pPr>
        <w:rPr>
          <w:rFonts w:eastAsia="Calibri" w:cs="Arial"/>
          <w:lang w:val="en"/>
        </w:rPr>
      </w:pPr>
      <w:r w:rsidRPr="280C9BAE">
        <w:rPr>
          <w:rFonts w:eastAsia="Verdana" w:cs="Verdana"/>
          <w:color w:val="auto"/>
          <w:szCs w:val="20"/>
          <w:lang w:val="en"/>
        </w:rPr>
        <w:t>A</w:t>
      </w:r>
      <w:r w:rsidRPr="785CF3EC">
        <w:rPr>
          <w:rFonts w:eastAsia="Verdana" w:cs="Verdana"/>
          <w:color w:val="auto"/>
          <w:szCs w:val="20"/>
          <w:lang w:val="en"/>
        </w:rPr>
        <w:t xml:space="preserve"> fast, </w:t>
      </w:r>
      <w:proofErr w:type="gramStart"/>
      <w:r w:rsidRPr="785CF3EC">
        <w:rPr>
          <w:rFonts w:eastAsia="Verdana" w:cs="Verdana"/>
          <w:color w:val="auto"/>
          <w:szCs w:val="20"/>
          <w:lang w:val="en"/>
        </w:rPr>
        <w:t>fair</w:t>
      </w:r>
      <w:proofErr w:type="gramEnd"/>
      <w:r w:rsidRPr="785CF3EC">
        <w:rPr>
          <w:rFonts w:eastAsia="Verdana" w:cs="Verdana"/>
          <w:color w:val="auto"/>
          <w:szCs w:val="20"/>
          <w:lang w:val="en"/>
        </w:rPr>
        <w:t xml:space="preserve"> and inclusive plan to address climate change has the ability to improve the lives of people experiencing disadvantage, from the cities to remote Australia. It creates opportunities for more affordable, </w:t>
      </w:r>
      <w:r w:rsidR="004729F2" w:rsidRPr="785CF3EC">
        <w:rPr>
          <w:rFonts w:eastAsia="Verdana" w:cs="Verdana"/>
          <w:color w:val="auto"/>
          <w:szCs w:val="20"/>
          <w:lang w:val="en"/>
        </w:rPr>
        <w:t>healthier,</w:t>
      </w:r>
      <w:r w:rsidRPr="785CF3EC">
        <w:rPr>
          <w:rFonts w:eastAsia="Verdana" w:cs="Verdana"/>
          <w:color w:val="auto"/>
          <w:szCs w:val="20"/>
          <w:lang w:val="en"/>
        </w:rPr>
        <w:t xml:space="preserve"> and reliable energy, housing and transport suited to a changing environment and creates jobs in the new energy economy. </w:t>
      </w:r>
      <w:r w:rsidRPr="785CF3EC">
        <w:rPr>
          <w:rFonts w:eastAsia="Verdana" w:cs="Verdana"/>
          <w:color w:val="auto"/>
          <w:lang w:val="en"/>
        </w:rPr>
        <w:t xml:space="preserve"> </w:t>
      </w:r>
    </w:p>
    <w:p w14:paraId="62146ECB" w14:textId="49835B83" w:rsidR="0068094C" w:rsidRDefault="280C9BAE" w:rsidP="280C9BAE">
      <w:pPr>
        <w:rPr>
          <w:rFonts w:eastAsia="Verdana" w:cs="Verdana"/>
          <w:color w:val="auto"/>
          <w:szCs w:val="20"/>
        </w:rPr>
      </w:pPr>
      <w:r w:rsidRPr="785CF3EC">
        <w:rPr>
          <w:rFonts w:eastAsia="Verdana" w:cs="Verdana"/>
          <w:color w:val="auto"/>
          <w:szCs w:val="20"/>
        </w:rPr>
        <w:t xml:space="preserve">To avoid more dangerous climate change impacts, we need to reduce emissions this decade. The science tells us that to keep global warming at 1.5 degrees Celsius and avoid more dangerous impacts, Australia must do its fair share and reduce climate pollution by 75% by 2030. Fifty per cent by 2030 is an absolute minimum. </w:t>
      </w:r>
    </w:p>
    <w:p w14:paraId="25B554F3" w14:textId="673BCBB2" w:rsidR="0068094C" w:rsidRDefault="280C9BAE" w:rsidP="280C9BAE">
      <w:pPr>
        <w:rPr>
          <w:rFonts w:eastAsia="Calibri" w:cs="Arial"/>
          <w:szCs w:val="20"/>
        </w:rPr>
      </w:pPr>
      <w:r w:rsidRPr="280C9BAE">
        <w:rPr>
          <w:rFonts w:eastAsia="Verdana" w:cs="Verdana"/>
          <w:color w:val="auto"/>
          <w:szCs w:val="20"/>
        </w:rPr>
        <w:t>The energy sector should transition first and fastest while improving acc</w:t>
      </w:r>
      <w:r w:rsidRPr="280C9BAE">
        <w:rPr>
          <w:rFonts w:eastAsia="Verdana" w:cs="Verdana"/>
          <w:szCs w:val="20"/>
        </w:rPr>
        <w:t xml:space="preserve">ess to affordable, </w:t>
      </w:r>
      <w:r w:rsidR="004729F2" w:rsidRPr="280C9BAE">
        <w:rPr>
          <w:rFonts w:eastAsia="Verdana" w:cs="Verdana"/>
          <w:szCs w:val="20"/>
        </w:rPr>
        <w:t>clean,</w:t>
      </w:r>
      <w:r w:rsidRPr="280C9BAE">
        <w:rPr>
          <w:rFonts w:eastAsia="Verdana" w:cs="Verdana"/>
          <w:szCs w:val="20"/>
        </w:rPr>
        <w:t xml:space="preserve"> and dependable energy for all. </w:t>
      </w:r>
    </w:p>
    <w:p w14:paraId="31B678A1" w14:textId="57F0DF13" w:rsidR="0068094C" w:rsidRDefault="280C9BAE" w:rsidP="280C9BAE">
      <w:pPr>
        <w:rPr>
          <w:rFonts w:eastAsia="Calibri" w:cs="Arial"/>
          <w:szCs w:val="20"/>
        </w:rPr>
      </w:pPr>
      <w:r w:rsidRPr="280C9BAE">
        <w:rPr>
          <w:rFonts w:eastAsia="Verdana" w:cs="Verdana"/>
          <w:szCs w:val="20"/>
        </w:rPr>
        <w:t xml:space="preserve">Policies should </w:t>
      </w:r>
      <w:proofErr w:type="spellStart"/>
      <w:r w:rsidRPr="280C9BAE">
        <w:rPr>
          <w:rFonts w:eastAsia="Verdana" w:cs="Verdana"/>
          <w:szCs w:val="20"/>
        </w:rPr>
        <w:t>prioritise</w:t>
      </w:r>
      <w:proofErr w:type="spellEnd"/>
      <w:r w:rsidRPr="280C9BAE">
        <w:rPr>
          <w:rFonts w:eastAsia="Verdana" w:cs="Verdana"/>
          <w:szCs w:val="20"/>
        </w:rPr>
        <w:t xml:space="preserve"> people with the least resources, affected workers and communities hardest hit by climate change. Cost recovery and incentives should be fair and equitable and there should be target policies and measures that simultaneously cut emissions and provide benefits to people experiencing financial and social disadvantage. </w:t>
      </w:r>
    </w:p>
    <w:p w14:paraId="7C0F95CF" w14:textId="1E8C75E5" w:rsidR="0068094C" w:rsidRPr="00AB466A" w:rsidRDefault="01A27C82" w:rsidP="113BDBC9">
      <w:pPr>
        <w:rPr>
          <w:rFonts w:eastAsia="Verdana" w:cs="Verdana"/>
          <w:b/>
          <w:color w:val="201F1E"/>
          <w:szCs w:val="20"/>
        </w:rPr>
      </w:pPr>
      <w:r w:rsidRPr="00AB466A">
        <w:rPr>
          <w:rFonts w:eastAsia="Verdana" w:cs="Verdana"/>
          <w:b/>
          <w:color w:val="201F1E"/>
          <w:szCs w:val="20"/>
        </w:rPr>
        <w:t>Major recommendations:</w:t>
      </w:r>
    </w:p>
    <w:p w14:paraId="64B63EAD" w14:textId="77777777" w:rsidR="00D14794" w:rsidRPr="00D14794" w:rsidRDefault="00D14794" w:rsidP="00D14794">
      <w:pPr>
        <w:pStyle w:val="ListParagraph"/>
        <w:numPr>
          <w:ilvl w:val="0"/>
          <w:numId w:val="2"/>
        </w:numPr>
        <w:rPr>
          <w:rFonts w:eastAsia="Verdana" w:cs="Verdana"/>
          <w:b/>
          <w:bCs w:val="0"/>
        </w:rPr>
      </w:pPr>
      <w:r w:rsidRPr="00D14794">
        <w:rPr>
          <w:rFonts w:eastAsia="Verdana" w:cs="Verdana"/>
          <w:b/>
          <w:bCs w:val="0"/>
          <w:color w:val="auto"/>
        </w:rPr>
        <w:t>Invest up to $5,000 in energy efficiency improvements per dwelling for 1.8 million low-income homes to cut emissions, energy bills, and create thousands of local jobs.</w:t>
      </w:r>
    </w:p>
    <w:p w14:paraId="6A2120FB" w14:textId="055E9AF7" w:rsidR="280C9BAE" w:rsidRDefault="294F0AC8" w:rsidP="00DD3DC0">
      <w:pPr>
        <w:pStyle w:val="ListParagraph"/>
        <w:numPr>
          <w:ilvl w:val="0"/>
          <w:numId w:val="2"/>
        </w:numPr>
        <w:rPr>
          <w:rFonts w:asciiTheme="minorHAnsi" w:eastAsiaTheme="minorEastAsia" w:hAnsiTheme="minorHAnsi"/>
          <w:b/>
        </w:rPr>
      </w:pPr>
      <w:r w:rsidRPr="294F0AC8">
        <w:rPr>
          <w:rFonts w:eastAsia="Verdana" w:cs="Verdana"/>
          <w:b/>
          <w:color w:val="auto"/>
        </w:rPr>
        <w:t>Establish a First Nations Communities Clean Energy Fund to invest in clean energy and energy efficiency for remote communities.</w:t>
      </w:r>
    </w:p>
    <w:p w14:paraId="2537021A" w14:textId="7769CCCC" w:rsidR="280C9BAE" w:rsidRDefault="294F0AC8" w:rsidP="00DD3DC0">
      <w:pPr>
        <w:pStyle w:val="ListParagraph"/>
        <w:numPr>
          <w:ilvl w:val="0"/>
          <w:numId w:val="2"/>
        </w:numPr>
        <w:rPr>
          <w:rFonts w:asciiTheme="minorHAnsi" w:eastAsiaTheme="minorEastAsia" w:hAnsiTheme="minorHAnsi"/>
          <w:b/>
          <w:sz w:val="19"/>
          <w:szCs w:val="19"/>
        </w:rPr>
      </w:pPr>
      <w:r w:rsidRPr="294F0AC8">
        <w:rPr>
          <w:rFonts w:eastAsia="Verdana" w:cs="Verdana"/>
          <w:b/>
          <w:color w:val="auto"/>
        </w:rPr>
        <w:t>Provide up to $1,000 per household in emergency energy debt relief to reduce energy payment difficulties made worse by COVID.</w:t>
      </w:r>
      <w:r w:rsidRPr="294F0AC8">
        <w:rPr>
          <w:rFonts w:eastAsia="Verdana" w:cs="Verdana"/>
          <w:b/>
          <w:color w:val="CE2028"/>
          <w:sz w:val="19"/>
          <w:szCs w:val="19"/>
        </w:rPr>
        <w:t xml:space="preserve"> </w:t>
      </w:r>
    </w:p>
    <w:p w14:paraId="3E9FC005" w14:textId="5965D88E" w:rsidR="0068094C" w:rsidRDefault="294F0AC8" w:rsidP="00DD3DC0">
      <w:pPr>
        <w:pStyle w:val="ListParagraph"/>
        <w:numPr>
          <w:ilvl w:val="0"/>
          <w:numId w:val="2"/>
        </w:numPr>
        <w:rPr>
          <w:rFonts w:eastAsia="Verdana" w:cs="Verdana"/>
          <w:b/>
        </w:rPr>
      </w:pPr>
      <w:r w:rsidRPr="294F0AC8">
        <w:rPr>
          <w:rFonts w:eastAsia="Verdana" w:cs="Verdana"/>
          <w:b/>
          <w:color w:val="auto"/>
        </w:rPr>
        <w:t>Establish and adequately fund an Energy Transition Authority to provide a fair and inclusive transition for fossil fuel dependent workers and communities.</w:t>
      </w:r>
    </w:p>
    <w:p w14:paraId="11066DB7" w14:textId="10027CFC" w:rsidR="0068094C" w:rsidRDefault="0068094C" w:rsidP="280C9BAE">
      <w:pPr>
        <w:pStyle w:val="List3"/>
        <w:rPr>
          <w:rFonts w:eastAsia="Verdana" w:cs="Verdana"/>
          <w:b/>
          <w:color w:val="auto"/>
          <w:szCs w:val="20"/>
        </w:rPr>
      </w:pPr>
    </w:p>
    <w:p w14:paraId="290DA1D2" w14:textId="6C4EF541" w:rsidR="280C9BAE" w:rsidRDefault="294F0AC8" w:rsidP="001D1B51">
      <w:pPr>
        <w:pStyle w:val="Heading2"/>
      </w:pPr>
      <w:bookmarkStart w:id="355" w:name="_Toc1460532577"/>
      <w:bookmarkStart w:id="356" w:name="_Toc686313794"/>
      <w:bookmarkStart w:id="357" w:name="_Toc529508877"/>
      <w:bookmarkStart w:id="358" w:name="_Toc58838944"/>
      <w:bookmarkStart w:id="359" w:name="_Toc66683351"/>
      <w:bookmarkStart w:id="360" w:name="_Toc415863536"/>
      <w:bookmarkStart w:id="361" w:name="_Toc1561246928"/>
      <w:bookmarkStart w:id="362" w:name="_Toc915693905"/>
      <w:bookmarkStart w:id="363" w:name="_Toc1881734822"/>
      <w:bookmarkStart w:id="364" w:name="_Toc1432906922"/>
      <w:bookmarkStart w:id="365" w:name="_Toc90983359"/>
      <w:bookmarkStart w:id="366" w:name="_Toc90984622"/>
      <w:r w:rsidRPr="294F0AC8">
        <w:t>Healthy, energy efficient homes</w:t>
      </w:r>
      <w:bookmarkEnd w:id="355"/>
      <w:bookmarkEnd w:id="356"/>
      <w:bookmarkEnd w:id="357"/>
      <w:bookmarkEnd w:id="358"/>
      <w:bookmarkEnd w:id="359"/>
      <w:bookmarkEnd w:id="360"/>
      <w:bookmarkEnd w:id="361"/>
      <w:bookmarkEnd w:id="362"/>
      <w:bookmarkEnd w:id="363"/>
      <w:bookmarkEnd w:id="364"/>
      <w:bookmarkEnd w:id="365"/>
      <w:bookmarkEnd w:id="366"/>
    </w:p>
    <w:p w14:paraId="73D1B68B" w14:textId="7E39B5C5" w:rsidR="280C9BAE" w:rsidRDefault="280C9BAE" w:rsidP="280C9BAE">
      <w:pPr>
        <w:spacing w:line="257" w:lineRule="auto"/>
        <w:rPr>
          <w:rFonts w:eastAsia="Calibri" w:cs="Arial"/>
        </w:rPr>
      </w:pPr>
      <w:r w:rsidRPr="06F5CC88">
        <w:rPr>
          <w:rFonts w:eastAsia="Verdana" w:cs="Verdana"/>
        </w:rPr>
        <w:t>The energy efficiency of Australian homes is so poor that millions of people on low</w:t>
      </w:r>
      <w:r w:rsidR="00C73D92">
        <w:rPr>
          <w:rFonts w:eastAsia="Verdana" w:cs="Verdana"/>
        </w:rPr>
        <w:t xml:space="preserve"> </w:t>
      </w:r>
      <w:r w:rsidRPr="06F5CC88">
        <w:rPr>
          <w:rFonts w:eastAsia="Verdana" w:cs="Verdana"/>
        </w:rPr>
        <w:t xml:space="preserve">incomes are getting sick or dying because they cannot afford energy bills and are unable to make their home warm in winter and cool in summer. </w:t>
      </w:r>
    </w:p>
    <w:p w14:paraId="3BF3C6F9" w14:textId="7A4FA55C" w:rsidR="280C9BAE" w:rsidRDefault="294F0AC8" w:rsidP="294F0AC8">
      <w:pPr>
        <w:spacing w:line="257" w:lineRule="auto"/>
        <w:rPr>
          <w:rFonts w:eastAsia="Calibri" w:cs="Arial"/>
        </w:rPr>
      </w:pPr>
      <w:r w:rsidRPr="294F0AC8">
        <w:rPr>
          <w:rFonts w:eastAsia="Verdana" w:cs="Verdana"/>
        </w:rPr>
        <w:t xml:space="preserve">Research shows that improving energy efficiency and productivity of low-income homes </w:t>
      </w:r>
      <w:r w:rsidR="00D14794">
        <w:rPr>
          <w:rFonts w:eastAsia="Verdana" w:cs="Verdana"/>
        </w:rPr>
        <w:t>delivers</w:t>
      </w:r>
      <w:r w:rsidRPr="294F0AC8">
        <w:rPr>
          <w:rFonts w:eastAsia="Verdana" w:cs="Verdana"/>
        </w:rPr>
        <w:t xml:space="preserve"> physical and mental health</w:t>
      </w:r>
      <w:r w:rsidR="00D14794">
        <w:rPr>
          <w:rFonts w:eastAsia="Verdana" w:cs="Verdana"/>
        </w:rPr>
        <w:t xml:space="preserve"> benefits</w:t>
      </w:r>
      <w:r w:rsidRPr="294F0AC8">
        <w:rPr>
          <w:rFonts w:eastAsia="Verdana" w:cs="Verdana"/>
        </w:rPr>
        <w:t>, reduce</w:t>
      </w:r>
      <w:r w:rsidR="00D14794">
        <w:rPr>
          <w:rFonts w:eastAsia="Verdana" w:cs="Verdana"/>
        </w:rPr>
        <w:t>s</w:t>
      </w:r>
      <w:r w:rsidRPr="294F0AC8">
        <w:rPr>
          <w:rFonts w:eastAsia="Verdana" w:cs="Verdana"/>
        </w:rPr>
        <w:t xml:space="preserve"> poverty and emissions, </w:t>
      </w:r>
      <w:r w:rsidR="00D14794">
        <w:rPr>
          <w:rFonts w:eastAsia="Verdana" w:cs="Verdana"/>
        </w:rPr>
        <w:t xml:space="preserve">and </w:t>
      </w:r>
      <w:r w:rsidRPr="294F0AC8">
        <w:rPr>
          <w:rFonts w:eastAsia="Verdana" w:cs="Verdana"/>
        </w:rPr>
        <w:t>generate</w:t>
      </w:r>
      <w:r w:rsidR="00D14794">
        <w:rPr>
          <w:rFonts w:eastAsia="Verdana" w:cs="Verdana"/>
        </w:rPr>
        <w:t>s</w:t>
      </w:r>
      <w:r w:rsidRPr="294F0AC8">
        <w:rPr>
          <w:rFonts w:eastAsia="Verdana" w:cs="Verdana"/>
        </w:rPr>
        <w:t xml:space="preserve"> more than 23,800 jobs nationwide</w:t>
      </w:r>
      <w:r w:rsidR="00D14794">
        <w:rPr>
          <w:rFonts w:eastAsia="Verdana" w:cs="Verdana"/>
        </w:rPr>
        <w:t>,</w:t>
      </w:r>
      <w:r w:rsidRPr="294F0AC8">
        <w:rPr>
          <w:rFonts w:eastAsia="Verdana" w:cs="Verdana"/>
        </w:rPr>
        <w:t xml:space="preserve"> add</w:t>
      </w:r>
      <w:r w:rsidR="00D14794">
        <w:rPr>
          <w:rFonts w:eastAsia="Verdana" w:cs="Verdana"/>
        </w:rPr>
        <w:t>ing</w:t>
      </w:r>
      <w:r w:rsidRPr="294F0AC8">
        <w:rPr>
          <w:rFonts w:eastAsia="Verdana" w:cs="Verdana"/>
        </w:rPr>
        <w:t xml:space="preserve"> $4.9 billion to our economy. Modelling by Deloitte Access Economics found targeting Australia’s most financially </w:t>
      </w:r>
      <w:r w:rsidRPr="294F0AC8">
        <w:rPr>
          <w:rFonts w:eastAsia="Verdana" w:cs="Verdana"/>
        </w:rPr>
        <w:lastRenderedPageBreak/>
        <w:t>disadvantaged households with energy efficiency measures is projected to deliver a 17% higher economic impact than an equivalent program delivered across a broader base.</w:t>
      </w:r>
      <w:r w:rsidR="280C9BAE" w:rsidRPr="294F0AC8">
        <w:rPr>
          <w:rStyle w:val="FootnoteReference"/>
          <w:rFonts w:eastAsia="Verdana" w:cs="Verdana"/>
        </w:rPr>
        <w:footnoteReference w:id="9"/>
      </w:r>
      <w:r w:rsidRPr="294F0AC8">
        <w:rPr>
          <w:rFonts w:eastAsia="Verdana" w:cs="Verdana"/>
        </w:rPr>
        <w:t xml:space="preserve"> </w:t>
      </w:r>
    </w:p>
    <w:p w14:paraId="4451DF96" w14:textId="63068956" w:rsidR="280C9BAE" w:rsidRDefault="280C9BAE" w:rsidP="280C9BAE">
      <w:pPr>
        <w:spacing w:line="257" w:lineRule="auto"/>
        <w:rPr>
          <w:rFonts w:eastAsia="Verdana" w:cs="Verdana"/>
        </w:rPr>
      </w:pPr>
      <w:r w:rsidRPr="294F0AC8">
        <w:rPr>
          <w:rFonts w:eastAsia="Verdana" w:cs="Verdana"/>
        </w:rPr>
        <w:t>ACOSS proposes that the Federal Government work with state and territory governments to invest in improving energy efficiency and/or install</w:t>
      </w:r>
      <w:r w:rsidR="00D14794">
        <w:rPr>
          <w:rFonts w:eastAsia="Verdana" w:cs="Verdana"/>
        </w:rPr>
        <w:t>ing</w:t>
      </w:r>
      <w:r w:rsidRPr="294F0AC8">
        <w:rPr>
          <w:rFonts w:eastAsia="Verdana" w:cs="Verdana"/>
        </w:rPr>
        <w:t xml:space="preserve"> rooftop solar to 1.8 million low-income homes via a National Low-income Energy Productivity Program (NLEPP).</w:t>
      </w:r>
      <w:r w:rsidRPr="294F0AC8">
        <w:rPr>
          <w:rStyle w:val="FootnoteReference"/>
          <w:rFonts w:eastAsia="Verdana" w:cs="Verdana"/>
        </w:rPr>
        <w:footnoteReference w:id="10"/>
      </w:r>
      <w:r w:rsidRPr="294F0AC8">
        <w:rPr>
          <w:rFonts w:eastAsia="Verdana" w:cs="Verdana"/>
        </w:rPr>
        <w:t xml:space="preserve"> This must include public housing, community housing, low-income </w:t>
      </w:r>
      <w:proofErr w:type="gramStart"/>
      <w:r w:rsidR="00D840F5" w:rsidRPr="294F0AC8">
        <w:rPr>
          <w:rFonts w:eastAsia="Verdana" w:cs="Verdana"/>
        </w:rPr>
        <w:t>home</w:t>
      </w:r>
      <w:r w:rsidR="00D840F5">
        <w:rPr>
          <w:rFonts w:eastAsia="Verdana" w:cs="Verdana"/>
        </w:rPr>
        <w:t>owners</w:t>
      </w:r>
      <w:proofErr w:type="gramEnd"/>
      <w:r w:rsidRPr="294F0AC8">
        <w:rPr>
          <w:rFonts w:eastAsia="Verdana" w:cs="Verdana"/>
        </w:rPr>
        <w:t xml:space="preserve"> and low-income rental properties.</w:t>
      </w:r>
    </w:p>
    <w:p w14:paraId="0B41FA32" w14:textId="77777777" w:rsidR="00C73D92" w:rsidRDefault="00C73D92" w:rsidP="280C9BAE">
      <w:pPr>
        <w:spacing w:line="257" w:lineRule="auto"/>
        <w:rPr>
          <w:rFonts w:eastAsia="Verdana" w:cs="Verdana"/>
        </w:rPr>
      </w:pPr>
    </w:p>
    <w:p w14:paraId="50464BE9" w14:textId="2F9F4D10" w:rsidR="0068094C" w:rsidRDefault="294F0AC8" w:rsidP="7B33A330">
      <w:pPr>
        <w:spacing w:line="257" w:lineRule="auto"/>
        <w:rPr>
          <w:rFonts w:eastAsia="Verdana" w:cs="Verdana"/>
        </w:rPr>
      </w:pPr>
      <w:r w:rsidRPr="294F0AC8">
        <w:rPr>
          <w:b/>
          <w:bCs/>
          <w:color w:val="C00000"/>
        </w:rPr>
        <w:t>Recommendation 14:</w:t>
      </w:r>
      <w:r>
        <w:t xml:space="preserve"> </w:t>
      </w:r>
      <w:r w:rsidRPr="294F0AC8">
        <w:rPr>
          <w:b/>
          <w:bCs/>
        </w:rPr>
        <w:t xml:space="preserve">Invest in improving the energy productivity of existing homes for people on low incomes (NLEPP), including: </w:t>
      </w:r>
    </w:p>
    <w:p w14:paraId="23A509DD" w14:textId="1386E5B9" w:rsidR="005B6388" w:rsidRPr="000F66F8" w:rsidRDefault="00D840F5" w:rsidP="00DD3DC0">
      <w:pPr>
        <w:pStyle w:val="ListParagraph"/>
        <w:numPr>
          <w:ilvl w:val="0"/>
          <w:numId w:val="41"/>
        </w:numPr>
        <w:tabs>
          <w:tab w:val="left" w:pos="851"/>
        </w:tabs>
        <w:spacing w:line="257" w:lineRule="auto"/>
        <w:contextualSpacing w:val="0"/>
        <w:rPr>
          <w:rFonts w:asciiTheme="minorHAnsi" w:eastAsiaTheme="minorEastAsia" w:hAnsiTheme="minorHAnsi"/>
          <w:b/>
        </w:rPr>
      </w:pPr>
      <w:r>
        <w:rPr>
          <w:rFonts w:eastAsia="Verdana" w:cs="Verdana"/>
          <w:b/>
        </w:rPr>
        <w:t>m</w:t>
      </w:r>
      <w:r w:rsidR="294F0AC8" w:rsidRPr="000F66F8">
        <w:rPr>
          <w:rFonts w:eastAsia="Verdana" w:cs="Verdana"/>
          <w:b/>
        </w:rPr>
        <w:t xml:space="preserve">atching funds with state/territory governments to invest in energy efficiency upgrades and solar PV installations for public and Indigenous housing dwellings </w:t>
      </w:r>
      <w:r w:rsidR="280C9BAE" w:rsidRPr="000F66F8">
        <w:br/>
      </w:r>
      <w:r w:rsidR="294F0AC8" w:rsidRPr="000F66F8">
        <w:rPr>
          <w:rFonts w:eastAsiaTheme="minorEastAsia"/>
          <w:b/>
          <w:color w:val="auto"/>
        </w:rPr>
        <w:t>Budget impact:</w:t>
      </w:r>
      <w:r w:rsidR="294F0AC8" w:rsidRPr="000F66F8">
        <w:rPr>
          <w:b/>
          <w:color w:val="auto"/>
        </w:rPr>
        <w:t xml:space="preserve"> </w:t>
      </w:r>
      <w:r w:rsidR="294F0AC8" w:rsidRPr="000F66F8">
        <w:rPr>
          <w:rFonts w:eastAsia="Verdana" w:cs="Verdana"/>
          <w:b/>
          <w:i/>
          <w:iCs/>
        </w:rPr>
        <w:t xml:space="preserve">-$150 million (-$230 million in 2023-24). </w:t>
      </w:r>
    </w:p>
    <w:p w14:paraId="1E8C71D4" w14:textId="2BEA6754" w:rsidR="294F0AC8" w:rsidRPr="000F66F8" w:rsidRDefault="294F0AC8" w:rsidP="294F0AC8">
      <w:pPr>
        <w:pStyle w:val="List3"/>
        <w:tabs>
          <w:tab w:val="left" w:pos="851"/>
        </w:tabs>
        <w:rPr>
          <w:rFonts w:eastAsia="Calibri" w:cs="Arial"/>
          <w:szCs w:val="20"/>
        </w:rPr>
      </w:pPr>
    </w:p>
    <w:p w14:paraId="70C5C155" w14:textId="3E9FC258" w:rsidR="005B6388" w:rsidRPr="000F66F8" w:rsidRDefault="00D840F5" w:rsidP="00DD3DC0">
      <w:pPr>
        <w:pStyle w:val="ListParagraph"/>
        <w:numPr>
          <w:ilvl w:val="0"/>
          <w:numId w:val="41"/>
        </w:numPr>
        <w:tabs>
          <w:tab w:val="left" w:pos="851"/>
        </w:tabs>
        <w:spacing w:line="257" w:lineRule="auto"/>
        <w:contextualSpacing w:val="0"/>
        <w:rPr>
          <w:rFonts w:asciiTheme="minorHAnsi" w:eastAsiaTheme="minorEastAsia" w:hAnsiTheme="minorHAnsi"/>
          <w:b/>
        </w:rPr>
      </w:pPr>
      <w:r>
        <w:rPr>
          <w:rFonts w:eastAsia="Verdana" w:cs="Verdana"/>
          <w:b/>
        </w:rPr>
        <w:t>m</w:t>
      </w:r>
      <w:r w:rsidR="294F0AC8" w:rsidRPr="000F66F8">
        <w:rPr>
          <w:rFonts w:eastAsia="Verdana" w:cs="Verdana"/>
          <w:b/>
        </w:rPr>
        <w:t xml:space="preserve">atching funds with state/territory governments to invest in energy efficiency upgrades and solar PV installations for Community Housing </w:t>
      </w:r>
      <w:r w:rsidR="294F0AC8" w:rsidRPr="000F66F8">
        <w:rPr>
          <w:rFonts w:eastAsiaTheme="minorEastAsia"/>
          <w:b/>
          <w:color w:val="auto"/>
        </w:rPr>
        <w:t>Budget impact:</w:t>
      </w:r>
      <w:r w:rsidR="294F0AC8" w:rsidRPr="000F66F8">
        <w:rPr>
          <w:b/>
        </w:rPr>
        <w:t xml:space="preserve"> </w:t>
      </w:r>
      <w:r w:rsidR="294F0AC8" w:rsidRPr="000F66F8">
        <w:rPr>
          <w:rFonts w:eastAsia="Verdana" w:cs="Verdana"/>
          <w:b/>
          <w:i/>
          <w:iCs/>
        </w:rPr>
        <w:t>-$90 million (-$140 million in 2023-24</w:t>
      </w:r>
      <w:r w:rsidR="294F0AC8" w:rsidRPr="000F66F8">
        <w:rPr>
          <w:rFonts w:eastAsia="Verdana" w:cs="Verdana"/>
          <w:b/>
        </w:rPr>
        <w:t>).</w:t>
      </w:r>
      <w:r w:rsidR="280C9BAE" w:rsidRPr="000F66F8">
        <w:br/>
      </w:r>
    </w:p>
    <w:p w14:paraId="79094069" w14:textId="2CAC7D25" w:rsidR="005B6388" w:rsidRPr="000F66F8" w:rsidRDefault="00D840F5" w:rsidP="00DD3DC0">
      <w:pPr>
        <w:pStyle w:val="ListParagraph"/>
        <w:numPr>
          <w:ilvl w:val="0"/>
          <w:numId w:val="41"/>
        </w:numPr>
        <w:tabs>
          <w:tab w:val="left" w:pos="851"/>
        </w:tabs>
        <w:spacing w:line="257" w:lineRule="auto"/>
        <w:contextualSpacing w:val="0"/>
        <w:rPr>
          <w:rFonts w:asciiTheme="minorHAnsi" w:eastAsiaTheme="minorEastAsia" w:hAnsiTheme="minorHAnsi"/>
          <w:b/>
        </w:rPr>
      </w:pPr>
      <w:r>
        <w:rPr>
          <w:rFonts w:eastAsia="Verdana" w:cs="Verdana"/>
          <w:b/>
        </w:rPr>
        <w:t>fu</w:t>
      </w:r>
      <w:r w:rsidR="294F0AC8" w:rsidRPr="000F66F8">
        <w:rPr>
          <w:rFonts w:eastAsia="Verdana" w:cs="Verdana"/>
          <w:b/>
        </w:rPr>
        <w:t xml:space="preserve">nds, managed by third party, to implement energy efficiency upgrades and solar PV installations worth up to $5,000 on the properties of low-income homeowners </w:t>
      </w:r>
      <w:r w:rsidR="280C9BAE" w:rsidRPr="000F66F8">
        <w:br/>
      </w:r>
      <w:r w:rsidR="294F0AC8" w:rsidRPr="000F66F8">
        <w:rPr>
          <w:rFonts w:eastAsiaTheme="minorEastAsia"/>
          <w:b/>
          <w:color w:val="auto"/>
        </w:rPr>
        <w:t xml:space="preserve">Budget impact: </w:t>
      </w:r>
      <w:r w:rsidR="294F0AC8" w:rsidRPr="000F66F8">
        <w:rPr>
          <w:rFonts w:eastAsia="Verdana" w:cs="Verdana"/>
          <w:b/>
          <w:i/>
          <w:iCs/>
        </w:rPr>
        <w:t>-$240 million (-$1,500 million in 2023-24</w:t>
      </w:r>
      <w:r w:rsidR="294F0AC8" w:rsidRPr="000F66F8">
        <w:rPr>
          <w:rFonts w:eastAsia="Verdana" w:cs="Verdana"/>
          <w:b/>
        </w:rPr>
        <w:t>).</w:t>
      </w:r>
      <w:r w:rsidR="280C9BAE" w:rsidRPr="000F66F8">
        <w:br/>
      </w:r>
    </w:p>
    <w:p w14:paraId="231AFA01" w14:textId="273CF737" w:rsidR="005B6388" w:rsidRPr="000F66F8" w:rsidRDefault="00D840F5" w:rsidP="00DD3DC0">
      <w:pPr>
        <w:pStyle w:val="ListParagraph"/>
        <w:numPr>
          <w:ilvl w:val="0"/>
          <w:numId w:val="41"/>
        </w:numPr>
        <w:tabs>
          <w:tab w:val="left" w:pos="851"/>
        </w:tabs>
        <w:spacing w:line="257" w:lineRule="auto"/>
        <w:contextualSpacing w:val="0"/>
        <w:rPr>
          <w:rFonts w:asciiTheme="minorHAnsi" w:eastAsiaTheme="minorEastAsia" w:hAnsiTheme="minorHAnsi"/>
          <w:b/>
        </w:rPr>
      </w:pPr>
      <w:r>
        <w:rPr>
          <w:rFonts w:eastAsia="Verdana" w:cs="Verdana"/>
          <w:b/>
        </w:rPr>
        <w:t>f</w:t>
      </w:r>
      <w:r w:rsidR="294F0AC8" w:rsidRPr="000F66F8">
        <w:rPr>
          <w:rFonts w:eastAsia="Verdana" w:cs="Verdana"/>
          <w:b/>
        </w:rPr>
        <w:t xml:space="preserve">unds, managed by third party, to provide free energy audits for rental properties built before 5-star ratings were introduced and up to $5,000 per dwelling to increase the energy performance of the poorest performing rental properties, </w:t>
      </w:r>
      <w:proofErr w:type="spellStart"/>
      <w:r w:rsidR="294F0AC8" w:rsidRPr="000F66F8">
        <w:rPr>
          <w:rFonts w:eastAsia="Verdana" w:cs="Verdana"/>
          <w:b/>
        </w:rPr>
        <w:t>prioritising</w:t>
      </w:r>
      <w:proofErr w:type="spellEnd"/>
      <w:r w:rsidR="294F0AC8" w:rsidRPr="000F66F8">
        <w:rPr>
          <w:rFonts w:eastAsia="Verdana" w:cs="Verdana"/>
          <w:b/>
        </w:rPr>
        <w:t xml:space="preserve"> properties with low-income tenants </w:t>
      </w:r>
      <w:r w:rsidR="280C9BAE" w:rsidRPr="000F66F8">
        <w:br/>
      </w:r>
      <w:r w:rsidR="294F0AC8" w:rsidRPr="000F66F8">
        <w:rPr>
          <w:rFonts w:eastAsiaTheme="minorEastAsia"/>
          <w:b/>
          <w:color w:val="auto"/>
        </w:rPr>
        <w:t>Budget impact:</w:t>
      </w:r>
      <w:r w:rsidR="294F0AC8" w:rsidRPr="000F66F8">
        <w:rPr>
          <w:b/>
          <w:color w:val="auto"/>
        </w:rPr>
        <w:t xml:space="preserve"> </w:t>
      </w:r>
      <w:r w:rsidR="294F0AC8" w:rsidRPr="000F66F8">
        <w:rPr>
          <w:rFonts w:eastAsia="Verdana" w:cs="Verdana"/>
          <w:b/>
          <w:i/>
          <w:iCs/>
        </w:rPr>
        <w:t>-$90 million (-$540 million in 2023-24</w:t>
      </w:r>
      <w:r w:rsidR="294F0AC8" w:rsidRPr="000F66F8">
        <w:rPr>
          <w:rFonts w:eastAsia="Verdana" w:cs="Verdana"/>
          <w:b/>
        </w:rPr>
        <w:t>).</w:t>
      </w:r>
    </w:p>
    <w:p w14:paraId="2A510357" w14:textId="0B5F9C0B" w:rsidR="005B6388" w:rsidRPr="000F66F8" w:rsidRDefault="005B6388" w:rsidP="280C9BAE">
      <w:pPr>
        <w:spacing w:line="257" w:lineRule="auto"/>
        <w:rPr>
          <w:rFonts w:eastAsia="Verdana" w:cs="Verdana"/>
          <w:b/>
          <w:bCs/>
          <w:color w:val="C00000"/>
          <w:szCs w:val="20"/>
        </w:rPr>
      </w:pPr>
    </w:p>
    <w:p w14:paraId="50CCF66C" w14:textId="143F52A5" w:rsidR="005B6388" w:rsidRDefault="294F0AC8" w:rsidP="294F0AC8">
      <w:pPr>
        <w:spacing w:line="257" w:lineRule="auto"/>
        <w:rPr>
          <w:rFonts w:eastAsia="Verdana" w:cs="Verdana"/>
          <w:b/>
          <w:bCs/>
          <w:i/>
          <w:iCs/>
          <w:color w:val="auto"/>
        </w:rPr>
      </w:pPr>
      <w:r w:rsidRPr="294F0AC8">
        <w:rPr>
          <w:rFonts w:eastAsia="Verdana" w:cs="Verdana"/>
          <w:b/>
          <w:bCs/>
          <w:color w:val="C00000"/>
        </w:rPr>
        <w:t xml:space="preserve">Budget impact: </w:t>
      </w:r>
      <w:r w:rsidRPr="294F0AC8">
        <w:rPr>
          <w:rFonts w:eastAsia="Verdana" w:cs="Verdana"/>
          <w:b/>
          <w:bCs/>
          <w:i/>
          <w:iCs/>
          <w:color w:val="auto"/>
        </w:rPr>
        <w:t>- $580 million (- $2,400 million in 2023-24)</w:t>
      </w:r>
    </w:p>
    <w:p w14:paraId="5C52467A" w14:textId="77777777" w:rsidR="00C73D92" w:rsidRPr="00A223A0" w:rsidRDefault="00C73D92" w:rsidP="294F0AC8">
      <w:pPr>
        <w:spacing w:line="257" w:lineRule="auto"/>
      </w:pPr>
    </w:p>
    <w:p w14:paraId="6CBA1497" w14:textId="45BC3334" w:rsidR="280C9BAE" w:rsidRDefault="294F0AC8" w:rsidP="001D1B51">
      <w:pPr>
        <w:pStyle w:val="Heading2"/>
        <w:rPr>
          <w:rFonts w:eastAsia="Verdana" w:cs="Verdana"/>
        </w:rPr>
      </w:pPr>
      <w:bookmarkStart w:id="367" w:name="_Toc1706170697"/>
      <w:bookmarkStart w:id="368" w:name="_Toc1763573307"/>
      <w:bookmarkStart w:id="369" w:name="_Toc1123976808"/>
      <w:bookmarkStart w:id="370" w:name="_Toc1772371701"/>
      <w:bookmarkStart w:id="371" w:name="_Toc1880153913"/>
      <w:bookmarkStart w:id="372" w:name="_Toc1739622611"/>
      <w:bookmarkStart w:id="373" w:name="_Toc415037285"/>
      <w:bookmarkStart w:id="374" w:name="_Toc243332240"/>
      <w:bookmarkStart w:id="375" w:name="_Toc1280055202"/>
      <w:bookmarkStart w:id="376" w:name="_Toc1895324792"/>
      <w:bookmarkStart w:id="377" w:name="_Toc90983360"/>
      <w:bookmarkStart w:id="378" w:name="_Toc90984623"/>
      <w:r w:rsidRPr="294F0AC8">
        <w:t>Clean, affordable, reliable energy for First Nations’ communities</w:t>
      </w:r>
      <w:bookmarkEnd w:id="367"/>
      <w:bookmarkEnd w:id="368"/>
      <w:bookmarkEnd w:id="369"/>
      <w:bookmarkEnd w:id="370"/>
      <w:bookmarkEnd w:id="371"/>
      <w:bookmarkEnd w:id="372"/>
      <w:bookmarkEnd w:id="373"/>
      <w:bookmarkEnd w:id="374"/>
      <w:bookmarkEnd w:id="375"/>
      <w:bookmarkEnd w:id="376"/>
      <w:bookmarkEnd w:id="377"/>
      <w:bookmarkEnd w:id="378"/>
    </w:p>
    <w:p w14:paraId="7750B918" w14:textId="3AF2DBCC" w:rsidR="000B50DA" w:rsidRDefault="280C9BAE" w:rsidP="280C9BAE">
      <w:pPr>
        <w:spacing w:line="257" w:lineRule="auto"/>
        <w:rPr>
          <w:rFonts w:eastAsia="Calibri" w:cs="Arial"/>
          <w:szCs w:val="20"/>
        </w:rPr>
      </w:pPr>
      <w:r w:rsidRPr="280C9BAE">
        <w:rPr>
          <w:rFonts w:eastAsia="Verdana" w:cs="Verdana"/>
        </w:rPr>
        <w:t xml:space="preserve">Regional and remote First Nations’ communities </w:t>
      </w:r>
      <w:r w:rsidR="00D840F5" w:rsidRPr="280C9BAE">
        <w:rPr>
          <w:rFonts w:eastAsia="Verdana" w:cs="Verdana"/>
        </w:rPr>
        <w:t>must</w:t>
      </w:r>
      <w:r w:rsidR="00D840F5">
        <w:rPr>
          <w:rFonts w:eastAsia="Verdana" w:cs="Verdana"/>
        </w:rPr>
        <w:t xml:space="preserve"> often</w:t>
      </w:r>
      <w:r w:rsidRPr="280C9BAE">
        <w:rPr>
          <w:rFonts w:eastAsia="Verdana" w:cs="Verdana"/>
        </w:rPr>
        <w:t xml:space="preserve"> rely on expensive carbon-intensive diesel</w:t>
      </w:r>
      <w:r w:rsidR="00D840F5">
        <w:rPr>
          <w:rFonts w:eastAsia="Verdana" w:cs="Verdana"/>
        </w:rPr>
        <w:t xml:space="preserve"> and pre-paid meters and</w:t>
      </w:r>
      <w:r w:rsidRPr="280C9BAE">
        <w:rPr>
          <w:rFonts w:eastAsia="Verdana" w:cs="Verdana"/>
        </w:rPr>
        <w:t xml:space="preserve"> live in inefficient </w:t>
      </w:r>
      <w:r w:rsidR="00D840F5" w:rsidRPr="280C9BAE">
        <w:rPr>
          <w:rFonts w:eastAsia="Verdana" w:cs="Verdana"/>
        </w:rPr>
        <w:t>homes</w:t>
      </w:r>
      <w:r w:rsidRPr="280C9BAE">
        <w:rPr>
          <w:rFonts w:eastAsia="Verdana" w:cs="Verdana"/>
        </w:rPr>
        <w:t>. The energy available is generally polluting, expensive and unreliable. As a result, these First Nations communities are severely impacted by climate change and a poorly managed transition to clean energy.</w:t>
      </w:r>
    </w:p>
    <w:p w14:paraId="2126670F" w14:textId="5BD310FD" w:rsidR="000B50DA" w:rsidRDefault="280C9BAE" w:rsidP="280C9BAE">
      <w:pPr>
        <w:spacing w:line="257" w:lineRule="auto"/>
        <w:rPr>
          <w:rFonts w:eastAsia="Verdana" w:cs="Verdana"/>
        </w:rPr>
      </w:pPr>
      <w:r w:rsidRPr="280C9BAE">
        <w:rPr>
          <w:rFonts w:eastAsia="Verdana" w:cs="Verdana"/>
        </w:rPr>
        <w:lastRenderedPageBreak/>
        <w:t xml:space="preserve">Investing in First </w:t>
      </w:r>
      <w:proofErr w:type="gramStart"/>
      <w:r w:rsidRPr="280C9BAE">
        <w:rPr>
          <w:rFonts w:eastAsia="Verdana" w:cs="Verdana"/>
        </w:rPr>
        <w:t>Nations’</w:t>
      </w:r>
      <w:proofErr w:type="gramEnd"/>
      <w:r w:rsidRPr="280C9BAE">
        <w:rPr>
          <w:rFonts w:eastAsia="Verdana" w:cs="Verdana"/>
        </w:rPr>
        <w:t xml:space="preserve"> managed renewable energy and battery storage to replace diesel, </w:t>
      </w:r>
      <w:r w:rsidR="00D840F5">
        <w:rPr>
          <w:rFonts w:eastAsia="Verdana" w:cs="Verdana"/>
        </w:rPr>
        <w:t>as well as</w:t>
      </w:r>
      <w:r w:rsidRPr="280C9BAE">
        <w:rPr>
          <w:rFonts w:eastAsia="Verdana" w:cs="Verdana"/>
        </w:rPr>
        <w:t xml:space="preserve"> home energy efficiency and rooftop solar</w:t>
      </w:r>
      <w:r w:rsidR="00D840F5">
        <w:rPr>
          <w:rFonts w:eastAsia="Verdana" w:cs="Verdana"/>
        </w:rPr>
        <w:t>,</w:t>
      </w:r>
      <w:r w:rsidRPr="280C9BAE">
        <w:rPr>
          <w:rFonts w:eastAsia="Verdana" w:cs="Verdana"/>
        </w:rPr>
        <w:t xml:space="preserve"> would not only reduce carbon emissions, but also energy bills. It would create </w:t>
      </w:r>
      <w:r w:rsidR="00D840F5">
        <w:rPr>
          <w:rFonts w:eastAsia="Verdana" w:cs="Verdana"/>
        </w:rPr>
        <w:t xml:space="preserve">local </w:t>
      </w:r>
      <w:r w:rsidRPr="280C9BAE">
        <w:rPr>
          <w:rFonts w:eastAsia="Verdana" w:cs="Verdana"/>
        </w:rPr>
        <w:t xml:space="preserve">jobs, and improve health and wellbeing, contributing to </w:t>
      </w:r>
      <w:r w:rsidR="00D840F5" w:rsidRPr="280C9BAE">
        <w:rPr>
          <w:rFonts w:eastAsia="Verdana" w:cs="Verdana"/>
        </w:rPr>
        <w:t>several</w:t>
      </w:r>
      <w:r w:rsidRPr="280C9BAE">
        <w:rPr>
          <w:rFonts w:eastAsia="Verdana" w:cs="Verdana"/>
        </w:rPr>
        <w:t xml:space="preserve"> Close the Gap metrics.</w:t>
      </w:r>
    </w:p>
    <w:p w14:paraId="59C7859D" w14:textId="5B378220" w:rsidR="000B50DA" w:rsidRDefault="280C9BAE" w:rsidP="280C9BAE">
      <w:pPr>
        <w:spacing w:line="257" w:lineRule="auto"/>
        <w:rPr>
          <w:rFonts w:eastAsia="Verdana" w:cs="Verdana"/>
        </w:rPr>
      </w:pPr>
      <w:r w:rsidRPr="280C9BAE">
        <w:rPr>
          <w:rFonts w:eastAsia="Verdana" w:cs="Verdana"/>
        </w:rPr>
        <w:t xml:space="preserve">The Federal Government has previously jointly funded a $55 million program with the Northern Territory Government to provide 10 megawatts of solar and battery to 28 different remote communities to reduce diesel-use by 15%. In consultation and collaboration with First Nations’ communities, this type of program needs to be expanded to include housing level energy efficiency and access to rooftop solar, and then scaled up to reach more communities. </w:t>
      </w:r>
    </w:p>
    <w:p w14:paraId="539ACA5E" w14:textId="34C722C4" w:rsidR="000B50DA" w:rsidRDefault="294F0AC8" w:rsidP="280C9BAE">
      <w:pPr>
        <w:spacing w:line="257" w:lineRule="auto"/>
      </w:pPr>
      <w:r w:rsidRPr="294F0AC8">
        <w:rPr>
          <w:rFonts w:eastAsia="Verdana" w:cs="Verdana"/>
        </w:rPr>
        <w:t xml:space="preserve"> </w:t>
      </w:r>
      <w:r w:rsidRPr="294F0AC8">
        <w:rPr>
          <w:rFonts w:eastAsia="Verdana" w:cs="Verdana"/>
          <w:b/>
          <w:bCs/>
          <w:color w:val="C00000"/>
        </w:rPr>
        <w:t>Recommendation 15:</w:t>
      </w:r>
      <w:r w:rsidRPr="294F0AC8">
        <w:rPr>
          <w:rFonts w:eastAsia="Verdana" w:cs="Verdana"/>
          <w:b/>
          <w:bCs/>
          <w:color w:val="CE2028"/>
        </w:rPr>
        <w:t xml:space="preserve"> </w:t>
      </w:r>
      <w:r w:rsidRPr="294F0AC8">
        <w:rPr>
          <w:rFonts w:eastAsia="Verdana" w:cs="Verdana"/>
          <w:b/>
          <w:bCs/>
          <w:color w:val="auto"/>
        </w:rPr>
        <w:t>Establish a First Nations’ Communities Clean Energy Fund to invest in clean energy and energy efficiency for remote communities.</w:t>
      </w:r>
    </w:p>
    <w:p w14:paraId="2BB2FAAF" w14:textId="4079659B" w:rsidR="000B50DA" w:rsidRDefault="280C9BAE" w:rsidP="280C9BAE">
      <w:r w:rsidRPr="280C9BAE">
        <w:rPr>
          <w:rFonts w:eastAsia="Verdana" w:cs="Verdana"/>
          <w:b/>
          <w:bCs/>
          <w:color w:val="C00000"/>
          <w:szCs w:val="20"/>
        </w:rPr>
        <w:t>Budget impact:</w:t>
      </w:r>
      <w:r w:rsidRPr="280C9BAE">
        <w:rPr>
          <w:rFonts w:eastAsia="Verdana" w:cs="Verdana"/>
          <w:color w:val="C00000"/>
          <w:szCs w:val="20"/>
        </w:rPr>
        <w:t xml:space="preserve"> </w:t>
      </w:r>
      <w:r w:rsidRPr="280C9BAE">
        <w:rPr>
          <w:rFonts w:eastAsia="Verdana" w:cs="Verdana"/>
          <w:b/>
          <w:bCs/>
          <w:i/>
          <w:iCs/>
          <w:szCs w:val="20"/>
        </w:rPr>
        <w:t>-$500 million (-$500 million in 2023-24)</w:t>
      </w:r>
    </w:p>
    <w:p w14:paraId="670B496B" w14:textId="7E3A14DF" w:rsidR="000B50DA" w:rsidRDefault="000B50DA" w:rsidP="280C9BAE">
      <w:pPr>
        <w:pStyle w:val="Recommendation"/>
        <w:rPr>
          <w:rFonts w:eastAsia="Calibri" w:cs="Arial"/>
          <w:szCs w:val="20"/>
        </w:rPr>
      </w:pPr>
    </w:p>
    <w:p w14:paraId="158381ED" w14:textId="46E2A717" w:rsidR="2E9C4924" w:rsidRDefault="294F0AC8" w:rsidP="001D1B51">
      <w:pPr>
        <w:pStyle w:val="Heading2"/>
      </w:pPr>
      <w:bookmarkStart w:id="379" w:name="_Toc1068347050"/>
      <w:bookmarkStart w:id="380" w:name="_Toc1651312699"/>
      <w:bookmarkStart w:id="381" w:name="_Toc984992953"/>
      <w:bookmarkStart w:id="382" w:name="_Toc1171520545"/>
      <w:bookmarkStart w:id="383" w:name="_Toc1961957585"/>
      <w:bookmarkStart w:id="384" w:name="_Toc1735334416"/>
      <w:bookmarkStart w:id="385" w:name="_Toc1686007328"/>
      <w:bookmarkStart w:id="386" w:name="_Toc1621350296"/>
      <w:bookmarkStart w:id="387" w:name="_Toc698458134"/>
      <w:bookmarkStart w:id="388" w:name="_Toc850129505"/>
      <w:bookmarkStart w:id="389" w:name="_Toc90983361"/>
      <w:bookmarkStart w:id="390" w:name="_Toc90984624"/>
      <w:r>
        <w:t>Provide emergency energy debt relief</w:t>
      </w:r>
      <w:bookmarkEnd w:id="379"/>
      <w:bookmarkEnd w:id="380"/>
      <w:bookmarkEnd w:id="381"/>
      <w:bookmarkEnd w:id="382"/>
      <w:bookmarkEnd w:id="383"/>
      <w:bookmarkEnd w:id="384"/>
      <w:bookmarkEnd w:id="385"/>
      <w:bookmarkEnd w:id="386"/>
      <w:bookmarkEnd w:id="387"/>
      <w:bookmarkEnd w:id="388"/>
      <w:bookmarkEnd w:id="389"/>
      <w:bookmarkEnd w:id="390"/>
    </w:p>
    <w:p w14:paraId="0A6A32EA" w14:textId="77777777" w:rsidR="00C73D92" w:rsidRDefault="00C73D92" w:rsidP="006104B1">
      <w:pPr>
        <w:rPr>
          <w:color w:val="auto"/>
          <w:szCs w:val="20"/>
        </w:rPr>
      </w:pPr>
    </w:p>
    <w:p w14:paraId="2E3C95C5" w14:textId="5B669B8C" w:rsidR="006104B1" w:rsidRPr="006104B1" w:rsidRDefault="280C9BAE" w:rsidP="006104B1">
      <w:pPr>
        <w:rPr>
          <w:color w:val="auto"/>
          <w:szCs w:val="20"/>
        </w:rPr>
      </w:pPr>
      <w:r w:rsidRPr="280C9BAE">
        <w:rPr>
          <w:color w:val="auto"/>
          <w:szCs w:val="20"/>
        </w:rPr>
        <w:t xml:space="preserve">A combination of people experiencing financial stress and spending more time at home because of the pandemic has resulted in increasing energy bill debt. </w:t>
      </w:r>
    </w:p>
    <w:p w14:paraId="315A519A" w14:textId="704F0AC2" w:rsidR="280C9BAE" w:rsidRDefault="280C9BAE" w:rsidP="280C9BAE">
      <w:pPr>
        <w:rPr>
          <w:rFonts w:eastAsia="Calibri" w:cs="Arial"/>
          <w:color w:val="auto"/>
          <w:szCs w:val="20"/>
        </w:rPr>
      </w:pPr>
      <w:r w:rsidRPr="294F0AC8">
        <w:rPr>
          <w:rFonts w:eastAsia="Verdana" w:cs="Verdana"/>
          <w:color w:val="auto"/>
        </w:rPr>
        <w:t>Data from the Australian Energy Regulator released in December 2021</w:t>
      </w:r>
      <w:r w:rsidRPr="294F0AC8">
        <w:rPr>
          <w:rStyle w:val="FootnoteReference"/>
          <w:rFonts w:eastAsia="Verdana" w:cs="Verdana"/>
          <w:color w:val="auto"/>
        </w:rPr>
        <w:footnoteReference w:id="11"/>
      </w:r>
      <w:r w:rsidRPr="294F0AC8">
        <w:rPr>
          <w:rFonts w:eastAsia="Verdana" w:cs="Verdana"/>
          <w:color w:val="auto"/>
        </w:rPr>
        <w:t xml:space="preserve"> show average household energy debt for gas and electricity </w:t>
      </w:r>
      <w:r w:rsidR="00363E26">
        <w:rPr>
          <w:rFonts w:eastAsia="Verdana" w:cs="Verdana"/>
          <w:color w:val="auto"/>
        </w:rPr>
        <w:t>rose</w:t>
      </w:r>
      <w:r w:rsidRPr="294F0AC8">
        <w:rPr>
          <w:rFonts w:eastAsia="Verdana" w:cs="Verdana"/>
          <w:color w:val="auto"/>
        </w:rPr>
        <w:t xml:space="preserve"> by 12% from $897 in 2019–20 to $1,000 in 2020–21</w:t>
      </w:r>
      <w:r w:rsidR="00862BAE">
        <w:rPr>
          <w:rFonts w:eastAsia="Verdana" w:cs="Verdana"/>
          <w:color w:val="auto"/>
        </w:rPr>
        <w:t xml:space="preserve">. The </w:t>
      </w:r>
      <w:r w:rsidRPr="294F0AC8">
        <w:rPr>
          <w:rFonts w:eastAsia="Verdana" w:cs="Verdana"/>
          <w:color w:val="auto"/>
        </w:rPr>
        <w:t>average electricity debt for a customer upon entry into their retailer’s hardship program grew 21% over the same period from $1,304 to $1,584.</w:t>
      </w:r>
    </w:p>
    <w:p w14:paraId="71062F6D" w14:textId="7CB97D75" w:rsidR="280C9BAE" w:rsidRDefault="294F0AC8" w:rsidP="294F0AC8">
      <w:pPr>
        <w:rPr>
          <w:rFonts w:eastAsia="Verdana" w:cs="Verdana"/>
          <w:color w:val="auto"/>
        </w:rPr>
      </w:pPr>
      <w:r w:rsidRPr="294F0AC8">
        <w:rPr>
          <w:rFonts w:eastAsia="Verdana" w:cs="Verdana"/>
          <w:color w:val="auto"/>
        </w:rPr>
        <w:t>People who are locked out of paid work living on $45 a day in inefficient homes have little hope of repaying a $1,500 energy debt</w:t>
      </w:r>
      <w:r w:rsidR="00862BAE">
        <w:rPr>
          <w:rFonts w:eastAsia="Verdana" w:cs="Verdana"/>
          <w:color w:val="auto"/>
        </w:rPr>
        <w:t>. They</w:t>
      </w:r>
      <w:r w:rsidRPr="294F0AC8">
        <w:rPr>
          <w:rFonts w:eastAsia="Verdana" w:cs="Verdana"/>
          <w:color w:val="auto"/>
        </w:rPr>
        <w:t xml:space="preserve"> will struggle to afford their next energy bill, let alone be able to cool their home during summer heatwaves. </w:t>
      </w:r>
    </w:p>
    <w:p w14:paraId="4F3DD7E7" w14:textId="1DC9109C" w:rsidR="280C9BAE" w:rsidRDefault="280C9BAE" w:rsidP="280C9BAE">
      <w:pPr>
        <w:rPr>
          <w:rFonts w:eastAsia="Verdana" w:cs="Verdana"/>
          <w:color w:val="auto"/>
          <w:szCs w:val="20"/>
        </w:rPr>
      </w:pPr>
      <w:r w:rsidRPr="280C9BAE">
        <w:rPr>
          <w:rFonts w:eastAsia="Verdana" w:cs="Verdana"/>
          <w:color w:val="auto"/>
          <w:szCs w:val="20"/>
        </w:rPr>
        <w:t>People on low</w:t>
      </w:r>
      <w:r w:rsidR="00862BAE">
        <w:rPr>
          <w:rFonts w:eastAsia="Verdana" w:cs="Verdana"/>
          <w:color w:val="auto"/>
          <w:szCs w:val="20"/>
        </w:rPr>
        <w:t xml:space="preserve"> </w:t>
      </w:r>
      <w:r w:rsidRPr="280C9BAE">
        <w:rPr>
          <w:rFonts w:eastAsia="Verdana" w:cs="Verdana"/>
          <w:color w:val="auto"/>
          <w:szCs w:val="20"/>
        </w:rPr>
        <w:t xml:space="preserve">incomes are already depriving themselves of energy by not cooling homes, not </w:t>
      </w:r>
      <w:proofErr w:type="gramStart"/>
      <w:r w:rsidRPr="280C9BAE">
        <w:rPr>
          <w:rFonts w:eastAsia="Verdana" w:cs="Verdana"/>
          <w:color w:val="auto"/>
          <w:szCs w:val="20"/>
        </w:rPr>
        <w:t>cooking</w:t>
      </w:r>
      <w:proofErr w:type="gramEnd"/>
      <w:r w:rsidRPr="280C9BAE">
        <w:rPr>
          <w:rFonts w:eastAsia="Verdana" w:cs="Verdana"/>
          <w:color w:val="auto"/>
          <w:szCs w:val="20"/>
        </w:rPr>
        <w:t xml:space="preserve"> or using hot water, and going without food or medicines to afford their energy bills, which is seriously affecting their health and wellbeing.</w:t>
      </w:r>
    </w:p>
    <w:p w14:paraId="3EC27E63" w14:textId="054DA50F" w:rsidR="280C9BAE" w:rsidRDefault="280C9BAE" w:rsidP="280C9BAE">
      <w:pPr>
        <w:rPr>
          <w:rFonts w:eastAsia="Verdana" w:cs="Verdana"/>
          <w:color w:val="auto"/>
          <w:szCs w:val="20"/>
        </w:rPr>
      </w:pPr>
      <w:r w:rsidRPr="280C9BAE">
        <w:rPr>
          <w:rFonts w:eastAsia="Verdana" w:cs="Verdana"/>
          <w:color w:val="auto"/>
          <w:szCs w:val="20"/>
        </w:rPr>
        <w:t>Direct assistance by government is needed before debt spirals out of control and becomes more unmanageable.</w:t>
      </w:r>
    </w:p>
    <w:p w14:paraId="1E2B0F95" w14:textId="272FE173" w:rsidR="280C9BAE" w:rsidRDefault="280C9BAE" w:rsidP="280C9BAE">
      <w:pPr>
        <w:rPr>
          <w:rFonts w:eastAsia="Verdana" w:cs="Verdana"/>
          <w:color w:val="143156"/>
          <w:szCs w:val="20"/>
        </w:rPr>
      </w:pPr>
      <w:r w:rsidRPr="280C9BAE">
        <w:rPr>
          <w:rFonts w:eastAsia="Verdana" w:cs="Verdana"/>
          <w:color w:val="auto"/>
          <w:szCs w:val="20"/>
        </w:rPr>
        <w:t xml:space="preserve">To immediately reduce debt, we are calling on the Federal Government provide </w:t>
      </w:r>
      <w:r w:rsidRPr="280C9BAE">
        <w:rPr>
          <w:rFonts w:eastAsia="Verdana" w:cs="Verdana"/>
          <w:szCs w:val="20"/>
        </w:rPr>
        <w:t>additional short-term (up to 12 months) financial support of up to $1,000 per person experiencing payment difficulties and energy debt</w:t>
      </w:r>
      <w:r w:rsidRPr="280C9BAE">
        <w:rPr>
          <w:rFonts w:eastAsia="Verdana" w:cs="Verdana"/>
          <w:color w:val="143156"/>
          <w:szCs w:val="20"/>
        </w:rPr>
        <w:t>.</w:t>
      </w:r>
    </w:p>
    <w:p w14:paraId="72E8B338" w14:textId="77777777" w:rsidR="00C73D92" w:rsidRDefault="00C73D92" w:rsidP="280C9BAE">
      <w:pPr>
        <w:rPr>
          <w:rFonts w:eastAsia="Calibri" w:cs="Arial"/>
          <w:szCs w:val="20"/>
        </w:rPr>
      </w:pPr>
    </w:p>
    <w:p w14:paraId="1679AC76" w14:textId="01945174" w:rsidR="2BD58AD2" w:rsidRDefault="294F0AC8" w:rsidP="7B33A330">
      <w:pPr>
        <w:pStyle w:val="Recommendation"/>
        <w:rPr>
          <w:b w:val="0"/>
          <w:color w:val="000000" w:themeColor="text1"/>
        </w:rPr>
      </w:pPr>
      <w:r w:rsidRPr="294F0AC8">
        <w:rPr>
          <w:color w:val="C00000"/>
        </w:rPr>
        <w:t>Recommendation 16:</w:t>
      </w:r>
      <w:r>
        <w:t xml:space="preserve"> </w:t>
      </w:r>
      <w:r w:rsidRPr="294F0AC8">
        <w:rPr>
          <w:rFonts w:eastAsia="Verdana" w:cs="Verdana"/>
          <w:color w:val="000000" w:themeColor="text1"/>
        </w:rPr>
        <w:t xml:space="preserve">Provide additional short-term (up to 12 months) financial support (in recognition of additional hardship bought on by COVID-19), via an emergency payment allowance to customers in hardship arrangements. </w:t>
      </w:r>
    </w:p>
    <w:p w14:paraId="257937EC" w14:textId="3BD26F21" w:rsidR="7B33A330" w:rsidRDefault="006104B1" w:rsidP="006104B1">
      <w:pPr>
        <w:pStyle w:val="Recommendation"/>
        <w:tabs>
          <w:tab w:val="clear" w:pos="567"/>
          <w:tab w:val="left" w:pos="5550"/>
        </w:tabs>
        <w:rPr>
          <w:color w:val="000000" w:themeColor="text1"/>
        </w:rPr>
      </w:pPr>
      <w:r>
        <w:rPr>
          <w:color w:val="000000" w:themeColor="text1"/>
        </w:rPr>
        <w:tab/>
      </w:r>
    </w:p>
    <w:p w14:paraId="6AFBF517" w14:textId="47E41523" w:rsidR="280C9BAE" w:rsidRDefault="280C9BAE">
      <w:r w:rsidRPr="280C9BAE">
        <w:rPr>
          <w:rFonts w:eastAsia="Verdana" w:cs="Verdana"/>
          <w:b/>
          <w:bCs/>
          <w:color w:val="C00000"/>
          <w:szCs w:val="20"/>
        </w:rPr>
        <w:t>Budget impact:</w:t>
      </w:r>
      <w:r w:rsidRPr="280C9BAE">
        <w:rPr>
          <w:rFonts w:eastAsia="Verdana" w:cs="Verdana"/>
          <w:color w:val="C00000"/>
          <w:szCs w:val="20"/>
        </w:rPr>
        <w:t xml:space="preserve"> </w:t>
      </w:r>
      <w:r w:rsidRPr="280C9BAE">
        <w:rPr>
          <w:rFonts w:eastAsia="Verdana" w:cs="Verdana"/>
          <w:b/>
          <w:bCs/>
          <w:i/>
          <w:iCs/>
          <w:szCs w:val="20"/>
        </w:rPr>
        <w:t xml:space="preserve">-$230 million </w:t>
      </w:r>
    </w:p>
    <w:p w14:paraId="4584F577" w14:textId="7E2FAA13" w:rsidR="280C9BAE" w:rsidRDefault="280C9BAE" w:rsidP="280C9BAE">
      <w:pPr>
        <w:rPr>
          <w:rFonts w:eastAsia="Calibri" w:cs="Arial"/>
          <w:b/>
          <w:bCs/>
          <w:i/>
          <w:iCs/>
          <w:szCs w:val="20"/>
        </w:rPr>
      </w:pPr>
    </w:p>
    <w:p w14:paraId="3C7C73DB" w14:textId="5301104E" w:rsidR="280C9BAE" w:rsidRDefault="294F0AC8" w:rsidP="001D1B51">
      <w:pPr>
        <w:pStyle w:val="Heading2"/>
      </w:pPr>
      <w:bookmarkStart w:id="391" w:name="_Toc1888219915"/>
      <w:bookmarkStart w:id="392" w:name="_Toc1256722776"/>
      <w:bookmarkStart w:id="393" w:name="_Toc364064838"/>
      <w:bookmarkStart w:id="394" w:name="_Toc666705682"/>
      <w:bookmarkStart w:id="395" w:name="_Toc766399680"/>
      <w:bookmarkStart w:id="396" w:name="_Toc1713157807"/>
      <w:bookmarkStart w:id="397" w:name="_Toc204268440"/>
      <w:bookmarkStart w:id="398" w:name="_Toc1834719748"/>
      <w:bookmarkStart w:id="399" w:name="_Toc1627975391"/>
      <w:bookmarkStart w:id="400" w:name="_Toc1111669227"/>
      <w:bookmarkStart w:id="401" w:name="_Toc90983362"/>
      <w:bookmarkStart w:id="402" w:name="_Toc90984625"/>
      <w:r>
        <w:lastRenderedPageBreak/>
        <w:t>Fair and inclusive transition for fossil fuel dependent workers and communities</w:t>
      </w:r>
      <w:bookmarkEnd w:id="391"/>
      <w:bookmarkEnd w:id="392"/>
      <w:bookmarkEnd w:id="393"/>
      <w:bookmarkEnd w:id="394"/>
      <w:bookmarkEnd w:id="395"/>
      <w:bookmarkEnd w:id="396"/>
      <w:bookmarkEnd w:id="397"/>
      <w:bookmarkEnd w:id="398"/>
      <w:bookmarkEnd w:id="399"/>
      <w:bookmarkEnd w:id="400"/>
      <w:bookmarkEnd w:id="401"/>
      <w:bookmarkEnd w:id="402"/>
    </w:p>
    <w:p w14:paraId="21C7AFD9" w14:textId="6D8468E6" w:rsidR="280C9BAE" w:rsidRDefault="280C9BAE" w:rsidP="280C9BAE">
      <w:pPr>
        <w:spacing w:line="257" w:lineRule="auto"/>
      </w:pPr>
      <w:r w:rsidRPr="280C9BAE">
        <w:rPr>
          <w:rFonts w:eastAsia="Verdana" w:cs="Verdana"/>
          <w:szCs w:val="20"/>
        </w:rPr>
        <w:t xml:space="preserve">Some workers and communities could experience negative effects from our response to climate change, such as people who depend heavily on burning or extracting fossil fuels. However, if we have a planned and well managed transition co-designed with workers and the local community, we can appropriately support affected workers, create thousands of new </w:t>
      </w:r>
      <w:r w:rsidR="00862BAE" w:rsidRPr="280C9BAE">
        <w:rPr>
          <w:rFonts w:eastAsia="Verdana" w:cs="Verdana"/>
          <w:szCs w:val="20"/>
        </w:rPr>
        <w:t>jobs,</w:t>
      </w:r>
      <w:r w:rsidRPr="280C9BAE">
        <w:rPr>
          <w:rFonts w:eastAsia="Verdana" w:cs="Verdana"/>
          <w:szCs w:val="20"/>
        </w:rPr>
        <w:t xml:space="preserve"> and revive and transform regional towns.</w:t>
      </w:r>
    </w:p>
    <w:p w14:paraId="405BC076" w14:textId="2DD323AC" w:rsidR="280C9BAE" w:rsidRDefault="280C9BAE" w:rsidP="280C9BAE">
      <w:pPr>
        <w:spacing w:line="257" w:lineRule="auto"/>
        <w:rPr>
          <w:rFonts w:eastAsia="Verdana" w:cs="Verdana"/>
        </w:rPr>
      </w:pPr>
      <w:r w:rsidRPr="2602F1D6">
        <w:rPr>
          <w:rFonts w:eastAsia="Verdana" w:cs="Verdana"/>
        </w:rPr>
        <w:t>Creating jobs will not be enough to ensure that all affected workers and communities are benefitting from the transition. A broader energy transition plan is needed</w:t>
      </w:r>
      <w:r w:rsidR="002E02A9">
        <w:rPr>
          <w:rFonts w:eastAsia="Verdana" w:cs="Verdana"/>
        </w:rPr>
        <w:t>,</w:t>
      </w:r>
      <w:r w:rsidRPr="2602F1D6">
        <w:rPr>
          <w:rFonts w:eastAsia="Verdana" w:cs="Verdana"/>
        </w:rPr>
        <w:t xml:space="preserve"> which should be overseen by a dedicated </w:t>
      </w:r>
      <w:r w:rsidR="00862BAE">
        <w:rPr>
          <w:rFonts w:eastAsia="Verdana" w:cs="Verdana"/>
        </w:rPr>
        <w:t>a</w:t>
      </w:r>
      <w:r w:rsidRPr="2602F1D6">
        <w:rPr>
          <w:rFonts w:eastAsia="Verdana" w:cs="Verdana"/>
        </w:rPr>
        <w:t xml:space="preserve">uthority.  </w:t>
      </w:r>
    </w:p>
    <w:p w14:paraId="301E6A81" w14:textId="5EF56146" w:rsidR="280C9BAE" w:rsidRDefault="294F0AC8" w:rsidP="280C9BAE">
      <w:pPr>
        <w:pStyle w:val="Heading3"/>
        <w:spacing w:before="0" w:after="160"/>
        <w:rPr>
          <w:rFonts w:ascii="Verdana" w:eastAsia="Verdana" w:hAnsi="Verdana" w:cs="Verdana"/>
          <w:color w:val="auto"/>
          <w:sz w:val="20"/>
          <w:szCs w:val="20"/>
        </w:rPr>
      </w:pPr>
      <w:bookmarkStart w:id="403" w:name="_Toc795624173"/>
      <w:bookmarkStart w:id="404" w:name="_Toc1544135064"/>
      <w:bookmarkStart w:id="405" w:name="_Toc1998610813"/>
      <w:bookmarkStart w:id="406" w:name="_Toc2133932363"/>
      <w:bookmarkStart w:id="407" w:name="_Toc235699745"/>
      <w:bookmarkStart w:id="408" w:name="_Toc2130654184"/>
      <w:bookmarkStart w:id="409" w:name="_Toc1590925398"/>
      <w:bookmarkStart w:id="410" w:name="_Toc1738662167"/>
      <w:bookmarkStart w:id="411" w:name="_Toc224904559"/>
      <w:bookmarkStart w:id="412" w:name="_Toc764660619"/>
      <w:r w:rsidRPr="294F0AC8">
        <w:rPr>
          <w:rFonts w:ascii="Verdana" w:eastAsia="Verdana" w:hAnsi="Verdana" w:cs="Verdana"/>
          <w:color w:val="C00000"/>
          <w:sz w:val="19"/>
          <w:szCs w:val="19"/>
        </w:rPr>
        <w:t>Recommendation 17:</w:t>
      </w:r>
      <w:r w:rsidRPr="294F0AC8">
        <w:rPr>
          <w:rFonts w:ascii="Verdana" w:eastAsia="Verdana" w:hAnsi="Verdana" w:cs="Verdana"/>
          <w:color w:val="auto"/>
          <w:sz w:val="20"/>
          <w:szCs w:val="20"/>
        </w:rPr>
        <w:t xml:space="preserve"> Support a just transition for workers and communities, including by establishing</w:t>
      </w:r>
      <w:r w:rsidRPr="2602F1D6">
        <w:rPr>
          <w:rFonts w:ascii="Verdana" w:eastAsia="Verdana" w:hAnsi="Verdana" w:cs="Verdana"/>
          <w:color w:val="auto"/>
          <w:sz w:val="20"/>
          <w:szCs w:val="20"/>
        </w:rPr>
        <w:t>:</w:t>
      </w:r>
      <w:bookmarkEnd w:id="403"/>
      <w:bookmarkEnd w:id="404"/>
      <w:bookmarkEnd w:id="405"/>
      <w:bookmarkEnd w:id="406"/>
      <w:bookmarkEnd w:id="407"/>
      <w:bookmarkEnd w:id="408"/>
      <w:bookmarkEnd w:id="409"/>
      <w:bookmarkEnd w:id="410"/>
      <w:bookmarkEnd w:id="411"/>
      <w:bookmarkEnd w:id="412"/>
    </w:p>
    <w:p w14:paraId="13F9ADDE" w14:textId="13DEFD59" w:rsidR="280C9BAE" w:rsidRDefault="2602F1D6" w:rsidP="2602F1D6">
      <w:pPr>
        <w:pStyle w:val="Heading4"/>
        <w:tabs>
          <w:tab w:val="left" w:pos="426"/>
        </w:tabs>
        <w:spacing w:before="0" w:after="160"/>
        <w:rPr>
          <w:rFonts w:asciiTheme="minorHAnsi" w:eastAsiaTheme="minorEastAsia" w:hAnsiTheme="minorHAnsi" w:cstheme="minorBidi"/>
          <w:bCs/>
          <w:color w:val="auto"/>
          <w:sz w:val="20"/>
          <w:szCs w:val="20"/>
        </w:rPr>
      </w:pPr>
      <w:bookmarkStart w:id="413" w:name="_Toc105020896"/>
      <w:bookmarkStart w:id="414" w:name="_Toc1681049126"/>
      <w:bookmarkStart w:id="415" w:name="_Toc1536489747"/>
      <w:r w:rsidRPr="2602F1D6">
        <w:rPr>
          <w:rFonts w:ascii="Verdana" w:eastAsia="Verdana" w:hAnsi="Verdana" w:cs="Verdana"/>
          <w:bCs/>
          <w:color w:val="auto"/>
          <w:sz w:val="20"/>
          <w:szCs w:val="20"/>
        </w:rPr>
        <w:t xml:space="preserve">1) </w:t>
      </w:r>
      <w:r w:rsidR="002E02A9">
        <w:rPr>
          <w:rFonts w:ascii="Verdana" w:eastAsia="Verdana" w:hAnsi="Verdana" w:cs="Verdana"/>
          <w:color w:val="auto"/>
          <w:sz w:val="20"/>
          <w:szCs w:val="20"/>
        </w:rPr>
        <w:t>a</w:t>
      </w:r>
      <w:r w:rsidR="294F0AC8" w:rsidRPr="294F0AC8">
        <w:rPr>
          <w:rFonts w:ascii="Verdana" w:eastAsia="Verdana" w:hAnsi="Verdana" w:cs="Verdana"/>
          <w:color w:val="auto"/>
          <w:sz w:val="20"/>
          <w:szCs w:val="20"/>
        </w:rPr>
        <w:t>n Energy Transition Authority to manage, in consultation with workers and local communities, the effects of the energy transition including coal closures, overseeing worker support, and coordinating plans for regional economic diversity.</w:t>
      </w:r>
      <w:bookmarkEnd w:id="413"/>
      <w:bookmarkEnd w:id="414"/>
      <w:bookmarkEnd w:id="415"/>
    </w:p>
    <w:p w14:paraId="163A38AB" w14:textId="11A2212A" w:rsidR="280C9BAE" w:rsidRDefault="2602F1D6" w:rsidP="2602F1D6">
      <w:pPr>
        <w:pStyle w:val="Heading4"/>
        <w:tabs>
          <w:tab w:val="left" w:pos="426"/>
        </w:tabs>
        <w:spacing w:before="0" w:after="160"/>
        <w:rPr>
          <w:rFonts w:asciiTheme="minorHAnsi" w:eastAsiaTheme="minorEastAsia" w:hAnsiTheme="minorHAnsi" w:cstheme="minorBidi"/>
          <w:bCs/>
          <w:color w:val="auto"/>
          <w:sz w:val="20"/>
          <w:szCs w:val="20"/>
        </w:rPr>
      </w:pPr>
      <w:bookmarkStart w:id="416" w:name="_Toc2022669733"/>
      <w:bookmarkStart w:id="417" w:name="_Toc353026135"/>
      <w:bookmarkStart w:id="418" w:name="_Toc431637476"/>
      <w:r w:rsidRPr="2602F1D6">
        <w:rPr>
          <w:rFonts w:ascii="Verdana" w:eastAsia="Verdana" w:hAnsi="Verdana" w:cs="Verdana"/>
          <w:bCs/>
          <w:color w:val="auto"/>
          <w:sz w:val="20"/>
          <w:szCs w:val="20"/>
        </w:rPr>
        <w:t xml:space="preserve">2) </w:t>
      </w:r>
      <w:r w:rsidR="002E02A9">
        <w:rPr>
          <w:rFonts w:ascii="Verdana" w:eastAsia="Verdana" w:hAnsi="Verdana" w:cs="Verdana"/>
          <w:color w:val="auto"/>
          <w:sz w:val="20"/>
          <w:szCs w:val="20"/>
        </w:rPr>
        <w:t>a</w:t>
      </w:r>
      <w:r w:rsidR="294F0AC8" w:rsidRPr="294F0AC8">
        <w:rPr>
          <w:rFonts w:ascii="Verdana" w:eastAsia="Verdana" w:hAnsi="Verdana" w:cs="Verdana"/>
          <w:color w:val="auto"/>
          <w:sz w:val="20"/>
          <w:szCs w:val="20"/>
        </w:rPr>
        <w:t>n industry-wide, multi-employer pooling and redeployment scheme that provides retrenched workers with the opportunity to transfer to roles with renewable or low emission generators as well as remaining fossil fuel generators.</w:t>
      </w:r>
      <w:bookmarkEnd w:id="416"/>
      <w:bookmarkEnd w:id="417"/>
      <w:bookmarkEnd w:id="418"/>
    </w:p>
    <w:p w14:paraId="46996B7E" w14:textId="006B0DE3" w:rsidR="280C9BAE" w:rsidRDefault="280C9BAE" w:rsidP="280C9BAE">
      <w:pPr>
        <w:pStyle w:val="Recommendation"/>
        <w:rPr>
          <w:rFonts w:eastAsiaTheme="minorEastAsia"/>
          <w:i/>
          <w:iCs/>
          <w:color w:val="000000" w:themeColor="text1"/>
        </w:rPr>
      </w:pPr>
      <w:r w:rsidRPr="280C9BAE">
        <w:rPr>
          <w:color w:val="C00000"/>
        </w:rPr>
        <w:t>Budget impact:</w:t>
      </w:r>
      <w:r w:rsidRPr="2602F1D6">
        <w:t xml:space="preserve"> </w:t>
      </w:r>
      <w:r w:rsidRPr="294F0AC8">
        <w:rPr>
          <w:rFonts w:eastAsiaTheme="minorEastAsia"/>
          <w:i/>
          <w:iCs/>
          <w:color w:val="000000" w:themeColor="text1"/>
        </w:rPr>
        <w:t>-$2 million (-$4 million in 2023-24)</w:t>
      </w:r>
      <w:r w:rsidRPr="280C9BAE">
        <w:rPr>
          <w:rStyle w:val="FootnoteReference"/>
          <w:b w:val="0"/>
          <w:color w:val="auto"/>
        </w:rPr>
        <w:footnoteReference w:id="12"/>
      </w:r>
    </w:p>
    <w:p w14:paraId="605F680B" w14:textId="77777777" w:rsidR="00133039" w:rsidRPr="00133039" w:rsidRDefault="00133039" w:rsidP="00133039">
      <w:pPr>
        <w:pStyle w:val="ListNumber"/>
        <w:numPr>
          <w:ilvl w:val="0"/>
          <w:numId w:val="0"/>
        </w:numPr>
        <w:ind w:left="360" w:hanging="360"/>
      </w:pPr>
    </w:p>
    <w:p w14:paraId="27C6210E" w14:textId="7C7C5078" w:rsidR="280C9BAE" w:rsidRDefault="294F0AC8" w:rsidP="001D1B51">
      <w:pPr>
        <w:pStyle w:val="Heading2"/>
      </w:pPr>
      <w:bookmarkStart w:id="419" w:name="_Toc1512626378"/>
      <w:bookmarkStart w:id="420" w:name="_Toc1998221116"/>
      <w:bookmarkStart w:id="421" w:name="_Toc1960774727"/>
      <w:bookmarkStart w:id="422" w:name="_Toc1123400580"/>
      <w:bookmarkStart w:id="423" w:name="_Toc533738979"/>
      <w:bookmarkStart w:id="424" w:name="_Toc162248834"/>
      <w:bookmarkStart w:id="425" w:name="_Toc1249468673"/>
      <w:bookmarkStart w:id="426" w:name="_Toc1632346856"/>
      <w:bookmarkStart w:id="427" w:name="_Toc571816393"/>
      <w:bookmarkStart w:id="428" w:name="_Toc830558101"/>
      <w:bookmarkStart w:id="429" w:name="_Toc90983363"/>
      <w:bookmarkStart w:id="430" w:name="_Toc90984626"/>
      <w:r>
        <w:t>Shift subsidies off energy bills</w:t>
      </w:r>
      <w:bookmarkEnd w:id="419"/>
      <w:bookmarkEnd w:id="420"/>
      <w:bookmarkEnd w:id="421"/>
      <w:bookmarkEnd w:id="422"/>
      <w:bookmarkEnd w:id="423"/>
      <w:bookmarkEnd w:id="424"/>
      <w:bookmarkEnd w:id="425"/>
      <w:bookmarkEnd w:id="426"/>
      <w:bookmarkEnd w:id="427"/>
      <w:bookmarkEnd w:id="428"/>
      <w:bookmarkEnd w:id="429"/>
      <w:bookmarkEnd w:id="430"/>
    </w:p>
    <w:p w14:paraId="04FAB414" w14:textId="1B990EB8" w:rsidR="280C9BAE" w:rsidRDefault="294F0AC8" w:rsidP="280C9BAE">
      <w:pPr>
        <w:spacing w:line="257" w:lineRule="auto"/>
      </w:pPr>
      <w:r w:rsidRPr="294F0AC8">
        <w:rPr>
          <w:rFonts w:eastAsia="Verdana" w:cs="Verdana"/>
        </w:rPr>
        <w:t xml:space="preserve">The Small-scale Renewable Energy Scheme (SRES), which is in place until 2030, </w:t>
      </w:r>
      <w:proofErr w:type="spellStart"/>
      <w:r w:rsidRPr="294F0AC8">
        <w:rPr>
          <w:rFonts w:eastAsia="Verdana" w:cs="Verdana"/>
        </w:rPr>
        <w:t>subsidises</w:t>
      </w:r>
      <w:proofErr w:type="spellEnd"/>
      <w:r w:rsidRPr="294F0AC8">
        <w:rPr>
          <w:rFonts w:eastAsia="Verdana" w:cs="Verdana"/>
        </w:rPr>
        <w:t xml:space="preserve"> the costs of installing small-scale renewable energy sources such as rooftop solar and hot water heat pumps to households which can afford them. The cost is currently recouped through business and household electricity bills, with GST being charged on top. </w:t>
      </w:r>
    </w:p>
    <w:p w14:paraId="39F267E6" w14:textId="4C41BB00" w:rsidR="280C9BAE" w:rsidRDefault="280C9BAE" w:rsidP="280C9BAE">
      <w:pPr>
        <w:spacing w:line="257" w:lineRule="auto"/>
      </w:pPr>
      <w:r w:rsidRPr="294F0AC8">
        <w:rPr>
          <w:rFonts w:eastAsia="Verdana" w:cs="Verdana"/>
        </w:rPr>
        <w:t>The ACCC was critical of the equity impacts of the SRES because people on low-incomes pay disproportionately more towards the scheme and do not receive the same benefits, and recommended the scheme be abolished.</w:t>
      </w:r>
      <w:r w:rsidRPr="294F0AC8">
        <w:rPr>
          <w:rStyle w:val="FootnoteReference"/>
          <w:rFonts w:eastAsia="Verdana" w:cs="Verdana"/>
        </w:rPr>
        <w:footnoteReference w:id="13"/>
      </w:r>
      <w:r w:rsidRPr="294F0AC8">
        <w:rPr>
          <w:rFonts w:eastAsia="Verdana" w:cs="Verdana"/>
        </w:rPr>
        <w:t xml:space="preserve"> ACOSS is advocating for the cost of recouping the SRES subsidy </w:t>
      </w:r>
      <w:r w:rsidR="00D23F59">
        <w:rPr>
          <w:rFonts w:eastAsia="Verdana" w:cs="Verdana"/>
        </w:rPr>
        <w:t>to</w:t>
      </w:r>
      <w:r w:rsidRPr="294F0AC8">
        <w:rPr>
          <w:rFonts w:eastAsia="Verdana" w:cs="Verdana"/>
        </w:rPr>
        <w:t xml:space="preserve"> be directly and fully funded by the Federal Government as part of the Climate Solutions Fund, with eligibility limited to people on low incomes to access rooftop solar and hot water heat pumps. </w:t>
      </w:r>
    </w:p>
    <w:p w14:paraId="51830E13" w14:textId="777C4C40" w:rsidR="744905C9" w:rsidRDefault="294F0AC8" w:rsidP="2602F1D6">
      <w:pPr>
        <w:spacing w:after="0" w:line="240" w:lineRule="auto"/>
        <w:rPr>
          <w:rFonts w:eastAsiaTheme="minorEastAsia"/>
          <w:i/>
          <w:iCs/>
        </w:rPr>
      </w:pPr>
      <w:r w:rsidRPr="294F0AC8">
        <w:rPr>
          <w:rFonts w:eastAsia="Verdana" w:cs="Verdana"/>
          <w:b/>
          <w:bCs/>
          <w:color w:val="C00000"/>
          <w:sz w:val="19"/>
          <w:szCs w:val="19"/>
        </w:rPr>
        <w:t>Recommendation 18:</w:t>
      </w:r>
      <w:r>
        <w:t xml:space="preserve"> </w:t>
      </w:r>
      <w:r w:rsidRPr="294F0AC8">
        <w:rPr>
          <w:rFonts w:eastAsia="Verdana" w:cs="Verdana"/>
          <w:b/>
          <w:bCs/>
        </w:rPr>
        <w:t xml:space="preserve">The </w:t>
      </w:r>
      <w:r w:rsidR="002E02A9">
        <w:rPr>
          <w:rFonts w:eastAsia="Verdana" w:cs="Verdana"/>
          <w:b/>
          <w:bCs/>
        </w:rPr>
        <w:t xml:space="preserve">Federal </w:t>
      </w:r>
      <w:r w:rsidRPr="294F0AC8">
        <w:rPr>
          <w:rFonts w:eastAsia="Verdana" w:cs="Verdana"/>
          <w:b/>
          <w:bCs/>
        </w:rPr>
        <w:t>Government should fund the Small-scale Renewable Energy Scheme.</w:t>
      </w:r>
    </w:p>
    <w:p w14:paraId="5EFC1CED" w14:textId="073D0B67" w:rsidR="744905C9" w:rsidRDefault="744905C9" w:rsidP="2602F1D6">
      <w:pPr>
        <w:spacing w:after="0" w:line="240" w:lineRule="auto"/>
        <w:rPr>
          <w:rFonts w:eastAsiaTheme="minorEastAsia"/>
          <w:i/>
          <w:iCs/>
        </w:rPr>
      </w:pPr>
      <w:r w:rsidRPr="294F0AC8">
        <w:rPr>
          <w:rFonts w:eastAsiaTheme="minorEastAsia"/>
          <w:b/>
          <w:bCs/>
          <w:color w:val="C00000"/>
          <w:sz w:val="19"/>
          <w:szCs w:val="19"/>
        </w:rPr>
        <w:t xml:space="preserve">Budget impact: </w:t>
      </w:r>
      <w:r w:rsidRPr="2602F1D6">
        <w:rPr>
          <w:rFonts w:eastAsiaTheme="minorEastAsia"/>
          <w:b/>
          <w:i/>
        </w:rPr>
        <w:t>-$</w:t>
      </w:r>
      <w:r w:rsidR="1E3BD96B" w:rsidRPr="2602F1D6">
        <w:rPr>
          <w:rFonts w:eastAsiaTheme="minorEastAsia"/>
          <w:b/>
          <w:i/>
        </w:rPr>
        <w:t>1,500</w:t>
      </w:r>
      <w:r w:rsidRPr="2602F1D6">
        <w:rPr>
          <w:rFonts w:eastAsiaTheme="minorEastAsia"/>
          <w:b/>
          <w:i/>
        </w:rPr>
        <w:t xml:space="preserve"> million (-$</w:t>
      </w:r>
      <w:r w:rsidR="2FF54D48" w:rsidRPr="2602F1D6">
        <w:rPr>
          <w:rFonts w:eastAsiaTheme="minorEastAsia"/>
          <w:b/>
          <w:i/>
        </w:rPr>
        <w:t>1,500</w:t>
      </w:r>
      <w:r w:rsidRPr="2602F1D6">
        <w:rPr>
          <w:rFonts w:eastAsiaTheme="minorEastAsia"/>
          <w:b/>
          <w:i/>
        </w:rPr>
        <w:t xml:space="preserve"> million in 2022-23</w:t>
      </w:r>
      <w:r w:rsidRPr="294F0AC8">
        <w:rPr>
          <w:rFonts w:eastAsiaTheme="minorEastAsia"/>
          <w:i/>
          <w:iCs/>
        </w:rPr>
        <w:t>)</w:t>
      </w:r>
      <w:r w:rsidRPr="7807A5A5">
        <w:rPr>
          <w:rStyle w:val="FootnoteReference"/>
          <w:color w:val="auto"/>
        </w:rPr>
        <w:footnoteReference w:id="14"/>
      </w:r>
    </w:p>
    <w:p w14:paraId="24EBBDF9" w14:textId="77777777" w:rsidR="00C73D92" w:rsidRDefault="00C73D92" w:rsidP="001D1B51">
      <w:pPr>
        <w:pStyle w:val="Heading2"/>
      </w:pPr>
      <w:bookmarkStart w:id="431" w:name="_Toc1278106986"/>
      <w:bookmarkStart w:id="432" w:name="_Toc8498632"/>
      <w:bookmarkStart w:id="433" w:name="_Toc983855057"/>
      <w:bookmarkStart w:id="434" w:name="_Toc1628394914"/>
      <w:bookmarkStart w:id="435" w:name="_Toc160031285"/>
      <w:bookmarkStart w:id="436" w:name="_Toc1987804006"/>
      <w:bookmarkStart w:id="437" w:name="_Toc1679923776"/>
      <w:bookmarkStart w:id="438" w:name="_Toc970234596"/>
      <w:bookmarkStart w:id="439" w:name="_Toc922124395"/>
      <w:bookmarkStart w:id="440" w:name="_Toc1012163193"/>
      <w:bookmarkStart w:id="441" w:name="_Toc90983364"/>
      <w:bookmarkStart w:id="442" w:name="_Toc90984627"/>
    </w:p>
    <w:p w14:paraId="77705053" w14:textId="77777777" w:rsidR="00C73D92" w:rsidRDefault="00C73D92" w:rsidP="001D1B51">
      <w:pPr>
        <w:pStyle w:val="Heading2"/>
      </w:pPr>
    </w:p>
    <w:p w14:paraId="38FAF73E" w14:textId="197CC28B" w:rsidR="280C9BAE" w:rsidRDefault="294F0AC8" w:rsidP="001D1B51">
      <w:pPr>
        <w:pStyle w:val="Heading2"/>
      </w:pPr>
      <w:r w:rsidRPr="294F0AC8">
        <w:t>Phase out fossil fuel subsidies</w:t>
      </w:r>
      <w:bookmarkEnd w:id="431"/>
      <w:bookmarkEnd w:id="432"/>
      <w:bookmarkEnd w:id="433"/>
      <w:bookmarkEnd w:id="434"/>
      <w:bookmarkEnd w:id="435"/>
      <w:bookmarkEnd w:id="436"/>
      <w:bookmarkEnd w:id="437"/>
      <w:bookmarkEnd w:id="438"/>
      <w:bookmarkEnd w:id="439"/>
      <w:bookmarkEnd w:id="440"/>
      <w:bookmarkEnd w:id="441"/>
      <w:bookmarkEnd w:id="442"/>
    </w:p>
    <w:p w14:paraId="1A2343BC" w14:textId="77777777" w:rsidR="00C73D92" w:rsidRDefault="00C73D92" w:rsidP="2602F1D6">
      <w:pPr>
        <w:spacing w:line="257" w:lineRule="auto"/>
        <w:rPr>
          <w:rFonts w:eastAsia="Verdana" w:cs="Verdana"/>
        </w:rPr>
      </w:pPr>
    </w:p>
    <w:p w14:paraId="11E46CB2" w14:textId="2AC6727F" w:rsidR="280C9BAE" w:rsidRDefault="294F0AC8" w:rsidP="2602F1D6">
      <w:pPr>
        <w:spacing w:line="257" w:lineRule="auto"/>
      </w:pPr>
      <w:r w:rsidRPr="294F0AC8">
        <w:rPr>
          <w:rFonts w:eastAsia="Verdana" w:cs="Verdana"/>
        </w:rPr>
        <w:t xml:space="preserve">In Chapter </w:t>
      </w:r>
      <w:r w:rsidRPr="24E94A06">
        <w:rPr>
          <w:rFonts w:eastAsiaTheme="minorEastAsia"/>
        </w:rPr>
        <w:t>10 (</w:t>
      </w:r>
      <w:r w:rsidR="2602F1D6" w:rsidRPr="24E94A06">
        <w:rPr>
          <w:rFonts w:eastAsiaTheme="minorEastAsia"/>
        </w:rPr>
        <w:t>taxation</w:t>
      </w:r>
      <w:r w:rsidRPr="24E94A06">
        <w:rPr>
          <w:rFonts w:eastAsiaTheme="minorEastAsia"/>
        </w:rPr>
        <w:t xml:space="preserve">) we advocate removal of fuel tax credits for off-road use except agriculture (Recommendation </w:t>
      </w:r>
      <w:r w:rsidR="2602F1D6" w:rsidRPr="24E94A06">
        <w:rPr>
          <w:rFonts w:eastAsiaTheme="minorEastAsia"/>
        </w:rPr>
        <w:t>50</w:t>
      </w:r>
      <w:r w:rsidR="24E94A06" w:rsidRPr="24E94A06">
        <w:rPr>
          <w:rFonts w:eastAsiaTheme="minorEastAsia"/>
        </w:rPr>
        <w:t>)</w:t>
      </w:r>
      <w:r w:rsidR="24E94A06" w:rsidRPr="24E94A06">
        <w:rPr>
          <w:rFonts w:eastAsia="Verdana" w:cs="Verdana"/>
        </w:rPr>
        <w:t>.</w:t>
      </w:r>
      <w:r w:rsidRPr="294F0AC8">
        <w:rPr>
          <w:rFonts w:eastAsia="Verdana" w:cs="Verdana"/>
        </w:rPr>
        <w:t xml:space="preserve"> These tax credits </w:t>
      </w:r>
      <w:proofErr w:type="spellStart"/>
      <w:r w:rsidRPr="294F0AC8">
        <w:rPr>
          <w:rFonts w:eastAsia="Verdana" w:cs="Verdana"/>
        </w:rPr>
        <w:t>subsidise</w:t>
      </w:r>
      <w:proofErr w:type="spellEnd"/>
      <w:r w:rsidRPr="294F0AC8">
        <w:rPr>
          <w:rFonts w:eastAsia="Verdana" w:cs="Verdana"/>
        </w:rPr>
        <w:t xml:space="preserve"> carbon pollution – the very thing governments are spending public funds in other parts of the economy to mitigate. The subsidy also distorts the need for energy efficiency, fuel switching, or investment in other forms of renewable energy or transport.</w:t>
      </w:r>
      <w:r w:rsidR="2602F1D6" w:rsidRPr="2602F1D6">
        <w:rPr>
          <w:rFonts w:eastAsia="Verdana" w:cs="Verdana"/>
        </w:rPr>
        <w:t xml:space="preserve"> </w:t>
      </w:r>
      <w:r w:rsidR="280C9BAE" w:rsidRPr="2602F1D6">
        <w:rPr>
          <w:rFonts w:eastAsia="Verdana" w:cs="Verdana"/>
        </w:rPr>
        <w:t>Revenue raised from removing fossil fuel subsidies could fund ACOSS proposals to provide a just transition for workers and communities, assist low-income households to access affordable clean energy, and support climate resilience and adaptation measures for vulnerable people.</w:t>
      </w:r>
      <w:r w:rsidR="280C9BAE">
        <w:br w:type="page"/>
      </w:r>
    </w:p>
    <w:p w14:paraId="61DEC126" w14:textId="10AFBDC1" w:rsidR="280C9BAE" w:rsidRDefault="280C9BAE" w:rsidP="2602F1D6">
      <w:pPr>
        <w:pStyle w:val="Heading1"/>
        <w:numPr>
          <w:ilvl w:val="0"/>
          <w:numId w:val="0"/>
        </w:numPr>
      </w:pPr>
      <w:bookmarkStart w:id="443" w:name="_Toc90983316"/>
      <w:bookmarkStart w:id="444" w:name="_Toc90983365"/>
      <w:bookmarkStart w:id="445" w:name="_Toc90984628"/>
      <w:r>
        <w:lastRenderedPageBreak/>
        <w:t>4. Thriving</w:t>
      </w:r>
      <w:r w:rsidR="00D23F59">
        <w:t>,</w:t>
      </w:r>
      <w:r>
        <w:t xml:space="preserve"> climate</w:t>
      </w:r>
      <w:r w:rsidR="2602F1D6">
        <w:t>-</w:t>
      </w:r>
      <w:r>
        <w:t>resilient communities</w:t>
      </w:r>
      <w:bookmarkEnd w:id="443"/>
      <w:bookmarkEnd w:id="444"/>
      <w:bookmarkEnd w:id="445"/>
    </w:p>
    <w:p w14:paraId="5E5A9EC2" w14:textId="77777777" w:rsidR="00C73D92" w:rsidRDefault="00C73D92" w:rsidP="280C9BAE">
      <w:pPr>
        <w:rPr>
          <w:rFonts w:eastAsia="Verdana" w:cs="Verdana"/>
        </w:rPr>
      </w:pPr>
    </w:p>
    <w:p w14:paraId="28065A4F" w14:textId="1272EDE5" w:rsidR="280C9BAE" w:rsidRDefault="280C9BAE" w:rsidP="280C9BAE">
      <w:pPr>
        <w:rPr>
          <w:rFonts w:eastAsia="Calibri" w:cs="Arial"/>
          <w:szCs w:val="20"/>
        </w:rPr>
      </w:pPr>
      <w:r w:rsidRPr="280C9BAE">
        <w:rPr>
          <w:rFonts w:eastAsia="Verdana" w:cs="Verdana"/>
        </w:rPr>
        <w:t xml:space="preserve">Policies are needed to build resilience of community sector </w:t>
      </w:r>
      <w:proofErr w:type="spellStart"/>
      <w:r w:rsidRPr="280C9BAE">
        <w:rPr>
          <w:rFonts w:eastAsia="Verdana" w:cs="Verdana"/>
        </w:rPr>
        <w:t>organisations</w:t>
      </w:r>
      <w:proofErr w:type="spellEnd"/>
      <w:r w:rsidRPr="280C9BAE">
        <w:rPr>
          <w:rFonts w:eastAsia="Verdana" w:cs="Verdana"/>
        </w:rPr>
        <w:t xml:space="preserve"> and people experiencing poverty and disadvantage to the effects of climate change. Measures are needed to support and empower people and communities to build their resilience and lead recovery efforts on their terms. Genuine community partnership, including with Aboriginal and Torres Strait Islander people, </w:t>
      </w:r>
      <w:proofErr w:type="gramStart"/>
      <w:r w:rsidRPr="280C9BAE">
        <w:rPr>
          <w:rFonts w:eastAsia="Verdana" w:cs="Verdana"/>
        </w:rPr>
        <w:t>communities</w:t>
      </w:r>
      <w:proofErr w:type="gramEnd"/>
      <w:r w:rsidRPr="280C9BAE">
        <w:rPr>
          <w:rFonts w:eastAsia="Verdana" w:cs="Verdana"/>
        </w:rPr>
        <w:t xml:space="preserve"> and </w:t>
      </w:r>
      <w:proofErr w:type="spellStart"/>
      <w:r w:rsidRPr="280C9BAE">
        <w:rPr>
          <w:rFonts w:eastAsia="Verdana" w:cs="Verdana"/>
        </w:rPr>
        <w:t>organisations</w:t>
      </w:r>
      <w:proofErr w:type="spellEnd"/>
      <w:r w:rsidRPr="280C9BAE">
        <w:rPr>
          <w:rFonts w:eastAsia="Verdana" w:cs="Verdana"/>
        </w:rPr>
        <w:t>, is essential to improve the nation’s preparedness, responsiveness and recovery efforts. Without appropriate policies to supp</w:t>
      </w:r>
      <w:r w:rsidR="00D23F59">
        <w:rPr>
          <w:rFonts w:eastAsia="Verdana" w:cs="Verdana"/>
        </w:rPr>
        <w:t>ort</w:t>
      </w:r>
      <w:r w:rsidRPr="280C9BAE">
        <w:rPr>
          <w:rFonts w:eastAsia="Verdana" w:cs="Verdana"/>
        </w:rPr>
        <w:t xml:space="preserve"> resilience, </w:t>
      </w:r>
      <w:proofErr w:type="gramStart"/>
      <w:r w:rsidRPr="280C9BAE">
        <w:rPr>
          <w:rFonts w:eastAsia="Verdana" w:cs="Verdana"/>
        </w:rPr>
        <w:t>response</w:t>
      </w:r>
      <w:proofErr w:type="gramEnd"/>
      <w:r w:rsidRPr="280C9BAE">
        <w:rPr>
          <w:rFonts w:eastAsia="Verdana" w:cs="Verdana"/>
        </w:rPr>
        <w:t xml:space="preserve"> and recovery</w:t>
      </w:r>
      <w:r w:rsidR="00D23F59">
        <w:rPr>
          <w:rFonts w:eastAsia="Verdana" w:cs="Verdana"/>
        </w:rPr>
        <w:t>,</w:t>
      </w:r>
      <w:r w:rsidRPr="280C9BAE">
        <w:rPr>
          <w:rFonts w:eastAsia="Verdana" w:cs="Verdana"/>
        </w:rPr>
        <w:t xml:space="preserve"> it is likely we will entrench and drive greater poverty and inequality in Australia.</w:t>
      </w:r>
      <w:r w:rsidRPr="280C9BAE">
        <w:t xml:space="preserve"> </w:t>
      </w:r>
    </w:p>
    <w:p w14:paraId="5F69F0BE" w14:textId="77777777" w:rsidR="00C73D92" w:rsidRDefault="00C73D92" w:rsidP="280C9BAE">
      <w:pPr>
        <w:rPr>
          <w:rFonts w:eastAsia="Verdana" w:cs="Verdana"/>
          <w:b/>
          <w:bCs/>
          <w:szCs w:val="20"/>
        </w:rPr>
      </w:pPr>
    </w:p>
    <w:p w14:paraId="7CF760E7" w14:textId="66081712" w:rsidR="280C9BAE" w:rsidRPr="00C73D92" w:rsidRDefault="280C9BAE" w:rsidP="280C9BAE">
      <w:pPr>
        <w:rPr>
          <w:rFonts w:eastAsia="Verdana" w:cs="Verdana"/>
          <w:b/>
          <w:bCs/>
          <w:szCs w:val="20"/>
        </w:rPr>
      </w:pPr>
      <w:r w:rsidRPr="00C73D92">
        <w:rPr>
          <w:rFonts w:eastAsia="Verdana" w:cs="Verdana"/>
          <w:b/>
          <w:bCs/>
          <w:szCs w:val="20"/>
        </w:rPr>
        <w:t xml:space="preserve">Major recommendations: </w:t>
      </w:r>
    </w:p>
    <w:p w14:paraId="4CA6B4A5" w14:textId="1D10C5EB" w:rsidR="280C9BAE" w:rsidRDefault="280C9BAE" w:rsidP="00DD3DC0">
      <w:pPr>
        <w:pStyle w:val="ListParagraph"/>
        <w:numPr>
          <w:ilvl w:val="0"/>
          <w:numId w:val="10"/>
        </w:numPr>
        <w:rPr>
          <w:rFonts w:eastAsia="Verdana" w:cs="Verdana"/>
          <w:b/>
        </w:rPr>
      </w:pPr>
      <w:r w:rsidRPr="280C9BAE">
        <w:rPr>
          <w:rFonts w:eastAsia="Verdana" w:cs="Verdana"/>
          <w:b/>
        </w:rPr>
        <w:t xml:space="preserve">Empower </w:t>
      </w:r>
      <w:r w:rsidR="00D23F59">
        <w:rPr>
          <w:rFonts w:eastAsia="Verdana" w:cs="Verdana"/>
          <w:b/>
        </w:rPr>
        <w:t>c</w:t>
      </w:r>
      <w:r w:rsidRPr="280C9BAE">
        <w:rPr>
          <w:rFonts w:eastAsia="Verdana" w:cs="Verdana"/>
          <w:b/>
        </w:rPr>
        <w:t>ommunities to build their resilience and manage recovery</w:t>
      </w:r>
    </w:p>
    <w:p w14:paraId="7C859F73" w14:textId="150D2CD1" w:rsidR="280C9BAE" w:rsidRDefault="280C9BAE" w:rsidP="00DD3DC0">
      <w:pPr>
        <w:pStyle w:val="ListParagraph"/>
        <w:numPr>
          <w:ilvl w:val="0"/>
          <w:numId w:val="10"/>
        </w:numPr>
        <w:rPr>
          <w:rFonts w:eastAsia="Verdana" w:cs="Verdana"/>
          <w:b/>
        </w:rPr>
      </w:pPr>
      <w:r w:rsidRPr="280C9BAE">
        <w:rPr>
          <w:rFonts w:eastAsia="Verdana" w:cs="Verdana"/>
          <w:b/>
        </w:rPr>
        <w:t>Provide affordable, accessible, and quality insurance</w:t>
      </w:r>
    </w:p>
    <w:p w14:paraId="5A517C33" w14:textId="28E09C97" w:rsidR="280C9BAE" w:rsidRDefault="280C9BAE" w:rsidP="00DD3DC0">
      <w:pPr>
        <w:pStyle w:val="ListParagraph"/>
        <w:numPr>
          <w:ilvl w:val="0"/>
          <w:numId w:val="10"/>
        </w:numPr>
        <w:rPr>
          <w:rFonts w:eastAsia="Verdana" w:cs="Verdana"/>
          <w:b/>
        </w:rPr>
      </w:pPr>
      <w:r w:rsidRPr="280C9BAE">
        <w:rPr>
          <w:rFonts w:eastAsia="Verdana" w:cs="Verdana"/>
          <w:b/>
        </w:rPr>
        <w:t>Better meet the needs of people and communities impacted by extreme weather events</w:t>
      </w:r>
    </w:p>
    <w:p w14:paraId="6FD2A522" w14:textId="2B0B72D5" w:rsidR="280C9BAE" w:rsidRDefault="280C9BAE" w:rsidP="00DD3DC0">
      <w:pPr>
        <w:pStyle w:val="ListParagraph"/>
        <w:numPr>
          <w:ilvl w:val="0"/>
          <w:numId w:val="10"/>
        </w:numPr>
        <w:rPr>
          <w:rFonts w:eastAsia="Verdana" w:cs="Verdana"/>
          <w:b/>
        </w:rPr>
      </w:pPr>
      <w:r w:rsidRPr="280C9BAE">
        <w:rPr>
          <w:rFonts w:eastAsia="Verdana" w:cs="Verdana"/>
          <w:b/>
        </w:rPr>
        <w:t xml:space="preserve">Strengthen the resilience of community sector </w:t>
      </w:r>
      <w:proofErr w:type="spellStart"/>
      <w:r w:rsidRPr="280C9BAE">
        <w:rPr>
          <w:rFonts w:eastAsia="Verdana" w:cs="Verdana"/>
          <w:b/>
        </w:rPr>
        <w:t>organisations</w:t>
      </w:r>
      <w:proofErr w:type="spellEnd"/>
      <w:r w:rsidRPr="280C9BAE">
        <w:rPr>
          <w:rFonts w:eastAsia="Verdana" w:cs="Verdana"/>
          <w:b/>
        </w:rPr>
        <w:t xml:space="preserve"> to better support community resilience, response, and recovery </w:t>
      </w:r>
      <w:r w:rsidR="00D23F59">
        <w:rPr>
          <w:rFonts w:eastAsia="Verdana" w:cs="Verdana"/>
          <w:b/>
        </w:rPr>
        <w:t>in the face of</w:t>
      </w:r>
      <w:r w:rsidRPr="280C9BAE">
        <w:rPr>
          <w:rFonts w:eastAsia="Verdana" w:cs="Verdana"/>
          <w:b/>
        </w:rPr>
        <w:t xml:space="preserve"> increasing extreme weather events</w:t>
      </w:r>
    </w:p>
    <w:p w14:paraId="04085D23" w14:textId="7EEB401A" w:rsidR="280C9BAE" w:rsidRDefault="280C9BAE" w:rsidP="280C9BAE">
      <w:pPr>
        <w:rPr>
          <w:rFonts w:eastAsia="Calibri" w:cs="Arial"/>
          <w:b/>
          <w:bCs/>
          <w:szCs w:val="20"/>
        </w:rPr>
      </w:pPr>
    </w:p>
    <w:p w14:paraId="48C471F0" w14:textId="47253BE3" w:rsidR="280C9BAE" w:rsidRDefault="294F0AC8" w:rsidP="001D1B51">
      <w:pPr>
        <w:pStyle w:val="Heading2"/>
      </w:pPr>
      <w:bookmarkStart w:id="446" w:name="_Toc1044402584"/>
      <w:bookmarkStart w:id="447" w:name="_Toc1023804875"/>
      <w:bookmarkStart w:id="448" w:name="_Toc1250823855"/>
      <w:bookmarkStart w:id="449" w:name="_Toc1511738592"/>
      <w:bookmarkStart w:id="450" w:name="_Toc345417560"/>
      <w:bookmarkStart w:id="451" w:name="_Toc1413728323"/>
      <w:bookmarkStart w:id="452" w:name="_Toc332646801"/>
      <w:bookmarkStart w:id="453" w:name="_Toc1701466634"/>
      <w:bookmarkStart w:id="454" w:name="_Toc160088766"/>
      <w:bookmarkStart w:id="455" w:name="_Toc871981800"/>
      <w:bookmarkStart w:id="456" w:name="_Toc90983366"/>
      <w:bookmarkStart w:id="457" w:name="_Toc90984629"/>
      <w:r w:rsidRPr="294F0AC8">
        <w:t>Empower communities to build their resilience and lead disaster recovery efforts</w:t>
      </w:r>
      <w:bookmarkEnd w:id="446"/>
      <w:bookmarkEnd w:id="447"/>
      <w:bookmarkEnd w:id="448"/>
      <w:bookmarkEnd w:id="449"/>
      <w:bookmarkEnd w:id="450"/>
      <w:bookmarkEnd w:id="451"/>
      <w:bookmarkEnd w:id="452"/>
      <w:bookmarkEnd w:id="453"/>
      <w:bookmarkEnd w:id="454"/>
      <w:bookmarkEnd w:id="455"/>
      <w:bookmarkEnd w:id="456"/>
      <w:bookmarkEnd w:id="457"/>
    </w:p>
    <w:p w14:paraId="34F802AC" w14:textId="77777777" w:rsidR="00C73D92" w:rsidRDefault="00C73D92" w:rsidP="280C9BAE">
      <w:pPr>
        <w:pStyle w:val="ListNumber"/>
        <w:numPr>
          <w:ilvl w:val="0"/>
          <w:numId w:val="0"/>
        </w:numPr>
        <w:rPr>
          <w:rFonts w:eastAsia="Verdana" w:cs="Verdana"/>
          <w:szCs w:val="20"/>
          <w:lang w:val="en"/>
        </w:rPr>
      </w:pPr>
    </w:p>
    <w:p w14:paraId="6A6D03B4" w14:textId="7DD023BD" w:rsidR="280C9BAE" w:rsidRDefault="280C9BAE" w:rsidP="280C9BAE">
      <w:pPr>
        <w:pStyle w:val="ListNumber"/>
        <w:numPr>
          <w:ilvl w:val="0"/>
          <w:numId w:val="0"/>
        </w:numPr>
        <w:rPr>
          <w:color w:val="auto"/>
        </w:rPr>
      </w:pPr>
      <w:r w:rsidRPr="280C9BAE">
        <w:rPr>
          <w:rFonts w:eastAsia="Verdana" w:cs="Verdana"/>
          <w:szCs w:val="20"/>
          <w:lang w:val="en"/>
        </w:rPr>
        <w:t xml:space="preserve">The unprecedented 2019/20 bushfires had significant economic, health and social impacts on thousands of people. In 2021, communities have been affected by flooding events. Recovery will take years for most and some people may never fully recover. </w:t>
      </w:r>
    </w:p>
    <w:p w14:paraId="0216BA2D" w14:textId="54B08C48" w:rsidR="280C9BAE" w:rsidRDefault="280C9BAE" w:rsidP="280C9BAE">
      <w:pPr>
        <w:pStyle w:val="ListNumber"/>
        <w:numPr>
          <w:ilvl w:val="0"/>
          <w:numId w:val="0"/>
        </w:numPr>
        <w:rPr>
          <w:rFonts w:eastAsia="Verdana" w:cs="Verdana"/>
          <w:szCs w:val="20"/>
        </w:rPr>
      </w:pPr>
    </w:p>
    <w:p w14:paraId="7DE01666" w14:textId="2AE6DF90" w:rsidR="280C9BAE" w:rsidRDefault="280C9BAE" w:rsidP="280C9BAE">
      <w:pPr>
        <w:pStyle w:val="ListNumber"/>
        <w:numPr>
          <w:ilvl w:val="0"/>
          <w:numId w:val="0"/>
        </w:numPr>
        <w:rPr>
          <w:color w:val="auto"/>
        </w:rPr>
      </w:pPr>
      <w:r w:rsidRPr="280C9BAE">
        <w:rPr>
          <w:rFonts w:eastAsia="Verdana" w:cs="Verdana"/>
          <w:szCs w:val="20"/>
        </w:rPr>
        <w:t xml:space="preserve">Scientists tell us we can expect more frequent and severe extreme weather events fueled by climate change, which will present significant challenges for many communities. Going forward, the needs and strengths of communities must be at the heart of extreme weather preparedness, </w:t>
      </w:r>
      <w:r w:rsidR="002C3C30" w:rsidRPr="280C9BAE">
        <w:rPr>
          <w:rFonts w:eastAsia="Verdana" w:cs="Verdana"/>
          <w:szCs w:val="20"/>
        </w:rPr>
        <w:t>response,</w:t>
      </w:r>
      <w:r w:rsidRPr="280C9BAE">
        <w:rPr>
          <w:rFonts w:eastAsia="Verdana" w:cs="Verdana"/>
          <w:szCs w:val="20"/>
        </w:rPr>
        <w:t xml:space="preserve"> and recovery. All government initiatives must support and empower communities to build their resilience and recovery efforts on their terms. </w:t>
      </w:r>
    </w:p>
    <w:p w14:paraId="3F3E4730" w14:textId="080920CA" w:rsidR="280C9BAE" w:rsidRDefault="280C9BAE" w:rsidP="280C9BAE">
      <w:pPr>
        <w:spacing w:line="257" w:lineRule="auto"/>
        <w:rPr>
          <w:rFonts w:eastAsia="Calibri" w:cs="Arial"/>
          <w:szCs w:val="20"/>
        </w:rPr>
      </w:pPr>
      <w:r w:rsidRPr="280C9BAE">
        <w:rPr>
          <w:rFonts w:eastAsia="Verdana" w:cs="Verdana"/>
          <w:szCs w:val="20"/>
        </w:rPr>
        <w:t>Genuine community partnership, including with First Nations People, communities</w:t>
      </w:r>
      <w:r w:rsidR="0071485E">
        <w:rPr>
          <w:rFonts w:eastAsia="Verdana" w:cs="Verdana"/>
          <w:szCs w:val="20"/>
        </w:rPr>
        <w:t>,</w:t>
      </w:r>
      <w:r w:rsidRPr="280C9BAE">
        <w:rPr>
          <w:rFonts w:eastAsia="Verdana" w:cs="Verdana"/>
          <w:szCs w:val="20"/>
        </w:rPr>
        <w:t xml:space="preserve"> and </w:t>
      </w:r>
      <w:proofErr w:type="spellStart"/>
      <w:r w:rsidRPr="280C9BAE">
        <w:rPr>
          <w:rFonts w:eastAsia="Verdana" w:cs="Verdana"/>
          <w:szCs w:val="20"/>
        </w:rPr>
        <w:t>organisations</w:t>
      </w:r>
      <w:proofErr w:type="spellEnd"/>
      <w:r w:rsidRPr="280C9BAE">
        <w:rPr>
          <w:rFonts w:eastAsia="Verdana" w:cs="Verdana"/>
          <w:szCs w:val="20"/>
        </w:rPr>
        <w:t xml:space="preserve"> is essential to improve the nation’s preparedness, </w:t>
      </w:r>
      <w:r w:rsidR="0071485E" w:rsidRPr="280C9BAE">
        <w:rPr>
          <w:rFonts w:eastAsia="Verdana" w:cs="Verdana"/>
          <w:szCs w:val="20"/>
        </w:rPr>
        <w:t>responsiveness,</w:t>
      </w:r>
      <w:r w:rsidRPr="280C9BAE">
        <w:rPr>
          <w:rFonts w:eastAsia="Verdana" w:cs="Verdana"/>
          <w:szCs w:val="20"/>
        </w:rPr>
        <w:t xml:space="preserve"> and recovery efforts.</w:t>
      </w:r>
    </w:p>
    <w:p w14:paraId="60D05B60" w14:textId="1E34DEC2" w:rsidR="3AE3C557" w:rsidRDefault="3AE3C557"/>
    <w:p w14:paraId="13E7D3E8" w14:textId="77777777" w:rsidR="00C73D92" w:rsidRDefault="00C73D92">
      <w:pPr>
        <w:rPr>
          <w:rFonts w:eastAsia="Verdana" w:cs="Verdana"/>
          <w:b/>
          <w:bCs/>
          <w:color w:val="C00000"/>
        </w:rPr>
      </w:pPr>
      <w:r>
        <w:rPr>
          <w:rFonts w:eastAsia="Verdana" w:cs="Verdana"/>
          <w:b/>
          <w:bCs/>
          <w:color w:val="C00000"/>
        </w:rPr>
        <w:br w:type="page"/>
      </w:r>
    </w:p>
    <w:p w14:paraId="13F3E8C7" w14:textId="55896B57" w:rsidR="280C9BAE" w:rsidRDefault="294F0AC8" w:rsidP="294F0AC8">
      <w:pPr>
        <w:rPr>
          <w:rFonts w:eastAsia="Calibri" w:cs="Arial"/>
          <w:b/>
          <w:bCs/>
          <w:color w:val="auto"/>
        </w:rPr>
      </w:pPr>
      <w:r w:rsidRPr="294F0AC8">
        <w:rPr>
          <w:rFonts w:eastAsia="Verdana" w:cs="Verdana"/>
          <w:b/>
          <w:bCs/>
          <w:color w:val="C00000"/>
        </w:rPr>
        <w:lastRenderedPageBreak/>
        <w:t>Recommendation 19:</w:t>
      </w:r>
      <w:r w:rsidRPr="294F0AC8">
        <w:rPr>
          <w:rFonts w:eastAsia="Verdana" w:cs="Verdana"/>
          <w:color w:val="CE2028"/>
        </w:rPr>
        <w:t xml:space="preserve"> </w:t>
      </w:r>
      <w:r w:rsidRPr="294F0AC8">
        <w:rPr>
          <w:rFonts w:eastAsia="Verdana" w:cs="Verdana"/>
          <w:b/>
          <w:bCs/>
          <w:color w:val="auto"/>
        </w:rPr>
        <w:t>Support and empower communities to build their resilience and lead disaster recovery efforts, including by:</w:t>
      </w:r>
    </w:p>
    <w:p w14:paraId="0841B1A7" w14:textId="44AF1540" w:rsidR="280C9BAE" w:rsidRDefault="0071485E" w:rsidP="00DD3DC0">
      <w:pPr>
        <w:pStyle w:val="ListParagraph"/>
        <w:numPr>
          <w:ilvl w:val="0"/>
          <w:numId w:val="39"/>
        </w:numPr>
        <w:rPr>
          <w:rFonts w:asciiTheme="minorHAnsi" w:eastAsiaTheme="minorEastAsia" w:hAnsiTheme="minorHAnsi"/>
          <w:b/>
        </w:rPr>
      </w:pPr>
      <w:r>
        <w:rPr>
          <w:b/>
        </w:rPr>
        <w:t>c</w:t>
      </w:r>
      <w:r w:rsidR="280C9BAE" w:rsidRPr="294F0AC8">
        <w:rPr>
          <w:b/>
        </w:rPr>
        <w:t xml:space="preserve">reating and funding local Community Resilience Hubs that are community-led, engage in building community </w:t>
      </w:r>
      <w:proofErr w:type="gramStart"/>
      <w:r w:rsidR="280C9BAE" w:rsidRPr="294F0AC8">
        <w:rPr>
          <w:b/>
        </w:rPr>
        <w:t>resilience</w:t>
      </w:r>
      <w:proofErr w:type="gramEnd"/>
      <w:r w:rsidR="280C9BAE" w:rsidRPr="294F0AC8">
        <w:rPr>
          <w:b/>
        </w:rPr>
        <w:t xml:space="preserve"> and assist the community in planning, response and recovery.</w:t>
      </w:r>
      <w:r w:rsidR="280C9BAE">
        <w:br/>
      </w:r>
      <w:r w:rsidR="294F0AC8" w:rsidRPr="294F0AC8">
        <w:rPr>
          <w:rFonts w:eastAsia="Verdana" w:cs="Verdana"/>
          <w:b/>
          <w:color w:val="auto"/>
          <w:sz w:val="19"/>
          <w:szCs w:val="19"/>
        </w:rPr>
        <w:t>Budget impact:</w:t>
      </w:r>
      <w:r w:rsidR="294F0AC8" w:rsidRPr="294F0AC8">
        <w:t xml:space="preserve"> </w:t>
      </w:r>
      <w:r w:rsidR="280C9BAE" w:rsidRPr="294F0AC8">
        <w:rPr>
          <w:b/>
          <w:i/>
          <w:iCs/>
        </w:rPr>
        <w:t>-$270 million (-$295 million in 2023-24)</w:t>
      </w:r>
      <w:r w:rsidR="280C9BAE" w:rsidRPr="294F0AC8">
        <w:rPr>
          <w:b/>
        </w:rPr>
        <w:t xml:space="preserve"> </w:t>
      </w:r>
      <w:r w:rsidR="280C9BAE" w:rsidRPr="294F0AC8">
        <w:rPr>
          <w:bCs w:val="0"/>
          <w:vertAlign w:val="superscript"/>
        </w:rPr>
        <w:footnoteReference w:id="15"/>
      </w:r>
      <w:r w:rsidR="280C9BAE">
        <w:br/>
      </w:r>
    </w:p>
    <w:p w14:paraId="509B841B" w14:textId="3FE6BE23" w:rsidR="280C9BAE" w:rsidRDefault="0071485E" w:rsidP="00DD3DC0">
      <w:pPr>
        <w:pStyle w:val="ListParagraph"/>
        <w:numPr>
          <w:ilvl w:val="0"/>
          <w:numId w:val="39"/>
        </w:numPr>
        <w:rPr>
          <w:rFonts w:asciiTheme="minorHAnsi" w:eastAsiaTheme="minorEastAsia" w:hAnsiTheme="minorHAnsi"/>
          <w:b/>
        </w:rPr>
      </w:pPr>
      <w:r>
        <w:rPr>
          <w:b/>
        </w:rPr>
        <w:t>f</w:t>
      </w:r>
      <w:r w:rsidR="280C9BAE" w:rsidRPr="294F0AC8">
        <w:rPr>
          <w:b/>
        </w:rPr>
        <w:t xml:space="preserve">unding local councils to form local community resilience committees to support development and implementation of resilience plans and to promote collaboration and joint planning between government, community </w:t>
      </w:r>
      <w:proofErr w:type="spellStart"/>
      <w:r w:rsidR="280C9BAE" w:rsidRPr="294F0AC8">
        <w:rPr>
          <w:b/>
        </w:rPr>
        <w:t>organisations</w:t>
      </w:r>
      <w:proofErr w:type="spellEnd"/>
      <w:r w:rsidR="280C9BAE" w:rsidRPr="294F0AC8">
        <w:rPr>
          <w:b/>
        </w:rPr>
        <w:t xml:space="preserve"> and local businesses. These committees could be subcommittees of relevant Commonwealth and state emergency management committees. We propose the Federal Government co-fund with states and territories. </w:t>
      </w:r>
      <w:r w:rsidR="280C9BAE">
        <w:br/>
      </w:r>
      <w:r w:rsidR="294F0AC8" w:rsidRPr="294F0AC8">
        <w:rPr>
          <w:rFonts w:eastAsiaTheme="minorEastAsia"/>
          <w:b/>
          <w:color w:val="auto"/>
          <w:sz w:val="19"/>
          <w:szCs w:val="19"/>
        </w:rPr>
        <w:t xml:space="preserve">Budget impact: </w:t>
      </w:r>
      <w:r w:rsidR="280C9BAE" w:rsidRPr="294F0AC8">
        <w:rPr>
          <w:b/>
          <w:i/>
          <w:iCs/>
        </w:rPr>
        <w:t>-$53 million (-$55 million in 2023-24)</w:t>
      </w:r>
      <w:r w:rsidR="280C9BAE" w:rsidRPr="294F0AC8">
        <w:rPr>
          <w:b/>
        </w:rPr>
        <w:t>.</w:t>
      </w:r>
      <w:r w:rsidR="280C9BAE" w:rsidRPr="294F0AC8">
        <w:rPr>
          <w:rStyle w:val="FootnoteReference"/>
          <w:b/>
        </w:rPr>
        <w:footnoteReference w:id="16"/>
      </w:r>
      <w:r w:rsidR="280C9BAE">
        <w:br/>
      </w:r>
    </w:p>
    <w:p w14:paraId="4F9E200C" w14:textId="50B0EF24" w:rsidR="280C9BAE" w:rsidRDefault="0071485E" w:rsidP="00DD3DC0">
      <w:pPr>
        <w:pStyle w:val="ListParagraph"/>
        <w:numPr>
          <w:ilvl w:val="0"/>
          <w:numId w:val="39"/>
        </w:numPr>
        <w:tabs>
          <w:tab w:val="left" w:pos="567"/>
          <w:tab w:val="left" w:pos="851"/>
        </w:tabs>
        <w:rPr>
          <w:rFonts w:asciiTheme="minorHAnsi" w:eastAsiaTheme="minorEastAsia" w:hAnsiTheme="minorHAnsi"/>
          <w:b/>
        </w:rPr>
      </w:pPr>
      <w:r>
        <w:rPr>
          <w:b/>
        </w:rPr>
        <w:t xml:space="preserve">  s</w:t>
      </w:r>
      <w:r w:rsidR="294F0AC8" w:rsidRPr="294F0AC8">
        <w:rPr>
          <w:b/>
        </w:rPr>
        <w:t xml:space="preserve">upporting the development of an online tool that includes a social vulnerability index (such as the Australian Natural Disaster Resilience Index) and online mapping feature to help identify where communities may need additional support to build resilience, prepare, </w:t>
      </w:r>
      <w:proofErr w:type="gramStart"/>
      <w:r w:rsidR="294F0AC8" w:rsidRPr="294F0AC8">
        <w:rPr>
          <w:b/>
        </w:rPr>
        <w:t>respond</w:t>
      </w:r>
      <w:proofErr w:type="gramEnd"/>
      <w:r w:rsidR="294F0AC8" w:rsidRPr="294F0AC8">
        <w:rPr>
          <w:b/>
        </w:rPr>
        <w:t xml:space="preserve"> and recover from disasters.</w:t>
      </w:r>
      <w:r w:rsidR="280C9BAE">
        <w:br/>
      </w:r>
      <w:r w:rsidR="294F0AC8" w:rsidRPr="294F0AC8">
        <w:rPr>
          <w:rFonts w:eastAsiaTheme="minorEastAsia"/>
          <w:b/>
          <w:color w:val="auto"/>
          <w:sz w:val="19"/>
          <w:szCs w:val="19"/>
        </w:rPr>
        <w:t>Budget impact:</w:t>
      </w:r>
      <w:r w:rsidR="294F0AC8" w:rsidRPr="294F0AC8">
        <w:rPr>
          <w:b/>
        </w:rPr>
        <w:t xml:space="preserve"> </w:t>
      </w:r>
      <w:r w:rsidR="294F0AC8" w:rsidRPr="294F0AC8">
        <w:rPr>
          <w:b/>
          <w:i/>
          <w:iCs/>
        </w:rPr>
        <w:t>-$1 million (-$2 million in 2023-24)</w:t>
      </w:r>
      <w:r w:rsidR="294F0AC8" w:rsidRPr="294F0AC8">
        <w:rPr>
          <w:b/>
        </w:rPr>
        <w:t>.</w:t>
      </w:r>
      <w:r w:rsidR="280C9BAE">
        <w:br/>
      </w:r>
    </w:p>
    <w:p w14:paraId="36FDC865" w14:textId="0D4C3700" w:rsidR="280C9BAE" w:rsidRDefault="0071485E" w:rsidP="00DD3DC0">
      <w:pPr>
        <w:pStyle w:val="ListParagraph"/>
        <w:numPr>
          <w:ilvl w:val="0"/>
          <w:numId w:val="39"/>
        </w:numPr>
        <w:tabs>
          <w:tab w:val="left" w:pos="567"/>
          <w:tab w:val="left" w:pos="851"/>
        </w:tabs>
        <w:rPr>
          <w:rFonts w:asciiTheme="minorHAnsi" w:eastAsiaTheme="minorEastAsia" w:hAnsiTheme="minorHAnsi"/>
          <w:b/>
        </w:rPr>
      </w:pPr>
      <w:r>
        <w:rPr>
          <w:b/>
        </w:rPr>
        <w:t xml:space="preserve">  p</w:t>
      </w:r>
      <w:r w:rsidR="294F0AC8" w:rsidRPr="294F0AC8">
        <w:rPr>
          <w:b/>
        </w:rPr>
        <w:t>roviding funding to support First Nations People and communities to participate in whole-of community responses to build climate resilience and to better prepare for, respond to and recover from natural disasters, building on traditional and local knowledge.</w:t>
      </w:r>
      <w:r w:rsidR="280C9BAE">
        <w:br/>
      </w:r>
      <w:r w:rsidR="294F0AC8" w:rsidRPr="294F0AC8">
        <w:rPr>
          <w:rFonts w:eastAsiaTheme="minorEastAsia"/>
          <w:b/>
          <w:color w:val="auto"/>
          <w:sz w:val="19"/>
          <w:szCs w:val="19"/>
        </w:rPr>
        <w:t xml:space="preserve">Budget impact: </w:t>
      </w:r>
      <w:r w:rsidR="294F0AC8" w:rsidRPr="294F0AC8">
        <w:rPr>
          <w:b/>
          <w:i/>
          <w:iCs/>
        </w:rPr>
        <w:t>-$25 million (-$25 million in 2023-24)</w:t>
      </w:r>
    </w:p>
    <w:p w14:paraId="36742DC8" w14:textId="585F869A" w:rsidR="280C9BAE" w:rsidRDefault="280C9BAE" w:rsidP="280C9BAE">
      <w:pPr>
        <w:pStyle w:val="List3"/>
        <w:tabs>
          <w:tab w:val="left" w:pos="567"/>
          <w:tab w:val="left" w:pos="851"/>
        </w:tabs>
        <w:rPr>
          <w:rFonts w:eastAsia="Calibri" w:cs="Arial"/>
          <w:szCs w:val="20"/>
        </w:rPr>
      </w:pPr>
    </w:p>
    <w:p w14:paraId="3C2A738F" w14:textId="0E35B471" w:rsidR="280C9BAE" w:rsidRDefault="294F0AC8" w:rsidP="294F0AC8">
      <w:pPr>
        <w:tabs>
          <w:tab w:val="left" w:pos="720"/>
        </w:tabs>
        <w:spacing w:line="257" w:lineRule="auto"/>
        <w:rPr>
          <w:rFonts w:eastAsia="Calibri" w:cs="Arial"/>
          <w:b/>
          <w:bCs/>
          <w:i/>
          <w:iCs/>
        </w:rPr>
      </w:pPr>
      <w:r w:rsidRPr="294F0AC8">
        <w:rPr>
          <w:rFonts w:eastAsia="Verdana" w:cs="Verdana"/>
          <w:b/>
          <w:bCs/>
          <w:color w:val="C00000"/>
        </w:rPr>
        <w:t>Budget impact:</w:t>
      </w:r>
      <w:r w:rsidRPr="294F0AC8">
        <w:rPr>
          <w:rFonts w:eastAsia="Verdana" w:cs="Verdana"/>
          <w:b/>
          <w:bCs/>
        </w:rPr>
        <w:t xml:space="preserve"> </w:t>
      </w:r>
      <w:r w:rsidRPr="294F0AC8">
        <w:rPr>
          <w:rFonts w:eastAsia="Verdana" w:cs="Verdana"/>
          <w:b/>
          <w:bCs/>
          <w:i/>
          <w:iCs/>
        </w:rPr>
        <w:t>-$350 million (-$380 million in 2023-24)</w:t>
      </w:r>
    </w:p>
    <w:p w14:paraId="0FC3104F" w14:textId="7147F69E" w:rsidR="280C9BAE" w:rsidRPr="000F66F8" w:rsidRDefault="280C9BAE" w:rsidP="001D1B51">
      <w:pPr>
        <w:pStyle w:val="Heading2"/>
      </w:pPr>
    </w:p>
    <w:p w14:paraId="4425F794" w14:textId="31386DB4" w:rsidR="280C9BAE" w:rsidRDefault="294F0AC8" w:rsidP="001D1B51">
      <w:pPr>
        <w:pStyle w:val="Heading2"/>
        <w:rPr>
          <w:rFonts w:ascii="Verdana" w:eastAsia="Calibri" w:hAnsi="Verdana" w:cs="Arial"/>
          <w:color w:val="000000" w:themeColor="text1"/>
          <w:sz w:val="20"/>
          <w:szCs w:val="20"/>
        </w:rPr>
      </w:pPr>
      <w:bookmarkStart w:id="458" w:name="_Toc386650638"/>
      <w:bookmarkStart w:id="459" w:name="_Toc895313847"/>
      <w:bookmarkStart w:id="460" w:name="_Toc1239266671"/>
      <w:bookmarkStart w:id="461" w:name="_Toc1813274040"/>
      <w:bookmarkStart w:id="462" w:name="_Toc486288588"/>
      <w:bookmarkStart w:id="463" w:name="_Toc1396055162"/>
      <w:bookmarkStart w:id="464" w:name="_Toc2136935215"/>
      <w:bookmarkStart w:id="465" w:name="_Toc1095987098"/>
      <w:bookmarkStart w:id="466" w:name="_Toc1400117549"/>
      <w:bookmarkStart w:id="467" w:name="_Toc1649988988"/>
      <w:bookmarkStart w:id="468" w:name="_Toc90983367"/>
      <w:bookmarkStart w:id="469" w:name="_Toc90984630"/>
      <w:r w:rsidRPr="294F0AC8">
        <w:t>Affordable, accessible, quality insurance</w:t>
      </w:r>
      <w:bookmarkEnd w:id="458"/>
      <w:bookmarkEnd w:id="459"/>
      <w:bookmarkEnd w:id="460"/>
      <w:bookmarkEnd w:id="461"/>
      <w:bookmarkEnd w:id="462"/>
      <w:bookmarkEnd w:id="463"/>
      <w:bookmarkEnd w:id="464"/>
      <w:bookmarkEnd w:id="465"/>
      <w:bookmarkEnd w:id="466"/>
      <w:bookmarkEnd w:id="467"/>
      <w:bookmarkEnd w:id="468"/>
      <w:bookmarkEnd w:id="469"/>
    </w:p>
    <w:p w14:paraId="4E8E895E" w14:textId="77777777" w:rsidR="00C73D92" w:rsidRDefault="00C73D92" w:rsidP="280C9BAE">
      <w:pPr>
        <w:spacing w:line="257" w:lineRule="auto"/>
        <w:rPr>
          <w:rFonts w:eastAsia="Verdana" w:cs="Verdana"/>
          <w:sz w:val="22"/>
        </w:rPr>
      </w:pPr>
    </w:p>
    <w:p w14:paraId="39D9DD34" w14:textId="7E4595BE" w:rsidR="280C9BAE" w:rsidRDefault="280C9BAE" w:rsidP="280C9BAE">
      <w:pPr>
        <w:spacing w:line="257" w:lineRule="auto"/>
        <w:rPr>
          <w:rFonts w:eastAsia="Verdana" w:cs="Verdana"/>
          <w:szCs w:val="20"/>
        </w:rPr>
      </w:pPr>
      <w:r w:rsidRPr="280C9BAE">
        <w:rPr>
          <w:rFonts w:eastAsia="Verdana" w:cs="Verdana"/>
          <w:sz w:val="22"/>
        </w:rPr>
        <w:t>T</w:t>
      </w:r>
      <w:r w:rsidRPr="280C9BAE">
        <w:rPr>
          <w:rFonts w:eastAsia="Verdana" w:cs="Verdana"/>
          <w:szCs w:val="20"/>
        </w:rPr>
        <w:t xml:space="preserve">he Australian Insurance Council argues that climate change will lead to increased damage to our infrastructure, property and assets and that insurance customers will need to make more insurance claims. </w:t>
      </w:r>
    </w:p>
    <w:p w14:paraId="218EFEFC" w14:textId="68BD1F74" w:rsidR="280C9BAE" w:rsidRDefault="280C9BAE" w:rsidP="280C9BAE">
      <w:pPr>
        <w:spacing w:line="257" w:lineRule="auto"/>
        <w:rPr>
          <w:rFonts w:eastAsia="Verdana" w:cs="Verdana"/>
          <w:szCs w:val="20"/>
        </w:rPr>
      </w:pPr>
      <w:r w:rsidRPr="294F0AC8">
        <w:rPr>
          <w:rFonts w:eastAsia="Verdana" w:cs="Verdana"/>
        </w:rPr>
        <w:t>It is well established that having insurance reduces financial hardship and speeds up recovery when affected by a natural disaster. However, covering the cost of insurance is becoming more difficult. The Insurance Council notes that insurance premiums have been rising because of an increase in catastrophic events. The average home insurance premium now costs almost four times as much as it did in 2004.</w:t>
      </w:r>
      <w:r w:rsidRPr="294F0AC8">
        <w:rPr>
          <w:rStyle w:val="FootnoteReference"/>
          <w:rFonts w:eastAsia="Verdana" w:cs="Verdana"/>
        </w:rPr>
        <w:footnoteReference w:id="17"/>
      </w:r>
      <w:r w:rsidRPr="294F0AC8">
        <w:rPr>
          <w:rFonts w:eastAsia="Verdana" w:cs="Verdana"/>
        </w:rPr>
        <w:t xml:space="preserve"> The research shows </w:t>
      </w:r>
      <w:r w:rsidRPr="294F0AC8">
        <w:rPr>
          <w:rFonts w:eastAsia="Verdana" w:cs="Verdana"/>
        </w:rPr>
        <w:lastRenderedPageBreak/>
        <w:t>every region in Australia will be affected by more extreme weather events and it is possible some regions will become uninsurable.</w:t>
      </w:r>
    </w:p>
    <w:p w14:paraId="7A35F4D7" w14:textId="3FB922F4" w:rsidR="280C9BAE" w:rsidRDefault="280C9BAE" w:rsidP="280C9BAE">
      <w:pPr>
        <w:rPr>
          <w:rFonts w:eastAsia="Verdana" w:cs="Verdana"/>
          <w:szCs w:val="20"/>
        </w:rPr>
      </w:pPr>
      <w:r w:rsidRPr="280C9BAE">
        <w:rPr>
          <w:rFonts w:eastAsia="Verdana" w:cs="Verdana"/>
          <w:szCs w:val="20"/>
        </w:rPr>
        <w:t>As insurance premiums increase, it is inevitable we will see more people, especially people already experiencing financial hardship, drop or reduce insurance as the costs become prohibitive. This will increase financial disadvantage and inequality in our community and lead to an increase in the need for government supports.</w:t>
      </w:r>
    </w:p>
    <w:p w14:paraId="3C7EC2E8" w14:textId="77777777" w:rsidR="00C73D92" w:rsidRDefault="00C73D92" w:rsidP="280C9BAE">
      <w:pPr>
        <w:rPr>
          <w:rFonts w:eastAsia="Verdana" w:cs="Verdana"/>
          <w:szCs w:val="20"/>
        </w:rPr>
      </w:pPr>
    </w:p>
    <w:p w14:paraId="5AE50D97" w14:textId="27AC4CEA" w:rsidR="280C9BAE" w:rsidRDefault="294F0AC8" w:rsidP="280C9BAE">
      <w:pPr>
        <w:spacing w:line="257" w:lineRule="auto"/>
      </w:pPr>
      <w:r w:rsidRPr="294F0AC8">
        <w:rPr>
          <w:rFonts w:eastAsia="Verdana" w:cs="Verdana"/>
          <w:b/>
          <w:bCs/>
          <w:color w:val="C00000"/>
        </w:rPr>
        <w:t>Recommendation 20:</w:t>
      </w:r>
      <w:r w:rsidRPr="294F0AC8">
        <w:rPr>
          <w:rFonts w:eastAsia="Verdana" w:cs="Verdana"/>
          <w:b/>
          <w:bCs/>
        </w:rPr>
        <w:t xml:space="preserve"> To support affordable, </w:t>
      </w:r>
      <w:r w:rsidR="007F1550" w:rsidRPr="294F0AC8">
        <w:rPr>
          <w:rFonts w:eastAsia="Verdana" w:cs="Verdana"/>
          <w:b/>
          <w:bCs/>
        </w:rPr>
        <w:t>accessible,</w:t>
      </w:r>
      <w:r w:rsidRPr="294F0AC8">
        <w:rPr>
          <w:rFonts w:eastAsia="Verdana" w:cs="Verdana"/>
          <w:b/>
          <w:bCs/>
        </w:rPr>
        <w:t xml:space="preserve"> and quality insurance, establish a review on insurance affordability in Australia </w:t>
      </w:r>
      <w:r w:rsidR="007F1550" w:rsidRPr="294F0AC8">
        <w:rPr>
          <w:rFonts w:eastAsia="Verdana" w:cs="Verdana"/>
          <w:b/>
          <w:bCs/>
        </w:rPr>
        <w:t>regarding</w:t>
      </w:r>
      <w:r w:rsidRPr="294F0AC8">
        <w:rPr>
          <w:rFonts w:eastAsia="Verdana" w:cs="Verdana"/>
          <w:b/>
          <w:bCs/>
        </w:rPr>
        <w:t xml:space="preserve"> worsening impacts of climate change and rising levels of financial difficulties; and options for ensuring insurance coverage for people on low incomes. </w:t>
      </w:r>
    </w:p>
    <w:p w14:paraId="341D5481" w14:textId="0B2A660A" w:rsidR="280C9BAE" w:rsidRDefault="294F0AC8" w:rsidP="280C9BAE">
      <w:pPr>
        <w:spacing w:line="257" w:lineRule="auto"/>
      </w:pPr>
      <w:r w:rsidRPr="294F0AC8">
        <w:rPr>
          <w:rFonts w:eastAsia="Verdana" w:cs="Verdana"/>
          <w:b/>
          <w:bCs/>
          <w:color w:val="C00000"/>
        </w:rPr>
        <w:t xml:space="preserve">Budget impact: </w:t>
      </w:r>
      <w:r w:rsidRPr="294F0AC8">
        <w:rPr>
          <w:rFonts w:eastAsia="Verdana" w:cs="Verdana"/>
          <w:b/>
          <w:bCs/>
          <w:i/>
          <w:iCs/>
        </w:rPr>
        <w:t xml:space="preserve">-$2 million </w:t>
      </w:r>
      <w:r w:rsidRPr="294F0AC8">
        <w:rPr>
          <w:rFonts w:eastAsia="Verdana" w:cs="Verdana"/>
          <w:b/>
          <w:bCs/>
        </w:rPr>
        <w:t>($0 million in 2023-24)</w:t>
      </w:r>
    </w:p>
    <w:p w14:paraId="44B55B5C" w14:textId="40541E3A" w:rsidR="280C9BAE" w:rsidRDefault="280C9BAE" w:rsidP="001D1B51">
      <w:pPr>
        <w:pStyle w:val="Heading2"/>
      </w:pPr>
    </w:p>
    <w:p w14:paraId="30E98482" w14:textId="362CBC5C" w:rsidR="006104B1" w:rsidRPr="00682224" w:rsidRDefault="294F0AC8" w:rsidP="001D1B51">
      <w:pPr>
        <w:pStyle w:val="Heading2"/>
      </w:pPr>
      <w:bookmarkStart w:id="470" w:name="_Toc980723424"/>
      <w:bookmarkStart w:id="471" w:name="_Toc900868713"/>
      <w:bookmarkStart w:id="472" w:name="_Toc954353065"/>
      <w:bookmarkStart w:id="473" w:name="_Toc268603271"/>
      <w:bookmarkStart w:id="474" w:name="_Toc1332088445"/>
      <w:bookmarkStart w:id="475" w:name="_Toc1297314863"/>
      <w:bookmarkStart w:id="476" w:name="_Toc2101443403"/>
      <w:bookmarkStart w:id="477" w:name="_Toc890781837"/>
      <w:bookmarkStart w:id="478" w:name="_Toc837497891"/>
      <w:bookmarkStart w:id="479" w:name="_Toc971853496"/>
      <w:bookmarkStart w:id="480" w:name="_Toc90983368"/>
      <w:bookmarkStart w:id="481" w:name="_Toc90984631"/>
      <w:r w:rsidRPr="294F0AC8">
        <w:t>Better meet the needs of people affected by natural disasters</w:t>
      </w:r>
      <w:bookmarkEnd w:id="470"/>
      <w:bookmarkEnd w:id="471"/>
      <w:bookmarkEnd w:id="472"/>
      <w:bookmarkEnd w:id="473"/>
      <w:bookmarkEnd w:id="474"/>
      <w:bookmarkEnd w:id="475"/>
      <w:bookmarkEnd w:id="476"/>
      <w:bookmarkEnd w:id="477"/>
      <w:bookmarkEnd w:id="478"/>
      <w:bookmarkEnd w:id="479"/>
      <w:bookmarkEnd w:id="480"/>
      <w:bookmarkEnd w:id="481"/>
    </w:p>
    <w:p w14:paraId="131124C2" w14:textId="77777777" w:rsidR="00C73D92" w:rsidRDefault="00C73D92" w:rsidP="280C9BAE">
      <w:pPr>
        <w:rPr>
          <w:rFonts w:eastAsia="Verdana" w:cs="Verdana"/>
          <w:szCs w:val="20"/>
        </w:rPr>
      </w:pPr>
    </w:p>
    <w:p w14:paraId="2F83C1D7" w14:textId="70969A01" w:rsidR="006104B1" w:rsidRPr="00682224" w:rsidRDefault="280C9BAE" w:rsidP="280C9BAE">
      <w:pPr>
        <w:rPr>
          <w:rFonts w:eastAsia="Calibri" w:cs="Arial"/>
          <w:szCs w:val="20"/>
        </w:rPr>
      </w:pPr>
      <w:r w:rsidRPr="280C9BAE">
        <w:rPr>
          <w:rFonts w:eastAsia="Verdana" w:cs="Verdana"/>
          <w:szCs w:val="20"/>
        </w:rPr>
        <w:t xml:space="preserve">Feedback from community sector </w:t>
      </w:r>
      <w:proofErr w:type="spellStart"/>
      <w:r w:rsidRPr="280C9BAE">
        <w:rPr>
          <w:rFonts w:eastAsia="Verdana" w:cs="Verdana"/>
          <w:szCs w:val="20"/>
        </w:rPr>
        <w:t>organisations</w:t>
      </w:r>
      <w:proofErr w:type="spellEnd"/>
      <w:r w:rsidRPr="280C9BAE">
        <w:rPr>
          <w:rFonts w:eastAsia="Verdana" w:cs="Verdana"/>
          <w:szCs w:val="20"/>
        </w:rPr>
        <w:t xml:space="preserve"> on the ground during extreme weather events such as bushfires, </w:t>
      </w:r>
      <w:r w:rsidR="007F1550" w:rsidRPr="280C9BAE">
        <w:rPr>
          <w:rFonts w:eastAsia="Verdana" w:cs="Verdana"/>
          <w:szCs w:val="20"/>
        </w:rPr>
        <w:t>floods,</w:t>
      </w:r>
      <w:r w:rsidRPr="280C9BAE">
        <w:rPr>
          <w:rFonts w:eastAsia="Verdana" w:cs="Verdana"/>
          <w:szCs w:val="20"/>
        </w:rPr>
        <w:t xml:space="preserve"> and storms, suggests that the quantum, </w:t>
      </w:r>
      <w:r w:rsidR="007F1550" w:rsidRPr="280C9BAE">
        <w:rPr>
          <w:rFonts w:eastAsia="Verdana" w:cs="Verdana"/>
          <w:szCs w:val="20"/>
        </w:rPr>
        <w:t>timeliness,</w:t>
      </w:r>
      <w:r w:rsidRPr="280C9BAE">
        <w:rPr>
          <w:rFonts w:eastAsia="Verdana" w:cs="Verdana"/>
          <w:szCs w:val="20"/>
        </w:rPr>
        <w:t xml:space="preserve"> and accessibility of support has not adequately met the needs of affected communities. </w:t>
      </w:r>
    </w:p>
    <w:p w14:paraId="36B186A3" w14:textId="07E49223" w:rsidR="006104B1" w:rsidRPr="00682224" w:rsidRDefault="280C9BAE" w:rsidP="280C9BAE">
      <w:pPr>
        <w:rPr>
          <w:rFonts w:eastAsia="Calibri" w:cs="Arial"/>
        </w:rPr>
      </w:pPr>
      <w:r w:rsidRPr="05A21A44">
        <w:rPr>
          <w:rFonts w:eastAsia="Verdana" w:cs="Verdana"/>
        </w:rPr>
        <w:t xml:space="preserve">It's important we have adequate support measures and processes in place to reduce trauma and facilitate a speedy recovery from climate change induced natural disasters. </w:t>
      </w:r>
    </w:p>
    <w:p w14:paraId="66705E71" w14:textId="2F4EFFB6" w:rsidR="003C73EF" w:rsidRDefault="294F0AC8" w:rsidP="294F0AC8">
      <w:pPr>
        <w:rPr>
          <w:rFonts w:eastAsia="Verdana" w:cs="Verdana"/>
          <w:b/>
          <w:bCs/>
        </w:rPr>
      </w:pPr>
      <w:r w:rsidRPr="294F0AC8">
        <w:rPr>
          <w:rFonts w:eastAsia="Verdana" w:cs="Verdana"/>
          <w:b/>
          <w:bCs/>
          <w:color w:val="C00000"/>
          <w:sz w:val="19"/>
          <w:szCs w:val="19"/>
        </w:rPr>
        <w:t>Recommendation 21:</w:t>
      </w:r>
      <w:r w:rsidRPr="294F0AC8">
        <w:rPr>
          <w:rFonts w:eastAsia="Verdana" w:cs="Verdana"/>
          <w:b/>
          <w:bCs/>
        </w:rPr>
        <w:t xml:space="preserve"> Better meet the needs of people affected by natural disaster by:</w:t>
      </w:r>
    </w:p>
    <w:p w14:paraId="5985EE5A" w14:textId="108267EB" w:rsidR="0026289A" w:rsidRPr="00B10971" w:rsidRDefault="007F1550" w:rsidP="00B10971">
      <w:pPr>
        <w:pStyle w:val="ListParagraph"/>
        <w:numPr>
          <w:ilvl w:val="0"/>
          <w:numId w:val="57"/>
        </w:numPr>
        <w:tabs>
          <w:tab w:val="left" w:pos="567"/>
        </w:tabs>
        <w:rPr>
          <w:rFonts w:asciiTheme="minorHAnsi" w:eastAsiaTheme="minorEastAsia" w:hAnsiTheme="minorHAnsi"/>
          <w:b/>
        </w:rPr>
      </w:pPr>
      <w:r w:rsidRPr="00B10971">
        <w:rPr>
          <w:rFonts w:eastAsia="Verdana" w:cs="Verdana"/>
          <w:b/>
          <w:color w:val="auto"/>
        </w:rPr>
        <w:t>i</w:t>
      </w:r>
      <w:r w:rsidR="003C73EF" w:rsidRPr="00B10971">
        <w:rPr>
          <w:rFonts w:eastAsia="Verdana" w:cs="Verdana"/>
          <w:b/>
          <w:color w:val="auto"/>
        </w:rPr>
        <w:t xml:space="preserve">ncreasing </w:t>
      </w:r>
      <w:r w:rsidR="30DC3B8D" w:rsidRPr="00B10971">
        <w:rPr>
          <w:rFonts w:eastAsia="Verdana" w:cs="Verdana"/>
          <w:b/>
          <w:color w:val="auto"/>
        </w:rPr>
        <w:t>the Australian Government Disaster Recovery Payment from $1,000 to $3,000, and from $</w:t>
      </w:r>
      <w:r w:rsidR="00B10971" w:rsidRPr="00B10971">
        <w:rPr>
          <w:rFonts w:eastAsia="Verdana" w:cs="Verdana"/>
          <w:b/>
          <w:color w:val="auto"/>
        </w:rPr>
        <w:t>4</w:t>
      </w:r>
      <w:r w:rsidR="30DC3B8D" w:rsidRPr="00B10971">
        <w:rPr>
          <w:rFonts w:eastAsia="Verdana" w:cs="Verdana"/>
          <w:b/>
          <w:color w:val="auto"/>
        </w:rPr>
        <w:t xml:space="preserve">00 per child to $1,000 per child. </w:t>
      </w:r>
    </w:p>
    <w:p w14:paraId="06CB0391" w14:textId="28518EFD" w:rsidR="30DC3B8D" w:rsidRPr="00B10971" w:rsidRDefault="007F1550" w:rsidP="00B10971">
      <w:pPr>
        <w:pStyle w:val="ListParagraph"/>
        <w:numPr>
          <w:ilvl w:val="0"/>
          <w:numId w:val="57"/>
        </w:numPr>
        <w:tabs>
          <w:tab w:val="left" w:pos="567"/>
        </w:tabs>
        <w:rPr>
          <w:rFonts w:asciiTheme="minorHAnsi" w:eastAsiaTheme="minorEastAsia" w:hAnsiTheme="minorHAnsi"/>
          <w:b/>
        </w:rPr>
      </w:pPr>
      <w:r w:rsidRPr="00B10971">
        <w:rPr>
          <w:rFonts w:eastAsia="Verdana" w:cs="Verdana"/>
          <w:b/>
          <w:color w:val="auto"/>
        </w:rPr>
        <w:t>i</w:t>
      </w:r>
      <w:r w:rsidR="280C9BAE" w:rsidRPr="00B10971">
        <w:rPr>
          <w:rFonts w:eastAsia="Verdana" w:cs="Verdana"/>
          <w:b/>
          <w:color w:val="auto"/>
        </w:rPr>
        <w:t>ncreasing</w:t>
      </w:r>
      <w:r w:rsidR="00E23A40" w:rsidRPr="00B10971">
        <w:rPr>
          <w:rFonts w:eastAsia="Verdana" w:cs="Verdana"/>
          <w:b/>
          <w:color w:val="auto"/>
        </w:rPr>
        <w:t xml:space="preserve"> </w:t>
      </w:r>
      <w:r w:rsidR="30DC3B8D" w:rsidRPr="00B10971">
        <w:rPr>
          <w:rFonts w:eastAsia="Verdana" w:cs="Verdana"/>
          <w:b/>
          <w:color w:val="auto"/>
        </w:rPr>
        <w:t xml:space="preserve">the </w:t>
      </w:r>
      <w:r w:rsidR="000F350C" w:rsidRPr="00B10971">
        <w:rPr>
          <w:rFonts w:eastAsia="Verdana" w:cs="Verdana"/>
          <w:b/>
          <w:color w:val="auto"/>
        </w:rPr>
        <w:t xml:space="preserve">amount and duration of </w:t>
      </w:r>
      <w:r w:rsidR="30DC3B8D" w:rsidRPr="00B10971">
        <w:rPr>
          <w:rFonts w:eastAsia="Verdana" w:cs="Verdana"/>
          <w:b/>
          <w:color w:val="auto"/>
        </w:rPr>
        <w:t xml:space="preserve">Disaster Recovery Allowance. </w:t>
      </w:r>
    </w:p>
    <w:p w14:paraId="363F0EFA" w14:textId="54AA5516" w:rsidR="6C63D598" w:rsidRPr="00B10971" w:rsidRDefault="007F1550" w:rsidP="00B10971">
      <w:pPr>
        <w:pStyle w:val="ListParagraph"/>
        <w:numPr>
          <w:ilvl w:val="0"/>
          <w:numId w:val="57"/>
        </w:numPr>
        <w:tabs>
          <w:tab w:val="left" w:pos="567"/>
        </w:tabs>
        <w:rPr>
          <w:rFonts w:asciiTheme="minorHAnsi" w:eastAsiaTheme="minorEastAsia" w:hAnsiTheme="minorHAnsi"/>
          <w:b/>
        </w:rPr>
      </w:pPr>
      <w:r w:rsidRPr="00B10971">
        <w:rPr>
          <w:rFonts w:eastAsia="Verdana" w:cs="Verdana"/>
          <w:b/>
          <w:color w:val="auto"/>
        </w:rPr>
        <w:t>p</w:t>
      </w:r>
      <w:r w:rsidR="003C73EF" w:rsidRPr="00B10971">
        <w:rPr>
          <w:rFonts w:eastAsia="Verdana" w:cs="Verdana"/>
          <w:b/>
          <w:color w:val="auto"/>
        </w:rPr>
        <w:t>roviding</w:t>
      </w:r>
      <w:r w:rsidR="6C63D598" w:rsidRPr="00B10971">
        <w:rPr>
          <w:rFonts w:eastAsia="Verdana" w:cs="Verdana"/>
          <w:b/>
          <w:color w:val="auto"/>
        </w:rPr>
        <w:t xml:space="preserve"> </w:t>
      </w:r>
      <w:r w:rsidR="30DC3B8D" w:rsidRPr="00B10971">
        <w:rPr>
          <w:rFonts w:eastAsia="Verdana" w:cs="Verdana"/>
          <w:b/>
          <w:color w:val="auto"/>
        </w:rPr>
        <w:t xml:space="preserve">Rent Assistance </w:t>
      </w:r>
      <w:r w:rsidR="003C73EF" w:rsidRPr="00B10971">
        <w:rPr>
          <w:rFonts w:eastAsia="Verdana" w:cs="Verdana"/>
          <w:b/>
          <w:color w:val="auto"/>
        </w:rPr>
        <w:t xml:space="preserve">to </w:t>
      </w:r>
      <w:r w:rsidR="30DC3B8D" w:rsidRPr="00B10971">
        <w:rPr>
          <w:rFonts w:eastAsia="Verdana" w:cs="Verdana"/>
          <w:b/>
          <w:color w:val="auto"/>
        </w:rPr>
        <w:t xml:space="preserve">people </w:t>
      </w:r>
      <w:r w:rsidR="280C9BAE" w:rsidRPr="00B10971">
        <w:rPr>
          <w:rFonts w:eastAsia="Verdana" w:cs="Verdana"/>
          <w:b/>
          <w:color w:val="auto"/>
        </w:rPr>
        <w:t>receiving</w:t>
      </w:r>
      <w:r w:rsidR="30DC3B8D" w:rsidRPr="00B10971">
        <w:rPr>
          <w:rFonts w:eastAsia="Verdana" w:cs="Verdana"/>
          <w:b/>
          <w:color w:val="auto"/>
        </w:rPr>
        <w:t xml:space="preserve"> Disaster</w:t>
      </w:r>
      <w:r w:rsidR="23A74ED7" w:rsidRPr="00B10971">
        <w:rPr>
          <w:rFonts w:eastAsia="Verdana" w:cs="Verdana"/>
          <w:b/>
          <w:color w:val="auto"/>
        </w:rPr>
        <w:t xml:space="preserve"> </w:t>
      </w:r>
      <w:r w:rsidR="30DC3B8D" w:rsidRPr="00B10971">
        <w:rPr>
          <w:rFonts w:eastAsia="Verdana" w:cs="Verdana"/>
          <w:b/>
          <w:color w:val="auto"/>
        </w:rPr>
        <w:t>Recove</w:t>
      </w:r>
      <w:r w:rsidR="0470EE5E" w:rsidRPr="00B10971">
        <w:rPr>
          <w:rFonts w:eastAsia="Verdana" w:cs="Verdana"/>
          <w:b/>
          <w:color w:val="auto"/>
        </w:rPr>
        <w:t>ry</w:t>
      </w:r>
      <w:r w:rsidR="280C9BAE" w:rsidRPr="00B10971">
        <w:rPr>
          <w:rFonts w:eastAsia="Verdana" w:cs="Verdana"/>
          <w:b/>
          <w:color w:val="auto"/>
        </w:rPr>
        <w:t xml:space="preserve"> Payments.</w:t>
      </w:r>
      <w:r w:rsidR="0026289A" w:rsidRPr="294F0AC8">
        <w:rPr>
          <w:rStyle w:val="FootnoteReference"/>
          <w:rFonts w:eastAsia="Verdana" w:cs="Verdana"/>
          <w:bCs w:val="0"/>
          <w:color w:val="auto"/>
        </w:rPr>
        <w:footnoteReference w:id="18"/>
      </w:r>
      <w:r w:rsidR="0470EE5E" w:rsidRPr="00B10971">
        <w:rPr>
          <w:rFonts w:eastAsia="Verdana" w:cs="Verdana"/>
          <w:b/>
          <w:color w:val="auto"/>
        </w:rPr>
        <w:t xml:space="preserve"> </w:t>
      </w:r>
    </w:p>
    <w:p w14:paraId="4560E2D6" w14:textId="7C16FEC3" w:rsidR="00985429" w:rsidRPr="00B10971" w:rsidRDefault="007F1550" w:rsidP="00B10971">
      <w:pPr>
        <w:pStyle w:val="ListParagraph"/>
        <w:numPr>
          <w:ilvl w:val="0"/>
          <w:numId w:val="57"/>
        </w:numPr>
        <w:tabs>
          <w:tab w:val="left" w:pos="567"/>
        </w:tabs>
        <w:rPr>
          <w:rFonts w:asciiTheme="minorHAnsi" w:eastAsiaTheme="minorEastAsia" w:hAnsiTheme="minorHAnsi"/>
          <w:b/>
        </w:rPr>
      </w:pPr>
      <w:r w:rsidRPr="00B10971">
        <w:rPr>
          <w:rFonts w:eastAsia="Verdana" w:cs="Verdana"/>
          <w:b/>
          <w:color w:val="auto"/>
        </w:rPr>
        <w:t>i</w:t>
      </w:r>
      <w:r w:rsidR="003C73EF" w:rsidRPr="00B10971">
        <w:rPr>
          <w:rFonts w:eastAsia="Verdana" w:cs="Verdana"/>
          <w:b/>
          <w:color w:val="auto"/>
        </w:rPr>
        <w:t>ncreasing</w:t>
      </w:r>
      <w:r w:rsidR="30DC3B8D" w:rsidRPr="00B10971">
        <w:rPr>
          <w:rFonts w:eastAsia="Verdana" w:cs="Verdana"/>
          <w:b/>
          <w:color w:val="auto"/>
        </w:rPr>
        <w:t xml:space="preserve"> funding for food relief</w:t>
      </w:r>
      <w:r w:rsidR="28AD5133" w:rsidRPr="00B10971">
        <w:rPr>
          <w:rFonts w:eastAsia="Verdana" w:cs="Verdana"/>
          <w:b/>
          <w:color w:val="auto"/>
        </w:rPr>
        <w:t xml:space="preserve">. </w:t>
      </w:r>
      <w:r w:rsidR="280C9BAE" w:rsidRPr="00B10971">
        <w:rPr>
          <w:rFonts w:eastAsia="Verdana" w:cs="Verdana"/>
          <w:b/>
          <w:color w:val="auto"/>
        </w:rPr>
        <w:t xml:space="preserve"> </w:t>
      </w:r>
    </w:p>
    <w:p w14:paraId="56422EAD" w14:textId="262F8906" w:rsidR="796C7965" w:rsidRPr="00B10971" w:rsidRDefault="007F1550" w:rsidP="00B10971">
      <w:pPr>
        <w:pStyle w:val="ListParagraph"/>
        <w:numPr>
          <w:ilvl w:val="0"/>
          <w:numId w:val="57"/>
        </w:numPr>
        <w:tabs>
          <w:tab w:val="left" w:pos="567"/>
        </w:tabs>
        <w:rPr>
          <w:rFonts w:asciiTheme="minorHAnsi" w:eastAsiaTheme="minorEastAsia" w:hAnsiTheme="minorHAnsi"/>
          <w:b/>
        </w:rPr>
      </w:pPr>
      <w:r w:rsidRPr="00B10971">
        <w:rPr>
          <w:rFonts w:eastAsia="Verdana" w:cs="Verdana"/>
          <w:b/>
          <w:color w:val="auto"/>
        </w:rPr>
        <w:t>s</w:t>
      </w:r>
      <w:r w:rsidR="280C9BAE" w:rsidRPr="00B10971">
        <w:rPr>
          <w:rFonts w:eastAsia="Verdana" w:cs="Verdana"/>
          <w:b/>
          <w:color w:val="auto"/>
        </w:rPr>
        <w:t>treamlining government</w:t>
      </w:r>
      <w:r w:rsidR="30DC3B8D" w:rsidRPr="00B10971">
        <w:rPr>
          <w:rFonts w:eastAsia="Verdana" w:cs="Verdana"/>
          <w:b/>
          <w:color w:val="auto"/>
        </w:rPr>
        <w:t xml:space="preserve"> payment processes so that help gets to people on the ground quickly</w:t>
      </w:r>
      <w:r w:rsidR="280C9BAE" w:rsidRPr="00B10971">
        <w:rPr>
          <w:rFonts w:eastAsiaTheme="minorEastAsia"/>
          <w:b/>
          <w:color w:val="auto"/>
        </w:rPr>
        <w:t>.</w:t>
      </w:r>
    </w:p>
    <w:p w14:paraId="57E9DA8F" w14:textId="3E85BC94" w:rsidR="16E85B29" w:rsidRPr="00B10971" w:rsidRDefault="007F1550" w:rsidP="00B10971">
      <w:pPr>
        <w:pStyle w:val="ListParagraph"/>
        <w:numPr>
          <w:ilvl w:val="0"/>
          <w:numId w:val="57"/>
        </w:numPr>
        <w:tabs>
          <w:tab w:val="left" w:pos="567"/>
        </w:tabs>
        <w:rPr>
          <w:rFonts w:asciiTheme="minorHAnsi" w:eastAsiaTheme="minorEastAsia" w:hAnsiTheme="minorHAnsi"/>
          <w:b/>
        </w:rPr>
      </w:pPr>
      <w:r w:rsidRPr="00B10971">
        <w:rPr>
          <w:rFonts w:eastAsia="Verdana" w:cs="Verdana"/>
          <w:b/>
          <w:color w:val="auto"/>
        </w:rPr>
        <w:t>s</w:t>
      </w:r>
      <w:r w:rsidR="280C9BAE" w:rsidRPr="00B10971">
        <w:rPr>
          <w:rFonts w:eastAsia="Verdana" w:cs="Verdana"/>
          <w:b/>
          <w:color w:val="auto"/>
        </w:rPr>
        <w:t>treamlining</w:t>
      </w:r>
      <w:r w:rsidR="30DC3B8D" w:rsidRPr="00B10971">
        <w:rPr>
          <w:rFonts w:eastAsia="Verdana" w:cs="Verdana"/>
          <w:b/>
          <w:color w:val="auto"/>
        </w:rPr>
        <w:t xml:space="preserve"> coordination of </w:t>
      </w:r>
      <w:r w:rsidR="280C9BAE" w:rsidRPr="00B10971">
        <w:rPr>
          <w:rFonts w:eastAsia="Verdana" w:cs="Verdana"/>
          <w:b/>
          <w:color w:val="auto"/>
        </w:rPr>
        <w:t>government</w:t>
      </w:r>
      <w:r w:rsidR="30DC3B8D" w:rsidRPr="00B10971">
        <w:rPr>
          <w:rFonts w:eastAsia="Verdana" w:cs="Verdana"/>
          <w:b/>
          <w:color w:val="auto"/>
        </w:rPr>
        <w:t xml:space="preserve"> and community disaster recovery assistance</w:t>
      </w:r>
      <w:r w:rsidR="280C9BAE" w:rsidRPr="00B10971">
        <w:rPr>
          <w:rFonts w:eastAsiaTheme="minorEastAsia"/>
          <w:b/>
          <w:color w:val="auto"/>
        </w:rPr>
        <w:t>.</w:t>
      </w:r>
    </w:p>
    <w:p w14:paraId="3EA7E6DF" w14:textId="3F4A0347" w:rsidR="1B41DD17" w:rsidRPr="00B10971" w:rsidRDefault="007F1550" w:rsidP="00B10971">
      <w:pPr>
        <w:pStyle w:val="ListParagraph"/>
        <w:numPr>
          <w:ilvl w:val="0"/>
          <w:numId w:val="57"/>
        </w:numPr>
        <w:tabs>
          <w:tab w:val="left" w:pos="567"/>
        </w:tabs>
        <w:rPr>
          <w:rFonts w:asciiTheme="minorHAnsi" w:eastAsiaTheme="minorEastAsia" w:hAnsiTheme="minorHAnsi"/>
          <w:b/>
        </w:rPr>
      </w:pPr>
      <w:r w:rsidRPr="00B10971">
        <w:rPr>
          <w:rFonts w:eastAsia="Verdana" w:cs="Verdana"/>
          <w:b/>
          <w:color w:val="auto"/>
        </w:rPr>
        <w:t>e</w:t>
      </w:r>
      <w:r w:rsidR="003C73EF" w:rsidRPr="00B10971">
        <w:rPr>
          <w:rFonts w:eastAsia="Verdana" w:cs="Verdana"/>
          <w:b/>
          <w:color w:val="auto"/>
        </w:rPr>
        <w:t>xpanding</w:t>
      </w:r>
      <w:r w:rsidR="0006088A" w:rsidRPr="00B10971">
        <w:rPr>
          <w:rFonts w:eastAsia="Verdana" w:cs="Verdana"/>
          <w:b/>
          <w:color w:val="auto"/>
        </w:rPr>
        <w:t xml:space="preserve"> m</w:t>
      </w:r>
      <w:r w:rsidR="30DC3B8D" w:rsidRPr="00B10971">
        <w:rPr>
          <w:rFonts w:eastAsia="Verdana" w:cs="Verdana"/>
          <w:b/>
          <w:color w:val="auto"/>
        </w:rPr>
        <w:t xml:space="preserve">obile recovery </w:t>
      </w:r>
      <w:proofErr w:type="spellStart"/>
      <w:r w:rsidR="30DC3B8D" w:rsidRPr="00B10971">
        <w:rPr>
          <w:rFonts w:eastAsia="Verdana" w:cs="Verdana"/>
          <w:b/>
          <w:color w:val="auto"/>
        </w:rPr>
        <w:t>centres</w:t>
      </w:r>
      <w:proofErr w:type="spellEnd"/>
      <w:r w:rsidR="30DC3B8D" w:rsidRPr="00B10971">
        <w:rPr>
          <w:rFonts w:eastAsia="Verdana" w:cs="Verdana"/>
          <w:b/>
          <w:color w:val="auto"/>
        </w:rPr>
        <w:t xml:space="preserve"> and outreach clinics</w:t>
      </w:r>
      <w:r w:rsidR="003C73EF" w:rsidRPr="00B10971">
        <w:rPr>
          <w:rFonts w:eastAsia="Verdana" w:cs="Verdana"/>
          <w:b/>
          <w:color w:val="auto"/>
        </w:rPr>
        <w:t>.</w:t>
      </w:r>
    </w:p>
    <w:p w14:paraId="53C298FE" w14:textId="7ED17C13" w:rsidR="523D343D" w:rsidRPr="00B10971" w:rsidRDefault="007F1550" w:rsidP="00B10971">
      <w:pPr>
        <w:pStyle w:val="ListParagraph"/>
        <w:numPr>
          <w:ilvl w:val="0"/>
          <w:numId w:val="57"/>
        </w:numPr>
        <w:tabs>
          <w:tab w:val="left" w:pos="567"/>
        </w:tabs>
        <w:rPr>
          <w:rFonts w:asciiTheme="minorHAnsi" w:eastAsiaTheme="minorEastAsia" w:hAnsiTheme="minorHAnsi"/>
          <w:b/>
        </w:rPr>
      </w:pPr>
      <w:r w:rsidRPr="00B10971">
        <w:rPr>
          <w:rFonts w:eastAsia="Verdana" w:cs="Verdana"/>
          <w:b/>
          <w:color w:val="auto"/>
        </w:rPr>
        <w:t>c</w:t>
      </w:r>
      <w:r w:rsidR="003C73EF" w:rsidRPr="00B10971">
        <w:rPr>
          <w:rFonts w:eastAsia="Verdana" w:cs="Verdana"/>
          <w:b/>
          <w:color w:val="auto"/>
        </w:rPr>
        <w:t>overing</w:t>
      </w:r>
      <w:r w:rsidR="30DC3B8D" w:rsidRPr="00B10971">
        <w:rPr>
          <w:rFonts w:eastAsia="Verdana" w:cs="Verdana"/>
          <w:b/>
          <w:color w:val="auto"/>
        </w:rPr>
        <w:t xml:space="preserve"> funeral costs for people who have lost their lives in a natural disaster</w:t>
      </w:r>
      <w:r w:rsidR="003C73EF" w:rsidRPr="00B10971">
        <w:rPr>
          <w:rFonts w:eastAsia="Verdana" w:cs="Verdana"/>
          <w:b/>
          <w:color w:val="auto"/>
        </w:rPr>
        <w:t>.</w:t>
      </w:r>
    </w:p>
    <w:p w14:paraId="6668CDC1" w14:textId="0A34415E" w:rsidR="00E23A40" w:rsidRPr="00B10971" w:rsidRDefault="007F1550" w:rsidP="00B10971">
      <w:pPr>
        <w:pStyle w:val="ListParagraph"/>
        <w:numPr>
          <w:ilvl w:val="0"/>
          <w:numId w:val="57"/>
        </w:numPr>
        <w:tabs>
          <w:tab w:val="left" w:pos="567"/>
        </w:tabs>
        <w:rPr>
          <w:rFonts w:asciiTheme="minorHAnsi" w:eastAsiaTheme="minorEastAsia" w:hAnsiTheme="minorHAnsi"/>
          <w:b/>
        </w:rPr>
      </w:pPr>
      <w:r w:rsidRPr="00B10971">
        <w:rPr>
          <w:rFonts w:eastAsia="Verdana" w:cs="Verdana"/>
          <w:b/>
          <w:color w:val="auto"/>
        </w:rPr>
        <w:t>a</w:t>
      </w:r>
      <w:r w:rsidR="280C9BAE" w:rsidRPr="00B10971">
        <w:rPr>
          <w:rFonts w:eastAsia="Verdana" w:cs="Verdana"/>
          <w:b/>
          <w:color w:val="auto"/>
        </w:rPr>
        <w:t xml:space="preserve">ssisting to identify short-term accommodation </w:t>
      </w:r>
    </w:p>
    <w:p w14:paraId="596158D8" w14:textId="359014FB" w:rsidR="00E23A40" w:rsidRPr="00B10971" w:rsidRDefault="007F1550" w:rsidP="00B10971">
      <w:pPr>
        <w:pStyle w:val="ListParagraph"/>
        <w:numPr>
          <w:ilvl w:val="0"/>
          <w:numId w:val="57"/>
        </w:numPr>
        <w:tabs>
          <w:tab w:val="left" w:pos="567"/>
        </w:tabs>
        <w:rPr>
          <w:rFonts w:asciiTheme="minorHAnsi" w:eastAsiaTheme="minorEastAsia" w:hAnsiTheme="minorHAnsi"/>
          <w:b/>
        </w:rPr>
      </w:pPr>
      <w:r w:rsidRPr="00B10971">
        <w:rPr>
          <w:rFonts w:eastAsia="Verdana" w:cs="Verdana"/>
          <w:b/>
          <w:color w:val="auto"/>
        </w:rPr>
        <w:t>providing a</w:t>
      </w:r>
      <w:r w:rsidR="30DC3B8D" w:rsidRPr="00B10971">
        <w:rPr>
          <w:rFonts w:eastAsia="Verdana" w:cs="Verdana"/>
          <w:b/>
          <w:color w:val="auto"/>
        </w:rPr>
        <w:t>dditional funding to meet demand for social support services post disaster</w:t>
      </w:r>
      <w:r w:rsidR="003C73EF" w:rsidRPr="00B10971">
        <w:rPr>
          <w:rFonts w:eastAsia="Verdana" w:cs="Verdana"/>
          <w:b/>
          <w:color w:val="auto"/>
        </w:rPr>
        <w:t>.</w:t>
      </w:r>
    </w:p>
    <w:p w14:paraId="10E1828F" w14:textId="11BB6BA4" w:rsidR="280C9BAE" w:rsidRDefault="280C9BAE" w:rsidP="280C9BAE">
      <w:pPr>
        <w:pStyle w:val="List3"/>
        <w:tabs>
          <w:tab w:val="left" w:pos="567"/>
        </w:tabs>
        <w:ind w:left="0" w:firstLine="0"/>
        <w:rPr>
          <w:rFonts w:eastAsia="Calibri" w:cs="Arial"/>
          <w:szCs w:val="20"/>
        </w:rPr>
      </w:pPr>
    </w:p>
    <w:p w14:paraId="4C5D0A1D" w14:textId="37770FE2" w:rsidR="280C9BAE" w:rsidRDefault="280C9BAE" w:rsidP="280C9BAE">
      <w:pPr>
        <w:pStyle w:val="List3"/>
        <w:tabs>
          <w:tab w:val="left" w:pos="567"/>
        </w:tabs>
        <w:ind w:left="0" w:firstLine="0"/>
        <w:rPr>
          <w:rFonts w:eastAsia="Verdana" w:cs="Verdana"/>
          <w:b/>
          <w:color w:val="auto"/>
        </w:rPr>
      </w:pPr>
      <w:r w:rsidRPr="294F0AC8">
        <w:rPr>
          <w:rFonts w:eastAsia="Verdana" w:cs="Verdana"/>
          <w:b/>
          <w:bCs/>
          <w:color w:val="C00000"/>
        </w:rPr>
        <w:t xml:space="preserve">Budget impact: </w:t>
      </w:r>
      <w:r w:rsidRPr="294F0AC8">
        <w:rPr>
          <w:rFonts w:eastAsia="Verdana" w:cs="Verdana"/>
          <w:b/>
          <w:bCs/>
          <w:color w:val="auto"/>
        </w:rPr>
        <w:t>Not available</w:t>
      </w:r>
      <w:r w:rsidRPr="294F0AC8">
        <w:rPr>
          <w:rStyle w:val="FootnoteReference"/>
          <w:rFonts w:eastAsia="Calibri" w:cs="Arial"/>
        </w:rPr>
        <w:footnoteReference w:id="19"/>
      </w:r>
    </w:p>
    <w:p w14:paraId="1904AE0A" w14:textId="10717DDF" w:rsidR="2602F1D6" w:rsidRDefault="2602F1D6"/>
    <w:p w14:paraId="30917A67" w14:textId="2460DCDC" w:rsidR="280C9BAE" w:rsidRDefault="294F0AC8" w:rsidP="001D1B51">
      <w:pPr>
        <w:pStyle w:val="Heading2"/>
      </w:pPr>
      <w:bookmarkStart w:id="482" w:name="_Toc2060050003"/>
      <w:bookmarkStart w:id="483" w:name="_Toc1947314087"/>
      <w:bookmarkStart w:id="484" w:name="_Toc845617416"/>
      <w:bookmarkStart w:id="485" w:name="_Toc1706696297"/>
      <w:bookmarkStart w:id="486" w:name="_Toc782683974"/>
      <w:bookmarkStart w:id="487" w:name="_Toc1702798903"/>
      <w:bookmarkStart w:id="488" w:name="_Toc930871994"/>
      <w:bookmarkStart w:id="489" w:name="_Toc1694571189"/>
      <w:bookmarkStart w:id="490" w:name="_Toc1144472412"/>
      <w:bookmarkStart w:id="491" w:name="_Toc153214733"/>
      <w:bookmarkStart w:id="492" w:name="_Toc90983369"/>
      <w:bookmarkStart w:id="493" w:name="_Toc90984632"/>
      <w:r w:rsidRPr="294F0AC8">
        <w:lastRenderedPageBreak/>
        <w:t xml:space="preserve">Strengthen </w:t>
      </w:r>
      <w:r w:rsidR="2602F1D6" w:rsidRPr="2602F1D6">
        <w:t xml:space="preserve">the </w:t>
      </w:r>
      <w:r w:rsidRPr="294F0AC8">
        <w:t xml:space="preserve">resilience of community sector </w:t>
      </w:r>
      <w:proofErr w:type="spellStart"/>
      <w:r w:rsidRPr="294F0AC8">
        <w:t>organisations</w:t>
      </w:r>
      <w:bookmarkEnd w:id="482"/>
      <w:bookmarkEnd w:id="483"/>
      <w:bookmarkEnd w:id="484"/>
      <w:bookmarkEnd w:id="485"/>
      <w:bookmarkEnd w:id="486"/>
      <w:bookmarkEnd w:id="487"/>
      <w:bookmarkEnd w:id="488"/>
      <w:bookmarkEnd w:id="489"/>
      <w:bookmarkEnd w:id="490"/>
      <w:bookmarkEnd w:id="491"/>
      <w:bookmarkEnd w:id="492"/>
      <w:bookmarkEnd w:id="493"/>
      <w:proofErr w:type="spellEnd"/>
    </w:p>
    <w:p w14:paraId="2A48E46F" w14:textId="77777777" w:rsidR="00C73D92" w:rsidRDefault="00C73D92" w:rsidP="280C9BAE">
      <w:pPr>
        <w:spacing w:line="257" w:lineRule="auto"/>
        <w:rPr>
          <w:rFonts w:eastAsia="Verdana" w:cs="Verdana"/>
          <w:szCs w:val="20"/>
        </w:rPr>
      </w:pPr>
    </w:p>
    <w:p w14:paraId="0610FA31" w14:textId="3225426D" w:rsidR="280C9BAE" w:rsidRDefault="280C9BAE" w:rsidP="280C9BAE">
      <w:pPr>
        <w:spacing w:line="257" w:lineRule="auto"/>
      </w:pPr>
      <w:r w:rsidRPr="280C9BAE">
        <w:rPr>
          <w:rFonts w:eastAsia="Verdana" w:cs="Verdana"/>
          <w:szCs w:val="20"/>
        </w:rPr>
        <w:t xml:space="preserve">Community sector </w:t>
      </w:r>
      <w:proofErr w:type="spellStart"/>
      <w:r w:rsidRPr="280C9BAE">
        <w:rPr>
          <w:rFonts w:eastAsia="Verdana" w:cs="Verdana"/>
          <w:szCs w:val="20"/>
        </w:rPr>
        <w:t>organisations</w:t>
      </w:r>
      <w:proofErr w:type="spellEnd"/>
      <w:r w:rsidRPr="280C9BAE">
        <w:rPr>
          <w:rFonts w:eastAsia="Verdana" w:cs="Verdana"/>
          <w:szCs w:val="20"/>
        </w:rPr>
        <w:t xml:space="preserve"> play a critical role in disaster preparedness, </w:t>
      </w:r>
      <w:r w:rsidR="007F1550" w:rsidRPr="280C9BAE">
        <w:rPr>
          <w:rFonts w:eastAsia="Verdana" w:cs="Verdana"/>
          <w:szCs w:val="20"/>
        </w:rPr>
        <w:t>response,</w:t>
      </w:r>
      <w:r w:rsidRPr="280C9BAE">
        <w:rPr>
          <w:rFonts w:eastAsia="Verdana" w:cs="Verdana"/>
          <w:szCs w:val="20"/>
        </w:rPr>
        <w:t xml:space="preserve"> and recovery, especially in supporting the needs of vulnerable people. But these </w:t>
      </w:r>
      <w:proofErr w:type="spellStart"/>
      <w:r w:rsidRPr="280C9BAE">
        <w:rPr>
          <w:rFonts w:eastAsia="Verdana" w:cs="Verdana"/>
          <w:szCs w:val="20"/>
        </w:rPr>
        <w:t>organisations</w:t>
      </w:r>
      <w:proofErr w:type="spellEnd"/>
      <w:r w:rsidRPr="280C9BAE">
        <w:rPr>
          <w:rFonts w:eastAsia="Verdana" w:cs="Verdana"/>
          <w:szCs w:val="20"/>
        </w:rPr>
        <w:t xml:space="preserve"> are themselves highly vulnerable to disasters. </w:t>
      </w:r>
    </w:p>
    <w:p w14:paraId="20411677" w14:textId="4B13CF6A" w:rsidR="280C9BAE" w:rsidRDefault="280C9BAE" w:rsidP="280C9BAE">
      <w:pPr>
        <w:spacing w:line="257" w:lineRule="auto"/>
      </w:pPr>
      <w:r w:rsidRPr="280C9BAE">
        <w:rPr>
          <w:rFonts w:eastAsia="Verdana" w:cs="Verdana"/>
          <w:szCs w:val="20"/>
        </w:rPr>
        <w:t xml:space="preserve">For many people experiencing poverty, disadvantage and social exclusion, these </w:t>
      </w:r>
      <w:proofErr w:type="spellStart"/>
      <w:r w:rsidRPr="280C9BAE">
        <w:rPr>
          <w:rFonts w:eastAsia="Verdana" w:cs="Verdana"/>
          <w:szCs w:val="20"/>
        </w:rPr>
        <w:t>organisations</w:t>
      </w:r>
      <w:proofErr w:type="spellEnd"/>
      <w:r w:rsidRPr="280C9BAE">
        <w:rPr>
          <w:rFonts w:eastAsia="Verdana" w:cs="Verdana"/>
          <w:szCs w:val="20"/>
        </w:rPr>
        <w:t xml:space="preserve"> are often the primary source of connection to the broader community and form the basis of their resilience to everyday adversity as well as in times of crisis.</w:t>
      </w:r>
    </w:p>
    <w:p w14:paraId="781F8F34" w14:textId="46924438" w:rsidR="280C9BAE" w:rsidRDefault="280C9BAE" w:rsidP="280C9BAE">
      <w:pPr>
        <w:rPr>
          <w:rFonts w:eastAsia="Calibri" w:cs="Arial"/>
          <w:szCs w:val="20"/>
        </w:rPr>
      </w:pPr>
      <w:r w:rsidRPr="280C9BAE">
        <w:rPr>
          <w:rFonts w:eastAsia="Verdana" w:cs="Verdana"/>
          <w:szCs w:val="20"/>
        </w:rPr>
        <w:t xml:space="preserve">The Federal Government should resource community sector </w:t>
      </w:r>
      <w:proofErr w:type="spellStart"/>
      <w:r w:rsidRPr="280C9BAE">
        <w:rPr>
          <w:rFonts w:eastAsia="Verdana" w:cs="Verdana"/>
          <w:szCs w:val="20"/>
        </w:rPr>
        <w:t>organisations</w:t>
      </w:r>
      <w:proofErr w:type="spellEnd"/>
      <w:r w:rsidRPr="280C9BAE">
        <w:rPr>
          <w:rFonts w:eastAsia="Verdana" w:cs="Verdana"/>
          <w:szCs w:val="20"/>
        </w:rPr>
        <w:t xml:space="preserve"> to adapt to climate change, be better prepared for emergencies and disasters, and ensure continuity of care for vulnerable people</w:t>
      </w:r>
      <w:r w:rsidR="007F1550">
        <w:rPr>
          <w:rFonts w:eastAsia="Verdana" w:cs="Verdana"/>
          <w:szCs w:val="20"/>
        </w:rPr>
        <w:t>.</w:t>
      </w:r>
    </w:p>
    <w:p w14:paraId="61345EEF" w14:textId="0595FED9" w:rsidR="7E76C260" w:rsidRDefault="7E76C260" w:rsidP="7E76C260">
      <w:pPr>
        <w:pStyle w:val="Heading4"/>
        <w:rPr>
          <w:rFonts w:ascii="Verdana" w:eastAsia="Verdana" w:hAnsi="Verdana" w:cs="Verdana"/>
          <w:color w:val="C00000"/>
          <w:sz w:val="20"/>
          <w:szCs w:val="20"/>
        </w:rPr>
      </w:pPr>
    </w:p>
    <w:p w14:paraId="66DF4BFF" w14:textId="31D6BEFE" w:rsidR="00020FFB" w:rsidRPr="0006088A" w:rsidRDefault="294F0AC8" w:rsidP="0006088A">
      <w:pPr>
        <w:pStyle w:val="Heading4"/>
      </w:pPr>
      <w:bookmarkStart w:id="494" w:name="_Toc771376310"/>
      <w:bookmarkStart w:id="495" w:name="_Toc1763055870"/>
      <w:bookmarkStart w:id="496" w:name="_Toc1125627748"/>
      <w:r w:rsidRPr="294F0AC8">
        <w:rPr>
          <w:rFonts w:ascii="Verdana" w:eastAsia="Verdana" w:hAnsi="Verdana" w:cs="Verdana"/>
          <w:color w:val="C00000"/>
          <w:sz w:val="20"/>
          <w:szCs w:val="20"/>
        </w:rPr>
        <w:t>Recommendation 22:</w:t>
      </w:r>
      <w:r w:rsidRPr="294F0AC8">
        <w:rPr>
          <w:rFonts w:ascii="Verdana" w:eastAsia="Verdana" w:hAnsi="Verdana" w:cs="Verdana"/>
          <w:b w:val="0"/>
          <w:color w:val="auto"/>
          <w:sz w:val="20"/>
          <w:szCs w:val="20"/>
        </w:rPr>
        <w:t xml:space="preserve"> </w:t>
      </w:r>
      <w:r w:rsidRPr="294F0AC8">
        <w:rPr>
          <w:rFonts w:ascii="Verdana" w:eastAsia="Verdana" w:hAnsi="Verdana" w:cs="Verdana"/>
          <w:color w:val="auto"/>
          <w:sz w:val="20"/>
          <w:szCs w:val="20"/>
        </w:rPr>
        <w:t xml:space="preserve">Strengthen resilience of community sector </w:t>
      </w:r>
      <w:proofErr w:type="spellStart"/>
      <w:r w:rsidRPr="294F0AC8">
        <w:rPr>
          <w:rFonts w:ascii="Verdana" w:eastAsia="Verdana" w:hAnsi="Verdana" w:cs="Verdana"/>
          <w:color w:val="auto"/>
          <w:sz w:val="20"/>
          <w:szCs w:val="20"/>
        </w:rPr>
        <w:t>organisations</w:t>
      </w:r>
      <w:proofErr w:type="spellEnd"/>
      <w:r w:rsidRPr="294F0AC8">
        <w:rPr>
          <w:rFonts w:ascii="Verdana" w:eastAsia="Verdana" w:hAnsi="Verdana" w:cs="Verdana"/>
          <w:color w:val="auto"/>
          <w:sz w:val="20"/>
          <w:szCs w:val="20"/>
        </w:rPr>
        <w:t xml:space="preserve"> by:</w:t>
      </w:r>
      <w:bookmarkEnd w:id="494"/>
      <w:bookmarkEnd w:id="495"/>
      <w:bookmarkEnd w:id="496"/>
    </w:p>
    <w:p w14:paraId="16854B85" w14:textId="383EDB70" w:rsidR="473E2C52" w:rsidRPr="005855C0" w:rsidRDefault="007F1550" w:rsidP="00DD3DC0">
      <w:pPr>
        <w:pStyle w:val="ListParagraph"/>
        <w:numPr>
          <w:ilvl w:val="0"/>
          <w:numId w:val="37"/>
        </w:numPr>
        <w:tabs>
          <w:tab w:val="left" w:pos="567"/>
        </w:tabs>
        <w:rPr>
          <w:rFonts w:asciiTheme="minorHAnsi" w:eastAsiaTheme="minorEastAsia" w:hAnsiTheme="minorHAnsi"/>
          <w:b/>
        </w:rPr>
      </w:pPr>
      <w:r>
        <w:rPr>
          <w:b/>
        </w:rPr>
        <w:t>s</w:t>
      </w:r>
      <w:r w:rsidR="294F0AC8" w:rsidRPr="294F0AC8">
        <w:rPr>
          <w:b/>
        </w:rPr>
        <w:t xml:space="preserve">upporting community sector </w:t>
      </w:r>
      <w:proofErr w:type="spellStart"/>
      <w:r w:rsidR="294F0AC8" w:rsidRPr="294F0AC8">
        <w:rPr>
          <w:b/>
        </w:rPr>
        <w:t>organisations</w:t>
      </w:r>
      <w:proofErr w:type="spellEnd"/>
      <w:r w:rsidR="294F0AC8" w:rsidRPr="294F0AC8">
        <w:rPr>
          <w:b/>
        </w:rPr>
        <w:t xml:space="preserve"> to undertake sector specific risk assessments and implement disaster management and service continuity plans. This should include financial support for social sector peaks to strengthen the community sector specific disaster management tool, establish a community of practice and provide training to community sector </w:t>
      </w:r>
      <w:proofErr w:type="spellStart"/>
      <w:r w:rsidR="294F0AC8" w:rsidRPr="294F0AC8">
        <w:rPr>
          <w:b/>
        </w:rPr>
        <w:t>organisations</w:t>
      </w:r>
      <w:proofErr w:type="spellEnd"/>
      <w:r w:rsidR="294F0AC8" w:rsidRPr="294F0AC8">
        <w:rPr>
          <w:b/>
        </w:rPr>
        <w:t xml:space="preserve"> to implement </w:t>
      </w:r>
      <w:r w:rsidR="0D7D4EDF">
        <w:br/>
      </w:r>
      <w:r w:rsidR="294F0AC8" w:rsidRPr="294F0AC8">
        <w:rPr>
          <w:rFonts w:eastAsia="Verdana" w:cs="Verdana"/>
          <w:b/>
          <w:color w:val="auto"/>
          <w:sz w:val="19"/>
          <w:szCs w:val="19"/>
        </w:rPr>
        <w:t>Budget impact:</w:t>
      </w:r>
      <w:r w:rsidR="294F0AC8" w:rsidRPr="294F0AC8">
        <w:rPr>
          <w:b/>
          <w:color w:val="auto"/>
        </w:rPr>
        <w:t xml:space="preserve"> </w:t>
      </w:r>
      <w:r w:rsidR="294F0AC8" w:rsidRPr="294F0AC8">
        <w:rPr>
          <w:b/>
        </w:rPr>
        <w:t>-$1 million (-$1 million in 2023-24).</w:t>
      </w:r>
      <w:r w:rsidR="0D7D4EDF">
        <w:br/>
      </w:r>
    </w:p>
    <w:p w14:paraId="01DF7D26" w14:textId="52024DD1" w:rsidR="67A1BD88" w:rsidRPr="005855C0" w:rsidRDefault="007F1550" w:rsidP="00DD3DC0">
      <w:pPr>
        <w:pStyle w:val="ListParagraph"/>
        <w:numPr>
          <w:ilvl w:val="0"/>
          <w:numId w:val="37"/>
        </w:numPr>
        <w:tabs>
          <w:tab w:val="left" w:pos="567"/>
        </w:tabs>
        <w:rPr>
          <w:rFonts w:asciiTheme="minorHAnsi" w:eastAsiaTheme="minorEastAsia" w:hAnsiTheme="minorHAnsi"/>
          <w:b/>
        </w:rPr>
      </w:pPr>
      <w:r>
        <w:rPr>
          <w:b/>
        </w:rPr>
        <w:t>c</w:t>
      </w:r>
      <w:r w:rsidR="00D167CF" w:rsidRPr="294F0AC8">
        <w:rPr>
          <w:b/>
        </w:rPr>
        <w:t>reating</w:t>
      </w:r>
      <w:r w:rsidR="15541D01" w:rsidRPr="294F0AC8">
        <w:rPr>
          <w:b/>
        </w:rPr>
        <w:t xml:space="preserve"> an ongoing Disaster Management Grants Scheme for Community Sector </w:t>
      </w:r>
      <w:proofErr w:type="spellStart"/>
      <w:r w:rsidR="15541D01" w:rsidRPr="294F0AC8">
        <w:rPr>
          <w:b/>
        </w:rPr>
        <w:t>Organisations</w:t>
      </w:r>
      <w:proofErr w:type="spellEnd"/>
      <w:r w:rsidR="29B8AFC2" w:rsidRPr="294F0AC8">
        <w:rPr>
          <w:b/>
        </w:rPr>
        <w:t xml:space="preserve"> </w:t>
      </w:r>
      <w:r w:rsidR="00D167CF">
        <w:br/>
      </w:r>
      <w:r w:rsidR="294F0AC8" w:rsidRPr="294F0AC8">
        <w:rPr>
          <w:rFonts w:eastAsiaTheme="minorEastAsia"/>
          <w:b/>
          <w:color w:val="auto"/>
          <w:sz w:val="19"/>
          <w:szCs w:val="19"/>
        </w:rPr>
        <w:t xml:space="preserve">Budget impact: </w:t>
      </w:r>
      <w:r w:rsidR="00D167CF" w:rsidRPr="294F0AC8">
        <w:rPr>
          <w:b/>
        </w:rPr>
        <w:t>-</w:t>
      </w:r>
      <w:r w:rsidR="67A1BD88" w:rsidRPr="294F0AC8">
        <w:rPr>
          <w:b/>
        </w:rPr>
        <w:t>$</w:t>
      </w:r>
      <w:r w:rsidR="0CEB3E89" w:rsidRPr="294F0AC8">
        <w:rPr>
          <w:b/>
        </w:rPr>
        <w:t>2</w:t>
      </w:r>
      <w:r w:rsidR="1041F73C" w:rsidRPr="294F0AC8">
        <w:rPr>
          <w:b/>
        </w:rPr>
        <w:t>2</w:t>
      </w:r>
      <w:r w:rsidR="62841B0A" w:rsidRPr="294F0AC8">
        <w:rPr>
          <w:b/>
        </w:rPr>
        <w:t>0</w:t>
      </w:r>
      <w:r w:rsidR="67A1BD88" w:rsidRPr="294F0AC8">
        <w:rPr>
          <w:b/>
        </w:rPr>
        <w:t xml:space="preserve"> million</w:t>
      </w:r>
      <w:r w:rsidR="00D167CF" w:rsidRPr="294F0AC8">
        <w:rPr>
          <w:b/>
        </w:rPr>
        <w:t xml:space="preserve"> (-</w:t>
      </w:r>
      <w:r w:rsidR="67A1BD88" w:rsidRPr="294F0AC8">
        <w:rPr>
          <w:b/>
        </w:rPr>
        <w:t>$</w:t>
      </w:r>
      <w:r w:rsidR="50D75B08" w:rsidRPr="294F0AC8">
        <w:rPr>
          <w:b/>
        </w:rPr>
        <w:t>220</w:t>
      </w:r>
      <w:r w:rsidR="67A1BD88" w:rsidRPr="294F0AC8">
        <w:rPr>
          <w:b/>
        </w:rPr>
        <w:t xml:space="preserve"> million in 2023-24)</w:t>
      </w:r>
      <w:r w:rsidR="67A1BD88" w:rsidRPr="294F0AC8">
        <w:rPr>
          <w:bCs w:val="0"/>
          <w:sz w:val="18"/>
          <w:szCs w:val="18"/>
          <w:vertAlign w:val="superscript"/>
        </w:rPr>
        <w:footnoteReference w:id="20"/>
      </w:r>
      <w:r w:rsidR="00D167CF">
        <w:br/>
      </w:r>
    </w:p>
    <w:p w14:paraId="74638D9B" w14:textId="12DA7DE5" w:rsidR="2BF8558B" w:rsidRPr="005855C0" w:rsidRDefault="007F1550" w:rsidP="00DD3DC0">
      <w:pPr>
        <w:pStyle w:val="ListParagraph"/>
        <w:numPr>
          <w:ilvl w:val="0"/>
          <w:numId w:val="37"/>
        </w:numPr>
        <w:tabs>
          <w:tab w:val="left" w:pos="567"/>
        </w:tabs>
        <w:rPr>
          <w:rFonts w:asciiTheme="minorHAnsi" w:eastAsiaTheme="minorEastAsia" w:hAnsiTheme="minorHAnsi"/>
          <w:b/>
        </w:rPr>
      </w:pPr>
      <w:r>
        <w:rPr>
          <w:b/>
        </w:rPr>
        <w:t>p</w:t>
      </w:r>
      <w:r w:rsidR="00515F9E" w:rsidRPr="294F0AC8">
        <w:rPr>
          <w:b/>
        </w:rPr>
        <w:t xml:space="preserve">roviding a contingency fund and ensure contracts for service delivery provide greater flexibility to community service </w:t>
      </w:r>
      <w:proofErr w:type="spellStart"/>
      <w:r w:rsidR="00515F9E" w:rsidRPr="294F0AC8">
        <w:rPr>
          <w:b/>
        </w:rPr>
        <w:t>organisations</w:t>
      </w:r>
      <w:proofErr w:type="spellEnd"/>
      <w:r w:rsidR="00515F9E" w:rsidRPr="294F0AC8">
        <w:rPr>
          <w:b/>
        </w:rPr>
        <w:t xml:space="preserve"> and enable them to participate effectively in disaster response and recovery efforts</w:t>
      </w:r>
      <w:r w:rsidR="00515F9E">
        <w:br/>
      </w:r>
      <w:r w:rsidR="294F0AC8" w:rsidRPr="294F0AC8">
        <w:rPr>
          <w:rFonts w:eastAsiaTheme="minorEastAsia"/>
          <w:b/>
          <w:color w:val="auto"/>
          <w:sz w:val="19"/>
          <w:szCs w:val="19"/>
        </w:rPr>
        <w:t>Budget impact:</w:t>
      </w:r>
      <w:r w:rsidR="294F0AC8" w:rsidRPr="294F0AC8">
        <w:rPr>
          <w:b/>
        </w:rPr>
        <w:t xml:space="preserve"> </w:t>
      </w:r>
      <w:r w:rsidR="00515F9E" w:rsidRPr="294F0AC8">
        <w:rPr>
          <w:b/>
        </w:rPr>
        <w:t>-$140 million (-$140 million in 2023-24)</w:t>
      </w:r>
      <w:r w:rsidR="00515F9E" w:rsidRPr="294F0AC8">
        <w:rPr>
          <w:bCs w:val="0"/>
          <w:sz w:val="18"/>
          <w:szCs w:val="18"/>
          <w:vertAlign w:val="superscript"/>
        </w:rPr>
        <w:footnoteReference w:id="21"/>
      </w:r>
      <w:r w:rsidR="00515F9E">
        <w:br/>
      </w:r>
    </w:p>
    <w:p w14:paraId="7C74E8D4" w14:textId="55BBFE60" w:rsidR="280C9BAE" w:rsidRDefault="007F1550" w:rsidP="00DD3DC0">
      <w:pPr>
        <w:pStyle w:val="ListParagraph"/>
        <w:numPr>
          <w:ilvl w:val="0"/>
          <w:numId w:val="37"/>
        </w:numPr>
        <w:tabs>
          <w:tab w:val="left" w:pos="567"/>
        </w:tabs>
        <w:rPr>
          <w:b/>
        </w:rPr>
      </w:pPr>
      <w:r>
        <w:rPr>
          <w:b/>
        </w:rPr>
        <w:t>r</w:t>
      </w:r>
      <w:r w:rsidR="280C9BAE" w:rsidRPr="294F0AC8">
        <w:rPr>
          <w:b/>
        </w:rPr>
        <w:t xml:space="preserve">esourcing community service </w:t>
      </w:r>
      <w:proofErr w:type="spellStart"/>
      <w:r w:rsidR="280C9BAE" w:rsidRPr="294F0AC8">
        <w:rPr>
          <w:b/>
        </w:rPr>
        <w:t>organisations</w:t>
      </w:r>
      <w:proofErr w:type="spellEnd"/>
      <w:r w:rsidR="280C9BAE" w:rsidRPr="294F0AC8">
        <w:rPr>
          <w:b/>
        </w:rPr>
        <w:t xml:space="preserve"> to build resilience of their clients. </w:t>
      </w:r>
      <w:r w:rsidR="280C9BAE">
        <w:br/>
      </w:r>
      <w:r w:rsidR="294F0AC8" w:rsidRPr="294F0AC8">
        <w:rPr>
          <w:rFonts w:eastAsiaTheme="minorEastAsia"/>
          <w:b/>
          <w:color w:val="auto"/>
          <w:sz w:val="19"/>
          <w:szCs w:val="19"/>
        </w:rPr>
        <w:t xml:space="preserve">Budget impact: </w:t>
      </w:r>
      <w:r w:rsidR="280C9BAE" w:rsidRPr="294F0AC8">
        <w:rPr>
          <w:b/>
        </w:rPr>
        <w:t>-$175 million (-$180 million in 2023-24)</w:t>
      </w:r>
      <w:r w:rsidR="280C9BAE" w:rsidRPr="294F0AC8">
        <w:rPr>
          <w:bCs w:val="0"/>
          <w:sz w:val="18"/>
          <w:szCs w:val="18"/>
          <w:vertAlign w:val="superscript"/>
        </w:rPr>
        <w:footnoteReference w:id="22"/>
      </w:r>
    </w:p>
    <w:p w14:paraId="3B63BBE2" w14:textId="77777777" w:rsidR="00133039" w:rsidRPr="00133039" w:rsidRDefault="00133039" w:rsidP="00133039">
      <w:pPr>
        <w:pStyle w:val="List3"/>
      </w:pPr>
    </w:p>
    <w:p w14:paraId="45658FA7" w14:textId="775D5D7D" w:rsidR="280C9BAE" w:rsidRDefault="007E2711" w:rsidP="5F1375E4">
      <w:pPr>
        <w:pStyle w:val="ListNumber"/>
        <w:numPr>
          <w:ilvl w:val="0"/>
          <w:numId w:val="0"/>
        </w:numPr>
        <w:ind w:left="360" w:hanging="360"/>
      </w:pPr>
      <w:r w:rsidRPr="00BD3CB4">
        <w:rPr>
          <w:b/>
          <w:color w:val="C00000"/>
        </w:rPr>
        <w:t>Budget impact:</w:t>
      </w:r>
      <w:r w:rsidRPr="00BD3CB4">
        <w:rPr>
          <w:b/>
        </w:rPr>
        <w:t xml:space="preserve"> </w:t>
      </w:r>
      <w:r w:rsidRPr="280C9BAE">
        <w:rPr>
          <w:rFonts w:eastAsiaTheme="minorEastAsia"/>
          <w:b/>
          <w:i/>
        </w:rPr>
        <w:t xml:space="preserve">-$540 million (-$540 million in </w:t>
      </w:r>
      <w:r w:rsidR="280C9BAE" w:rsidRPr="280C9BAE">
        <w:rPr>
          <w:rFonts w:eastAsiaTheme="minorEastAsia"/>
          <w:b/>
          <w:bCs/>
          <w:i/>
          <w:iCs/>
        </w:rPr>
        <w:t>2023-24</w:t>
      </w:r>
      <w:r w:rsidRPr="280C9BAE">
        <w:rPr>
          <w:rFonts w:eastAsiaTheme="minorEastAsia"/>
          <w:b/>
          <w:i/>
        </w:rPr>
        <w:t>)</w:t>
      </w:r>
      <w:r w:rsidR="280C9BAE">
        <w:br w:type="page"/>
      </w:r>
    </w:p>
    <w:p w14:paraId="39CA6B6A" w14:textId="76FC70C6" w:rsidR="1419E35D" w:rsidRDefault="294F0AC8" w:rsidP="280C9BAE">
      <w:pPr>
        <w:pStyle w:val="Heading1"/>
        <w:numPr>
          <w:ilvl w:val="0"/>
          <w:numId w:val="0"/>
        </w:numPr>
      </w:pPr>
      <w:bookmarkStart w:id="497" w:name="_Toc2030508096"/>
      <w:bookmarkStart w:id="498" w:name="_Toc1056418071"/>
      <w:bookmarkStart w:id="499" w:name="_Toc1063505021"/>
      <w:bookmarkStart w:id="500" w:name="_Toc1303377363"/>
      <w:bookmarkStart w:id="501" w:name="_Toc650369113"/>
      <w:bookmarkStart w:id="502" w:name="_Toc2115727937"/>
      <w:bookmarkStart w:id="503" w:name="_Toc48570437"/>
      <w:bookmarkStart w:id="504" w:name="_Toc1047472168"/>
      <w:bookmarkStart w:id="505" w:name="_Toc441058719"/>
      <w:bookmarkStart w:id="506" w:name="_Toc1423698830"/>
      <w:bookmarkStart w:id="507" w:name="_Toc90983317"/>
      <w:bookmarkStart w:id="508" w:name="_Toc90983370"/>
      <w:bookmarkStart w:id="509" w:name="_Toc90984633"/>
      <w:r>
        <w:lastRenderedPageBreak/>
        <w:t>5. Make housing affordable for people with low incomes</w:t>
      </w:r>
      <w:bookmarkEnd w:id="497"/>
      <w:bookmarkEnd w:id="498"/>
      <w:bookmarkEnd w:id="499"/>
      <w:bookmarkEnd w:id="500"/>
      <w:bookmarkEnd w:id="501"/>
      <w:bookmarkEnd w:id="502"/>
      <w:bookmarkEnd w:id="503"/>
      <w:bookmarkEnd w:id="504"/>
      <w:bookmarkEnd w:id="505"/>
      <w:bookmarkEnd w:id="506"/>
      <w:bookmarkEnd w:id="507"/>
      <w:bookmarkEnd w:id="508"/>
      <w:bookmarkEnd w:id="509"/>
    </w:p>
    <w:p w14:paraId="319D3EC7" w14:textId="77777777" w:rsidR="00C73D92" w:rsidRDefault="00C73D92" w:rsidP="280C9BAE">
      <w:pPr>
        <w:rPr>
          <w:rFonts w:eastAsia="Calibri" w:cs="Arial"/>
          <w:color w:val="auto"/>
          <w:szCs w:val="20"/>
        </w:rPr>
      </w:pPr>
    </w:p>
    <w:p w14:paraId="3273C491" w14:textId="372A18B6" w:rsidR="00C73D92" w:rsidRDefault="280C9BAE" w:rsidP="280C9BAE">
      <w:pPr>
        <w:rPr>
          <w:rFonts w:eastAsia="Calibri" w:cs="Arial"/>
          <w:color w:val="auto"/>
          <w:szCs w:val="20"/>
        </w:rPr>
      </w:pPr>
      <w:r w:rsidRPr="280C9BAE">
        <w:rPr>
          <w:rFonts w:eastAsia="Calibri" w:cs="Arial"/>
          <w:color w:val="auto"/>
          <w:szCs w:val="20"/>
        </w:rPr>
        <w:t xml:space="preserve">New research published by the ACOSS/UNSW Sydney Poverty and Inequality Partnership in November 2021 revealed rapidly rising rents and declining affordability for low-income tenants around the country in the shadow of the pandemic. It found that annual urban rent inflation to August 2021 was 8% - its highest rate since 2008 – and was even higher in the regions at 12.4%. The research acknowledged </w:t>
      </w:r>
      <w:r w:rsidR="00531F7D">
        <w:rPr>
          <w:rFonts w:eastAsia="Calibri" w:cs="Arial"/>
          <w:color w:val="auto"/>
          <w:szCs w:val="20"/>
        </w:rPr>
        <w:t>s</w:t>
      </w:r>
      <w:r w:rsidRPr="280C9BAE">
        <w:rPr>
          <w:rFonts w:eastAsia="Calibri" w:cs="Arial"/>
          <w:color w:val="auto"/>
          <w:szCs w:val="20"/>
        </w:rPr>
        <w:t xml:space="preserve">tate and </w:t>
      </w:r>
      <w:r w:rsidR="00531F7D">
        <w:rPr>
          <w:rFonts w:eastAsia="Calibri" w:cs="Arial"/>
          <w:color w:val="auto"/>
          <w:szCs w:val="20"/>
        </w:rPr>
        <w:t>t</w:t>
      </w:r>
      <w:r w:rsidRPr="280C9BAE">
        <w:rPr>
          <w:rFonts w:eastAsia="Calibri" w:cs="Arial"/>
          <w:color w:val="auto"/>
          <w:szCs w:val="20"/>
        </w:rPr>
        <w:t xml:space="preserve">erritory </w:t>
      </w:r>
      <w:r w:rsidR="00531F7D">
        <w:rPr>
          <w:rFonts w:eastAsia="Calibri" w:cs="Arial"/>
          <w:color w:val="auto"/>
          <w:szCs w:val="20"/>
        </w:rPr>
        <w:t>g</w:t>
      </w:r>
      <w:r w:rsidRPr="280C9BAE">
        <w:rPr>
          <w:rFonts w:eastAsia="Calibri" w:cs="Arial"/>
          <w:color w:val="auto"/>
          <w:szCs w:val="20"/>
        </w:rPr>
        <w:t>overnment investments in social housing during COVID</w:t>
      </w:r>
      <w:r w:rsidR="00531F7D">
        <w:rPr>
          <w:rFonts w:eastAsia="Calibri" w:cs="Arial"/>
          <w:color w:val="auto"/>
          <w:szCs w:val="20"/>
        </w:rPr>
        <w:t>,</w:t>
      </w:r>
      <w:r w:rsidRPr="280C9BAE">
        <w:rPr>
          <w:rFonts w:eastAsia="Calibri" w:cs="Arial"/>
          <w:color w:val="auto"/>
          <w:szCs w:val="20"/>
        </w:rPr>
        <w:t xml:space="preserve"> which will generate 23,000 new dwellings in the coming years</w:t>
      </w:r>
      <w:r w:rsidR="00531F7D">
        <w:rPr>
          <w:rFonts w:eastAsia="Calibri" w:cs="Arial"/>
          <w:color w:val="auto"/>
          <w:szCs w:val="20"/>
        </w:rPr>
        <w:t>. However, it also</w:t>
      </w:r>
      <w:r w:rsidRPr="280C9BAE">
        <w:rPr>
          <w:rFonts w:eastAsia="Calibri" w:cs="Arial"/>
          <w:color w:val="auto"/>
          <w:szCs w:val="20"/>
        </w:rPr>
        <w:t xml:space="preserve"> highlighted the severe shortfall of social and affordable housing nationally, with 155,000 households on the social housing waiting list currently and another 400,000 in need of affordable housing. </w:t>
      </w:r>
    </w:p>
    <w:p w14:paraId="016E1FBC" w14:textId="6502D57B" w:rsidR="280C9BAE" w:rsidRDefault="280C9BAE" w:rsidP="280C9BAE">
      <w:pPr>
        <w:rPr>
          <w:rFonts w:eastAsia="Calibri" w:cs="Arial"/>
          <w:color w:val="auto"/>
          <w:szCs w:val="20"/>
        </w:rPr>
      </w:pPr>
      <w:r w:rsidRPr="280C9BAE">
        <w:rPr>
          <w:rFonts w:eastAsia="Calibri" w:cs="Arial"/>
          <w:color w:val="auto"/>
          <w:szCs w:val="20"/>
        </w:rPr>
        <w:t xml:space="preserve">To compound these challenges, </w:t>
      </w:r>
      <w:r w:rsidRPr="280C9BAE">
        <w:rPr>
          <w:rFonts w:eastAsia="Verdana" w:cs="Verdana"/>
          <w:color w:val="auto"/>
          <w:szCs w:val="20"/>
        </w:rPr>
        <w:t xml:space="preserve">the withdrawal of the National Rental Affordability Scheme will see the subsidies and rent restrictions attached to some 22,000 of these affordable homes expiring, with no plan to replace them. In the face of these policy challenges, it is imperative that this Federal Budget includes a major focus on housing policy to increase social housing stock and improve rental affordability for low-income tenants. </w:t>
      </w:r>
    </w:p>
    <w:p w14:paraId="3CD2290B" w14:textId="2ED4C638" w:rsidR="000B50DA" w:rsidRDefault="0E5A3FD2" w:rsidP="113BDBC9">
      <w:pPr>
        <w:rPr>
          <w:rFonts w:eastAsia="Verdana" w:cs="Verdana"/>
          <w:b/>
          <w:color w:val="201F1E"/>
          <w:sz w:val="22"/>
        </w:rPr>
      </w:pPr>
      <w:r w:rsidRPr="280C9BAE">
        <w:rPr>
          <w:rFonts w:eastAsia="Verdana" w:cs="Verdana"/>
          <w:b/>
          <w:color w:val="201F1E"/>
          <w:sz w:val="22"/>
        </w:rPr>
        <w:t>Major recommendations:</w:t>
      </w:r>
    </w:p>
    <w:p w14:paraId="7ECAF55D" w14:textId="4F44D506" w:rsidR="000B50DA" w:rsidRDefault="294F0AC8" w:rsidP="00DD3DC0">
      <w:pPr>
        <w:pStyle w:val="ListParagraph"/>
        <w:numPr>
          <w:ilvl w:val="0"/>
          <w:numId w:val="2"/>
        </w:numPr>
        <w:rPr>
          <w:rFonts w:eastAsia="Verdana" w:cs="Verdana"/>
          <w:b/>
        </w:rPr>
      </w:pPr>
      <w:r w:rsidRPr="294F0AC8">
        <w:rPr>
          <w:rFonts w:eastAsia="Verdana" w:cs="Verdana"/>
          <w:b/>
        </w:rPr>
        <w:t>A 20,000 dwelling, $7 billion social housing package should be rolled out over the next 3 years to reduce homelessness and kick-start housing constructions and growth in jobs and incomes.</w:t>
      </w:r>
    </w:p>
    <w:p w14:paraId="4E59E25A" w14:textId="6ACA97A9" w:rsidR="000B50DA" w:rsidRDefault="294F0AC8" w:rsidP="00DD3DC0">
      <w:pPr>
        <w:pStyle w:val="ListParagraph"/>
        <w:numPr>
          <w:ilvl w:val="0"/>
          <w:numId w:val="2"/>
        </w:numPr>
        <w:rPr>
          <w:rFonts w:eastAsia="Verdana" w:cs="Verdana"/>
          <w:b/>
        </w:rPr>
      </w:pPr>
      <w:r w:rsidRPr="294F0AC8">
        <w:rPr>
          <w:rFonts w:eastAsia="Verdana" w:cs="Verdana"/>
          <w:b/>
        </w:rPr>
        <w:t>Rent Assistance for private tenants with low incomes should be substantially increased to ease housing stress.</w:t>
      </w:r>
    </w:p>
    <w:p w14:paraId="2915FA00" w14:textId="2D26E24C" w:rsidR="000B50DA" w:rsidRDefault="294F0AC8" w:rsidP="00DD3DC0">
      <w:pPr>
        <w:pStyle w:val="ListParagraph"/>
        <w:numPr>
          <w:ilvl w:val="0"/>
          <w:numId w:val="2"/>
        </w:numPr>
        <w:rPr>
          <w:rFonts w:eastAsia="Verdana" w:cs="Verdana"/>
          <w:b/>
          <w:color w:val="201F1E"/>
        </w:rPr>
      </w:pPr>
      <w:r w:rsidRPr="294F0AC8">
        <w:rPr>
          <w:rFonts w:eastAsia="Verdana" w:cs="Verdana"/>
          <w:b/>
          <w:color w:val="201F1E"/>
        </w:rPr>
        <w:t>A new affordable rental investment incentive scheme should be developed.</w:t>
      </w:r>
    </w:p>
    <w:p w14:paraId="62167C77" w14:textId="569210CC" w:rsidR="001E1F7F" w:rsidRPr="001E1F7F" w:rsidRDefault="001E1F7F" w:rsidP="26AEF9ED">
      <w:pPr>
        <w:pStyle w:val="List3"/>
        <w:ind w:left="0" w:firstLine="0"/>
        <w:rPr>
          <w:rFonts w:eastAsia="Calibri" w:cs="Arial"/>
          <w:b/>
        </w:rPr>
      </w:pPr>
    </w:p>
    <w:p w14:paraId="72ECC387" w14:textId="1306FF7A" w:rsidR="00020FC8" w:rsidRPr="002227D8" w:rsidRDefault="294F0AC8" w:rsidP="001D1B51">
      <w:pPr>
        <w:pStyle w:val="Heading2"/>
      </w:pPr>
      <w:bookmarkStart w:id="510" w:name="_Toc839465756"/>
      <w:bookmarkStart w:id="511" w:name="_Toc1563575289"/>
      <w:bookmarkStart w:id="512" w:name="_Toc2090500881"/>
      <w:bookmarkStart w:id="513" w:name="_Toc1285855085"/>
      <w:bookmarkStart w:id="514" w:name="_Toc200172175"/>
      <w:bookmarkStart w:id="515" w:name="_Toc1438571594"/>
      <w:bookmarkStart w:id="516" w:name="_Toc1792651763"/>
      <w:bookmarkStart w:id="517" w:name="_Toc977254440"/>
      <w:bookmarkStart w:id="518" w:name="_Toc2005634368"/>
      <w:bookmarkStart w:id="519" w:name="_Toc448422108"/>
      <w:bookmarkStart w:id="520" w:name="_Toc90983371"/>
      <w:bookmarkStart w:id="521" w:name="_Toc90984634"/>
      <w:r>
        <w:t>Boost social housing investment</w:t>
      </w:r>
      <w:bookmarkEnd w:id="510"/>
      <w:bookmarkEnd w:id="511"/>
      <w:bookmarkEnd w:id="512"/>
      <w:bookmarkEnd w:id="513"/>
      <w:bookmarkEnd w:id="514"/>
      <w:bookmarkEnd w:id="515"/>
      <w:bookmarkEnd w:id="516"/>
      <w:bookmarkEnd w:id="517"/>
      <w:bookmarkEnd w:id="518"/>
      <w:bookmarkEnd w:id="519"/>
      <w:bookmarkEnd w:id="520"/>
      <w:bookmarkEnd w:id="521"/>
    </w:p>
    <w:p w14:paraId="3FBEC018" w14:textId="16F10EB6" w:rsidR="75D4DF48" w:rsidRPr="002227D8" w:rsidRDefault="280C9BAE" w:rsidP="280C9BAE">
      <w:pPr>
        <w:spacing w:line="257" w:lineRule="auto"/>
        <w:rPr>
          <w:rStyle w:val="FootnoteReference"/>
          <w:rFonts w:eastAsia="Verdana" w:cs="Verdana"/>
          <w:color w:val="auto"/>
          <w:szCs w:val="20"/>
        </w:rPr>
      </w:pPr>
      <w:r w:rsidRPr="280C9BAE">
        <w:rPr>
          <w:rFonts w:eastAsia="Verdana" w:cs="Verdana"/>
          <w:color w:val="auto"/>
          <w:szCs w:val="20"/>
        </w:rPr>
        <w:t xml:space="preserve">There is a national shortage of just over 400,000 homes that are affordable for people who are homeless or living on the lowest incomes (the lowest 20% by household income) and 155,000 households currently on the social housing waiting list. Direct public investment in social housing is a cost-effective way to boost growth in jobs and incomes. </w:t>
      </w:r>
    </w:p>
    <w:p w14:paraId="707FEA5C" w14:textId="06A9A4D7" w:rsidR="04BC6A06" w:rsidRPr="002227D8" w:rsidRDefault="294F0AC8" w:rsidP="7B33A330">
      <w:pPr>
        <w:pStyle w:val="Recommendation"/>
        <w:rPr>
          <w:color w:val="000000" w:themeColor="text1"/>
        </w:rPr>
      </w:pPr>
      <w:r w:rsidRPr="294F0AC8">
        <w:rPr>
          <w:color w:val="C00000"/>
        </w:rPr>
        <w:t>Recommendation 23:</w:t>
      </w:r>
      <w:r>
        <w:t xml:space="preserve"> </w:t>
      </w:r>
      <w:r w:rsidRPr="294F0AC8">
        <w:rPr>
          <w:color w:val="000000" w:themeColor="text1"/>
        </w:rPr>
        <w:t>Build 20,000-30,000 social housing dwellings to reduce homelessness and generate over 15,000 jobs a year</w:t>
      </w:r>
      <w:r w:rsidR="00121847">
        <w:rPr>
          <w:color w:val="000000" w:themeColor="text1"/>
        </w:rPr>
        <w:t>.</w:t>
      </w:r>
    </w:p>
    <w:p w14:paraId="2503E9FB" w14:textId="45C394FD" w:rsidR="7B33A330" w:rsidRPr="002227D8" w:rsidRDefault="7B33A330" w:rsidP="7B33A330">
      <w:pPr>
        <w:pStyle w:val="Recommendation"/>
        <w:rPr>
          <w:color w:val="000000" w:themeColor="text1"/>
        </w:rPr>
      </w:pPr>
    </w:p>
    <w:p w14:paraId="0B55475A" w14:textId="47A9575A" w:rsidR="000B50DA" w:rsidRPr="002227D8" w:rsidRDefault="294F0AC8" w:rsidP="00DD3DC0">
      <w:pPr>
        <w:pStyle w:val="Recommendation"/>
        <w:numPr>
          <w:ilvl w:val="0"/>
          <w:numId w:val="36"/>
        </w:numPr>
        <w:rPr>
          <w:rFonts w:asciiTheme="minorHAnsi" w:eastAsiaTheme="minorEastAsia" w:hAnsiTheme="minorHAnsi"/>
          <w:bCs/>
          <w:color w:val="000000" w:themeColor="text1"/>
          <w:szCs w:val="20"/>
        </w:rPr>
      </w:pPr>
      <w:r w:rsidRPr="294F0AC8">
        <w:rPr>
          <w:color w:val="000000" w:themeColor="text1"/>
        </w:rPr>
        <w:t>Capital funding of $7 billion over three years should be provided to State and Territory governments to facilitate construction of 20,000-30,000 social housing dwellings that meet accessibility and energy efficiency standards, with most construction occurring in the first two years.</w:t>
      </w:r>
    </w:p>
    <w:p w14:paraId="5720DD86" w14:textId="430EEC6D" w:rsidR="7B33A330" w:rsidRPr="002227D8" w:rsidRDefault="7B33A330" w:rsidP="7B33A330">
      <w:pPr>
        <w:pStyle w:val="ListNumber"/>
        <w:numPr>
          <w:ilvl w:val="0"/>
          <w:numId w:val="0"/>
        </w:numPr>
      </w:pPr>
    </w:p>
    <w:p w14:paraId="343F3385" w14:textId="6E4C3ECE" w:rsidR="7B33A330" w:rsidRPr="002227D8" w:rsidRDefault="294F0AC8" w:rsidP="00DD3DC0">
      <w:pPr>
        <w:pStyle w:val="ListNumber"/>
        <w:numPr>
          <w:ilvl w:val="0"/>
          <w:numId w:val="36"/>
        </w:numPr>
        <w:rPr>
          <w:rFonts w:asciiTheme="minorHAnsi" w:eastAsiaTheme="minorEastAsia" w:hAnsiTheme="minorHAnsi"/>
          <w:b/>
          <w:bCs/>
          <w:szCs w:val="20"/>
        </w:rPr>
      </w:pPr>
      <w:r w:rsidRPr="294F0AC8">
        <w:rPr>
          <w:b/>
          <w:bCs/>
        </w:rPr>
        <w:t>Alternately, the Social Housing Acceleration and Renovation Program (SHARP) proposal from the Community Housing Industry Association could be implemented to construct 30,000 community housing dwellings.</w:t>
      </w:r>
    </w:p>
    <w:p w14:paraId="0B017CFC" w14:textId="104F8286" w:rsidR="000B50DA" w:rsidRPr="002227D8" w:rsidRDefault="294F0AC8" w:rsidP="294F0AC8">
      <w:pPr>
        <w:pStyle w:val="Recommendation"/>
        <w:rPr>
          <w:i/>
          <w:iCs/>
        </w:rPr>
      </w:pPr>
      <w:r w:rsidRPr="294F0AC8">
        <w:rPr>
          <w:color w:val="C00000"/>
        </w:rPr>
        <w:t>Budget impact:</w:t>
      </w:r>
      <w:r>
        <w:rPr>
          <w:b w:val="0"/>
        </w:rPr>
        <w:t xml:space="preserve"> </w:t>
      </w:r>
      <w:r w:rsidRPr="294F0AC8">
        <w:rPr>
          <w:rFonts w:eastAsiaTheme="minorEastAsia"/>
          <w:i/>
          <w:iCs/>
          <w:color w:val="auto"/>
        </w:rPr>
        <w:t>-$1</w:t>
      </w:r>
      <w:r w:rsidRPr="294F0AC8">
        <w:rPr>
          <w:rFonts w:eastAsiaTheme="minorEastAsia"/>
          <w:i/>
          <w:iCs/>
          <w:color w:val="000000" w:themeColor="text1"/>
        </w:rPr>
        <w:t>,000 million (-$4,000 million in 2023-4)</w:t>
      </w:r>
      <w:r w:rsidRPr="294F0AC8">
        <w:rPr>
          <w:i/>
          <w:iCs/>
        </w:rPr>
        <w:t xml:space="preserve"> </w:t>
      </w:r>
    </w:p>
    <w:p w14:paraId="4CE7B72C" w14:textId="0A8CBE7B" w:rsidR="280C9BAE" w:rsidRDefault="280C9BAE" w:rsidP="280C9BAE">
      <w:pPr>
        <w:pStyle w:val="ListNumber"/>
        <w:numPr>
          <w:ilvl w:val="0"/>
          <w:numId w:val="0"/>
        </w:numPr>
        <w:rPr>
          <w:rFonts w:eastAsia="Calibri" w:cs="Arial"/>
          <w:szCs w:val="20"/>
        </w:rPr>
      </w:pPr>
    </w:p>
    <w:p w14:paraId="3E2E8F11" w14:textId="298889A2" w:rsidR="00020FC8" w:rsidRPr="002227D8" w:rsidRDefault="294F0AC8" w:rsidP="001D1B51">
      <w:pPr>
        <w:pStyle w:val="Heading2"/>
      </w:pPr>
      <w:bookmarkStart w:id="522" w:name="_Toc1018931313"/>
      <w:bookmarkStart w:id="523" w:name="_Toc1155028803"/>
      <w:bookmarkStart w:id="524" w:name="_Toc1309436091"/>
      <w:bookmarkStart w:id="525" w:name="_Toc772114915"/>
      <w:bookmarkStart w:id="526" w:name="_Toc2127376113"/>
      <w:bookmarkStart w:id="527" w:name="_Toc420852357"/>
      <w:bookmarkStart w:id="528" w:name="_Toc2100348446"/>
      <w:bookmarkStart w:id="529" w:name="_Toc1534307639"/>
      <w:bookmarkStart w:id="530" w:name="_Toc1201251134"/>
      <w:bookmarkStart w:id="531" w:name="_Toc24713681"/>
      <w:bookmarkStart w:id="532" w:name="_Toc90983372"/>
      <w:bookmarkStart w:id="533" w:name="_Toc90984635"/>
      <w:r>
        <w:t>Lift Commonwealth Rent Assistance by 50%</w:t>
      </w:r>
      <w:bookmarkEnd w:id="522"/>
      <w:bookmarkEnd w:id="523"/>
      <w:bookmarkEnd w:id="524"/>
      <w:bookmarkEnd w:id="525"/>
      <w:bookmarkEnd w:id="526"/>
      <w:bookmarkEnd w:id="527"/>
      <w:bookmarkEnd w:id="528"/>
      <w:bookmarkEnd w:id="529"/>
      <w:bookmarkEnd w:id="530"/>
      <w:bookmarkEnd w:id="531"/>
      <w:bookmarkEnd w:id="532"/>
      <w:bookmarkEnd w:id="533"/>
    </w:p>
    <w:p w14:paraId="1B02597B" w14:textId="77777777" w:rsidR="00C73D92" w:rsidRDefault="00C73D92" w:rsidP="280C9BAE">
      <w:pPr>
        <w:spacing w:line="257" w:lineRule="auto"/>
        <w:rPr>
          <w:rFonts w:eastAsia="Verdana" w:cs="Verdana"/>
          <w:color w:val="auto"/>
          <w:szCs w:val="20"/>
        </w:rPr>
      </w:pPr>
    </w:p>
    <w:p w14:paraId="0EABA1E3" w14:textId="193B824C" w:rsidR="280C9BAE" w:rsidRDefault="280C9BAE" w:rsidP="280C9BAE">
      <w:pPr>
        <w:spacing w:line="257" w:lineRule="auto"/>
        <w:rPr>
          <w:rFonts w:eastAsia="Verdana" w:cs="Verdana"/>
          <w:color w:val="auto"/>
          <w:szCs w:val="20"/>
        </w:rPr>
      </w:pPr>
      <w:r w:rsidRPr="280C9BAE">
        <w:rPr>
          <w:rFonts w:eastAsia="Verdana" w:cs="Verdana"/>
          <w:color w:val="auto"/>
          <w:szCs w:val="20"/>
        </w:rPr>
        <w:t xml:space="preserve">Commonwealth Rent Assistance (CRA) provides crucial assistance to tenants with low incomes in private housing, but it has failed to keep pace with steep increases in rents. The maximum rate should be increased by 50% to relieve rental stress for people on low incomes in the private rental market. </w:t>
      </w:r>
    </w:p>
    <w:p w14:paraId="794D46F1" w14:textId="032B0443" w:rsidR="280C9BAE" w:rsidRDefault="294F0AC8" w:rsidP="294F0AC8">
      <w:pPr>
        <w:spacing w:line="257" w:lineRule="auto"/>
        <w:rPr>
          <w:rFonts w:eastAsia="Calibri" w:cs="Arial"/>
          <w:color w:val="auto"/>
        </w:rPr>
      </w:pPr>
      <w:r w:rsidRPr="294F0AC8">
        <w:rPr>
          <w:rFonts w:eastAsia="Verdana" w:cs="Verdana"/>
          <w:color w:val="auto"/>
        </w:rPr>
        <w:t>For more information, see the Chapter 1</w:t>
      </w:r>
      <w:r w:rsidR="00C73D92">
        <w:rPr>
          <w:rFonts w:eastAsia="Verdana" w:cs="Verdana"/>
          <w:color w:val="auto"/>
        </w:rPr>
        <w:t xml:space="preserve"> (</w:t>
      </w:r>
      <w:r w:rsidR="00C73D92" w:rsidRPr="294F0AC8">
        <w:rPr>
          <w:rFonts w:eastAsia="Verdana" w:cs="Verdana"/>
          <w:color w:val="auto"/>
        </w:rPr>
        <w:t>Social Security</w:t>
      </w:r>
      <w:r w:rsidR="00C73D92">
        <w:rPr>
          <w:rFonts w:eastAsia="Verdana" w:cs="Verdana"/>
          <w:color w:val="auto"/>
        </w:rPr>
        <w:t>)</w:t>
      </w:r>
      <w:r w:rsidRPr="294F0AC8">
        <w:rPr>
          <w:rFonts w:eastAsia="Verdana" w:cs="Verdana"/>
          <w:color w:val="auto"/>
        </w:rPr>
        <w:t>, recommendation 2.</w:t>
      </w:r>
    </w:p>
    <w:p w14:paraId="5F4EF7D8" w14:textId="138906AA" w:rsidR="008101F0" w:rsidRPr="002227D8" w:rsidRDefault="294F0AC8" w:rsidP="001D1B51">
      <w:pPr>
        <w:pStyle w:val="Heading2"/>
      </w:pPr>
      <w:bookmarkStart w:id="534" w:name="_Toc90983373"/>
      <w:bookmarkStart w:id="535" w:name="_Toc90984636"/>
      <w:bookmarkStart w:id="536" w:name="_Toc2096445213"/>
      <w:bookmarkStart w:id="537" w:name="_Toc916640693"/>
      <w:bookmarkStart w:id="538" w:name="_Toc983742992"/>
      <w:bookmarkStart w:id="539" w:name="_Toc1155545315"/>
      <w:bookmarkStart w:id="540" w:name="_Toc1815533586"/>
      <w:bookmarkStart w:id="541" w:name="_Toc540833181"/>
      <w:bookmarkStart w:id="542" w:name="_Toc1474851401"/>
      <w:bookmarkStart w:id="543" w:name="_Toc567773481"/>
      <w:bookmarkStart w:id="544" w:name="_Toc70557883"/>
      <w:bookmarkStart w:id="545" w:name="_Toc1926940955"/>
      <w:r>
        <w:t>Create a new affordable rental investment incentive</w:t>
      </w:r>
      <w:bookmarkEnd w:id="534"/>
      <w:bookmarkEnd w:id="535"/>
      <w:r>
        <w:t xml:space="preserve"> </w:t>
      </w:r>
      <w:bookmarkEnd w:id="536"/>
      <w:bookmarkEnd w:id="537"/>
      <w:bookmarkEnd w:id="538"/>
      <w:bookmarkEnd w:id="539"/>
      <w:bookmarkEnd w:id="540"/>
      <w:bookmarkEnd w:id="541"/>
      <w:bookmarkEnd w:id="542"/>
      <w:bookmarkEnd w:id="543"/>
      <w:bookmarkEnd w:id="544"/>
      <w:bookmarkEnd w:id="545"/>
    </w:p>
    <w:p w14:paraId="6CBBC8E6" w14:textId="77777777" w:rsidR="00C73D92" w:rsidRDefault="00C73D92" w:rsidP="280C9BAE">
      <w:pPr>
        <w:tabs>
          <w:tab w:val="left" w:pos="720"/>
        </w:tabs>
        <w:spacing w:line="257" w:lineRule="auto"/>
        <w:rPr>
          <w:rFonts w:eastAsia="Verdana" w:cs="Verdana"/>
          <w:color w:val="auto"/>
          <w:szCs w:val="20"/>
        </w:rPr>
      </w:pPr>
    </w:p>
    <w:p w14:paraId="54182447" w14:textId="442F7C2E" w:rsidR="280C9BAE" w:rsidRDefault="280C9BAE" w:rsidP="280C9BAE">
      <w:pPr>
        <w:tabs>
          <w:tab w:val="left" w:pos="720"/>
        </w:tabs>
        <w:spacing w:line="257" w:lineRule="auto"/>
        <w:rPr>
          <w:rFonts w:eastAsia="Verdana" w:cs="Verdana"/>
          <w:color w:val="auto"/>
          <w:szCs w:val="20"/>
        </w:rPr>
      </w:pPr>
      <w:r w:rsidRPr="280C9BAE">
        <w:rPr>
          <w:rFonts w:eastAsia="Verdana" w:cs="Verdana"/>
          <w:color w:val="auto"/>
          <w:szCs w:val="20"/>
        </w:rPr>
        <w:t>A new rental investment incentive scheme is needed to replace the discontinued National Rental Affordability Scheme, and to complement the National Housing Finance Investment Corporation, Bond Aggregator and Housing Infrastructure Facility. Its purpose should be to bridge the finance gap for potential investors in housing for rent below market rates for people with low incomes (eligible for social housing assistance) or modest incomes (eligible for ‘affordable housing’ assistance).</w:t>
      </w:r>
    </w:p>
    <w:p w14:paraId="232B9880" w14:textId="4F4C3856" w:rsidR="280C9BAE" w:rsidRDefault="280C9BAE" w:rsidP="280C9BAE">
      <w:pPr>
        <w:tabs>
          <w:tab w:val="left" w:pos="720"/>
        </w:tabs>
        <w:spacing w:line="257" w:lineRule="auto"/>
        <w:rPr>
          <w:rFonts w:eastAsia="Verdana" w:cs="Verdana"/>
          <w:color w:val="auto"/>
          <w:szCs w:val="20"/>
        </w:rPr>
      </w:pPr>
      <w:r w:rsidRPr="280C9BAE">
        <w:rPr>
          <w:rFonts w:eastAsia="Verdana" w:cs="Verdana"/>
          <w:color w:val="auto"/>
          <w:szCs w:val="20"/>
        </w:rPr>
        <w:t>The scheme should be funded by reducing the concessional tax treatment of 'negatively geared’ property investments (see ‘Chapter 10: A fairer tax system that supports economic development’)</w:t>
      </w:r>
    </w:p>
    <w:p w14:paraId="4A67EA0A" w14:textId="7B1BA764" w:rsidR="008101F0" w:rsidRPr="002227D8" w:rsidRDefault="294F0AC8" w:rsidP="294F0AC8">
      <w:pPr>
        <w:pStyle w:val="ListNumber"/>
        <w:numPr>
          <w:ilvl w:val="0"/>
          <w:numId w:val="0"/>
        </w:numPr>
        <w:tabs>
          <w:tab w:val="left" w:pos="720"/>
        </w:tabs>
        <w:spacing w:line="256" w:lineRule="auto"/>
        <w:rPr>
          <w:b/>
          <w:bCs/>
        </w:rPr>
      </w:pPr>
      <w:r w:rsidRPr="294F0AC8">
        <w:rPr>
          <w:b/>
          <w:bCs/>
          <w:color w:val="FF0000"/>
        </w:rPr>
        <w:t xml:space="preserve">Recommendation 24: </w:t>
      </w:r>
      <w:r w:rsidRPr="294F0AC8">
        <w:rPr>
          <w:b/>
          <w:bCs/>
          <w:color w:val="auto"/>
        </w:rPr>
        <w:t>Introduce a</w:t>
      </w:r>
      <w:r w:rsidRPr="294F0AC8">
        <w:rPr>
          <w:b/>
          <w:bCs/>
        </w:rPr>
        <w:t xml:space="preserve"> two-tier investment incentive for construction of new rental housing for people with low or modest incomes, which is set at two rates based on a proportion of construction costs up to a cap and financed through restrictions on deductions for costs associated with property investments (‘negative gearing’);</w:t>
      </w:r>
      <w:r w:rsidR="008101F0">
        <w:br/>
      </w:r>
    </w:p>
    <w:p w14:paraId="0F8A575B" w14:textId="4F2595F4" w:rsidR="008101F0" w:rsidRPr="002227D8" w:rsidRDefault="008101F0" w:rsidP="00DD3DC0">
      <w:pPr>
        <w:pStyle w:val="ListNumber"/>
        <w:numPr>
          <w:ilvl w:val="0"/>
          <w:numId w:val="8"/>
        </w:numPr>
        <w:tabs>
          <w:tab w:val="left" w:pos="851"/>
        </w:tabs>
        <w:spacing w:line="256" w:lineRule="auto"/>
        <w:rPr>
          <w:rFonts w:asciiTheme="minorHAnsi" w:eastAsiaTheme="minorEastAsia" w:hAnsiTheme="minorHAnsi"/>
          <w:b/>
          <w:szCs w:val="20"/>
        </w:rPr>
      </w:pPr>
      <w:r w:rsidRPr="002227D8">
        <w:rPr>
          <w:b/>
        </w:rPr>
        <w:t>with a higher rate for dwellings for community housing providers to house people with low incomes (with rent tied to incomes);</w:t>
      </w:r>
      <w:r w:rsidR="280C9BAE" w:rsidRPr="280C9BAE">
        <w:rPr>
          <w:b/>
          <w:bCs/>
        </w:rPr>
        <w:t xml:space="preserve"> and</w:t>
      </w:r>
    </w:p>
    <w:p w14:paraId="4945E9BE" w14:textId="27AB3228" w:rsidR="008101F0" w:rsidRPr="002227D8" w:rsidRDefault="008101F0" w:rsidP="00DD3DC0">
      <w:pPr>
        <w:pStyle w:val="ListNumber"/>
        <w:numPr>
          <w:ilvl w:val="0"/>
          <w:numId w:val="8"/>
        </w:numPr>
        <w:tabs>
          <w:tab w:val="left" w:pos="851"/>
        </w:tabs>
        <w:spacing w:line="256" w:lineRule="auto"/>
        <w:rPr>
          <w:rFonts w:asciiTheme="minorHAnsi" w:eastAsiaTheme="minorEastAsia" w:hAnsiTheme="minorHAnsi"/>
          <w:b/>
          <w:szCs w:val="20"/>
        </w:rPr>
      </w:pPr>
      <w:r w:rsidRPr="002227D8">
        <w:rPr>
          <w:b/>
        </w:rPr>
        <w:t>a lower rate for ’affordable housing’ dwellings for people with modest incomes (with rents set at a 20% discount from market rents for at least ten years after construction</w:t>
      </w:r>
      <w:r w:rsidR="280C9BAE" w:rsidRPr="280C9BAE">
        <w:rPr>
          <w:b/>
          <w:bCs/>
        </w:rPr>
        <w:t>).</w:t>
      </w:r>
    </w:p>
    <w:p w14:paraId="564563EE" w14:textId="664FEB92" w:rsidR="3A25A59E" w:rsidRPr="002227D8" w:rsidRDefault="294F0AC8" w:rsidP="294F0AC8">
      <w:pPr>
        <w:pStyle w:val="Recommendation"/>
        <w:rPr>
          <w:i/>
          <w:iCs/>
          <w:color w:val="auto"/>
        </w:rPr>
      </w:pPr>
      <w:r>
        <w:t>Budget</w:t>
      </w:r>
      <w:r w:rsidRPr="294F0AC8">
        <w:rPr>
          <w:b w:val="0"/>
          <w:color w:val="FF0000"/>
        </w:rPr>
        <w:t xml:space="preserve"> </w:t>
      </w:r>
      <w:r>
        <w:t>impact</w:t>
      </w:r>
      <w:r w:rsidRPr="294F0AC8">
        <w:rPr>
          <w:b w:val="0"/>
          <w:color w:val="FF0000"/>
        </w:rPr>
        <w:t>:</w:t>
      </w:r>
      <w:r>
        <w:rPr>
          <w:b w:val="0"/>
        </w:rPr>
        <w:t xml:space="preserve"> </w:t>
      </w:r>
      <w:r w:rsidRPr="294F0AC8">
        <w:rPr>
          <w:i/>
          <w:iCs/>
          <w:color w:val="auto"/>
        </w:rPr>
        <w:t xml:space="preserve">-$600 million in 2023-24 </w:t>
      </w:r>
    </w:p>
    <w:p w14:paraId="64CEDDF5" w14:textId="0976CDDA" w:rsidR="7B33A330" w:rsidRPr="002227D8" w:rsidRDefault="7B33A330" w:rsidP="7B33A330">
      <w:pPr>
        <w:pStyle w:val="ListNumber"/>
        <w:numPr>
          <w:ilvl w:val="0"/>
          <w:numId w:val="0"/>
        </w:numPr>
      </w:pPr>
    </w:p>
    <w:p w14:paraId="7CB3815E" w14:textId="097293E9" w:rsidR="00020FC8" w:rsidRPr="002227D8" w:rsidRDefault="294F0AC8" w:rsidP="001D1B51">
      <w:pPr>
        <w:pStyle w:val="Heading2"/>
      </w:pPr>
      <w:bookmarkStart w:id="546" w:name="_Toc1794183334"/>
      <w:bookmarkStart w:id="547" w:name="_Toc1409653229"/>
      <w:bookmarkStart w:id="548" w:name="_Toc881908573"/>
      <w:bookmarkStart w:id="549" w:name="_Toc1115939179"/>
      <w:bookmarkStart w:id="550" w:name="_Toc816758893"/>
      <w:bookmarkStart w:id="551" w:name="_Toc1342168901"/>
      <w:bookmarkStart w:id="552" w:name="_Toc1078679659"/>
      <w:bookmarkStart w:id="553" w:name="_Toc775737052"/>
      <w:bookmarkStart w:id="554" w:name="_Toc1731524763"/>
      <w:bookmarkStart w:id="555" w:name="_Toc985290915"/>
      <w:bookmarkStart w:id="556" w:name="_Toc90983374"/>
      <w:bookmarkStart w:id="557" w:name="_Toc90984637"/>
      <w:r>
        <w:t>Develop a new First Nations housing strategy</w:t>
      </w:r>
      <w:bookmarkEnd w:id="546"/>
      <w:bookmarkEnd w:id="547"/>
      <w:bookmarkEnd w:id="548"/>
      <w:bookmarkEnd w:id="549"/>
      <w:bookmarkEnd w:id="550"/>
      <w:bookmarkEnd w:id="551"/>
      <w:bookmarkEnd w:id="552"/>
      <w:bookmarkEnd w:id="553"/>
      <w:bookmarkEnd w:id="554"/>
      <w:bookmarkEnd w:id="555"/>
      <w:bookmarkEnd w:id="556"/>
      <w:bookmarkEnd w:id="557"/>
    </w:p>
    <w:p w14:paraId="3FF694FD" w14:textId="77777777" w:rsidR="00C73D92" w:rsidRDefault="00C73D92" w:rsidP="280C9BAE">
      <w:pPr>
        <w:tabs>
          <w:tab w:val="left" w:pos="720"/>
        </w:tabs>
        <w:spacing w:line="257" w:lineRule="auto"/>
        <w:rPr>
          <w:rFonts w:eastAsia="Verdana" w:cs="Verdana"/>
          <w:szCs w:val="20"/>
        </w:rPr>
      </w:pPr>
    </w:p>
    <w:p w14:paraId="01BE605D" w14:textId="7B1717BD" w:rsidR="41404570" w:rsidRPr="002227D8" w:rsidRDefault="280C9BAE" w:rsidP="280C9BAE">
      <w:pPr>
        <w:tabs>
          <w:tab w:val="left" w:pos="720"/>
        </w:tabs>
        <w:spacing w:line="257" w:lineRule="auto"/>
      </w:pPr>
      <w:r w:rsidRPr="280C9BAE">
        <w:rPr>
          <w:rFonts w:eastAsia="Verdana" w:cs="Verdana"/>
          <w:szCs w:val="20"/>
        </w:rPr>
        <w:t xml:space="preserve">Since 2009, there has been no dedicated Commonwealth funding for Aboriginal and Torres Strait Islander housing supply outside of remote areas and services have increasingly been mainstreamed in a context of little or no overall growth. This is despite the demonstrated benefits of culturally appropriate housing for Aboriginal people around the country and the large Aboriginal populations in urban </w:t>
      </w:r>
      <w:proofErr w:type="spellStart"/>
      <w:r w:rsidRPr="280C9BAE">
        <w:rPr>
          <w:rFonts w:eastAsia="Verdana" w:cs="Verdana"/>
          <w:szCs w:val="20"/>
        </w:rPr>
        <w:t>centres</w:t>
      </w:r>
      <w:proofErr w:type="spellEnd"/>
      <w:r w:rsidRPr="280C9BAE">
        <w:rPr>
          <w:rFonts w:eastAsia="Verdana" w:cs="Verdana"/>
          <w:szCs w:val="20"/>
        </w:rPr>
        <w:t>.</w:t>
      </w:r>
    </w:p>
    <w:p w14:paraId="04F7A83D" w14:textId="207E3CDC" w:rsidR="41404570" w:rsidRPr="002227D8" w:rsidRDefault="280C9BAE" w:rsidP="280C9BAE">
      <w:pPr>
        <w:tabs>
          <w:tab w:val="left" w:pos="720"/>
        </w:tabs>
        <w:spacing w:line="257" w:lineRule="auto"/>
      </w:pPr>
      <w:r w:rsidRPr="280C9BAE">
        <w:rPr>
          <w:rFonts w:eastAsia="Verdana" w:cs="Verdana"/>
          <w:szCs w:val="20"/>
        </w:rPr>
        <w:t xml:space="preserve">Dedicated funding is needed to improve the viability of Indigenous Community Housing </w:t>
      </w:r>
      <w:proofErr w:type="spellStart"/>
      <w:r w:rsidRPr="280C9BAE">
        <w:rPr>
          <w:rFonts w:eastAsia="Verdana" w:cs="Verdana"/>
          <w:szCs w:val="20"/>
        </w:rPr>
        <w:t>Organisations</w:t>
      </w:r>
      <w:proofErr w:type="spellEnd"/>
      <w:r w:rsidRPr="280C9BAE">
        <w:rPr>
          <w:rFonts w:eastAsia="Verdana" w:cs="Verdana"/>
          <w:szCs w:val="20"/>
        </w:rPr>
        <w:t xml:space="preserve"> (ICHOs) as an alternative to mainstream providers and support their capacity to take advantage of new financing options such as the Bond Aggregator.  </w:t>
      </w:r>
    </w:p>
    <w:p w14:paraId="6586EC8F" w14:textId="77777777" w:rsidR="00C73D92" w:rsidRDefault="00C73D92">
      <w:pPr>
        <w:rPr>
          <w:b/>
          <w:color w:val="C00000"/>
        </w:rPr>
      </w:pPr>
      <w:r>
        <w:rPr>
          <w:color w:val="C00000"/>
        </w:rPr>
        <w:br w:type="page"/>
      </w:r>
    </w:p>
    <w:p w14:paraId="781442DB" w14:textId="77777777" w:rsidR="00C73D92" w:rsidRDefault="00C73D92" w:rsidP="294F0AC8">
      <w:pPr>
        <w:pStyle w:val="Recommendation"/>
        <w:rPr>
          <w:color w:val="C00000"/>
        </w:rPr>
      </w:pPr>
    </w:p>
    <w:p w14:paraId="4317C258" w14:textId="77777777" w:rsidR="00C73D92" w:rsidRDefault="00C73D92" w:rsidP="294F0AC8">
      <w:pPr>
        <w:pStyle w:val="Recommendation"/>
        <w:rPr>
          <w:color w:val="C00000"/>
        </w:rPr>
      </w:pPr>
    </w:p>
    <w:p w14:paraId="4E939F49" w14:textId="3C55CFF5" w:rsidR="7B33A330" w:rsidRPr="00F83A1C" w:rsidRDefault="294F0AC8" w:rsidP="294F0AC8">
      <w:pPr>
        <w:pStyle w:val="Recommendation"/>
        <w:rPr>
          <w:rFonts w:eastAsiaTheme="minorEastAsia"/>
          <w:color w:val="000000" w:themeColor="text1"/>
        </w:rPr>
      </w:pPr>
      <w:r w:rsidRPr="294F0AC8">
        <w:rPr>
          <w:color w:val="C00000"/>
        </w:rPr>
        <w:t>Recommendation 25:</w:t>
      </w:r>
      <w:r>
        <w:t xml:space="preserve"> </w:t>
      </w:r>
      <w:r w:rsidRPr="294F0AC8">
        <w:rPr>
          <w:rFonts w:eastAsiaTheme="minorEastAsia"/>
          <w:color w:val="000000" w:themeColor="text1"/>
        </w:rPr>
        <w:t xml:space="preserve">Develop a new national Aboriginal and Torres Strait Islander housing strategy with a 10% boost to funding under the National Housing and Homelessness Agreement earmarked to build capacity for Indigenous Community Housing </w:t>
      </w:r>
      <w:proofErr w:type="spellStart"/>
      <w:r w:rsidRPr="294F0AC8">
        <w:rPr>
          <w:rFonts w:eastAsiaTheme="minorEastAsia"/>
          <w:color w:val="000000" w:themeColor="text1"/>
        </w:rPr>
        <w:t>Organisations</w:t>
      </w:r>
      <w:proofErr w:type="spellEnd"/>
      <w:r w:rsidRPr="294F0AC8">
        <w:rPr>
          <w:rFonts w:eastAsiaTheme="minorEastAsia"/>
          <w:color w:val="000000" w:themeColor="text1"/>
        </w:rPr>
        <w:t xml:space="preserve"> (ICHOs) in urban, rural, </w:t>
      </w:r>
      <w:proofErr w:type="gramStart"/>
      <w:r w:rsidRPr="294F0AC8">
        <w:rPr>
          <w:rFonts w:eastAsiaTheme="minorEastAsia"/>
          <w:color w:val="000000" w:themeColor="text1"/>
        </w:rPr>
        <w:t>regional</w:t>
      </w:r>
      <w:proofErr w:type="gramEnd"/>
      <w:r w:rsidRPr="294F0AC8">
        <w:rPr>
          <w:rFonts w:eastAsiaTheme="minorEastAsia"/>
          <w:color w:val="000000" w:themeColor="text1"/>
        </w:rPr>
        <w:t xml:space="preserve"> and remote areas. </w:t>
      </w:r>
    </w:p>
    <w:p w14:paraId="0FCE3C28" w14:textId="77777777" w:rsidR="00F83A1C" w:rsidRDefault="00F83A1C" w:rsidP="008101F0">
      <w:pPr>
        <w:pStyle w:val="Recommendation"/>
        <w:rPr>
          <w:color w:val="C00000"/>
        </w:rPr>
      </w:pPr>
    </w:p>
    <w:p w14:paraId="2CEE3F1A" w14:textId="31E31080" w:rsidR="00DD2325" w:rsidRPr="008101F0" w:rsidRDefault="67F1141B" w:rsidP="008101F0">
      <w:pPr>
        <w:pStyle w:val="Recommendation"/>
        <w:rPr>
          <w:i/>
          <w:highlight w:val="yellow"/>
        </w:rPr>
      </w:pPr>
      <w:r w:rsidRPr="004173A5">
        <w:rPr>
          <w:color w:val="C00000"/>
        </w:rPr>
        <w:t>Budget impact:</w:t>
      </w:r>
      <w:r w:rsidRPr="004173A5">
        <w:rPr>
          <w:b w:val="0"/>
          <w:color w:val="C00000"/>
        </w:rPr>
        <w:t xml:space="preserve"> </w:t>
      </w:r>
      <w:r w:rsidRPr="280C9BAE">
        <w:rPr>
          <w:rFonts w:eastAsiaTheme="minorEastAsia"/>
          <w:i/>
          <w:color w:val="000000" w:themeColor="text1"/>
        </w:rPr>
        <w:t xml:space="preserve">-$190 million </w:t>
      </w:r>
      <w:r w:rsidR="280C9BAE" w:rsidRPr="280C9BAE">
        <w:rPr>
          <w:rFonts w:eastAsiaTheme="minorEastAsia"/>
          <w:i/>
          <w:iCs/>
          <w:color w:val="000000" w:themeColor="text1"/>
        </w:rPr>
        <w:t xml:space="preserve">(-$220 million </w:t>
      </w:r>
      <w:r w:rsidRPr="280C9BAE">
        <w:rPr>
          <w:rFonts w:eastAsiaTheme="minorEastAsia"/>
          <w:i/>
          <w:color w:val="000000" w:themeColor="text1"/>
        </w:rPr>
        <w:t xml:space="preserve">in </w:t>
      </w:r>
      <w:r w:rsidR="280C9BAE" w:rsidRPr="280C9BAE">
        <w:rPr>
          <w:rFonts w:eastAsiaTheme="minorEastAsia"/>
          <w:i/>
          <w:iCs/>
          <w:color w:val="000000" w:themeColor="text1"/>
        </w:rPr>
        <w:t>2023-24</w:t>
      </w:r>
      <w:r w:rsidRPr="280C9BAE">
        <w:rPr>
          <w:rFonts w:eastAsiaTheme="minorEastAsia"/>
          <w:i/>
          <w:color w:val="000000" w:themeColor="text1"/>
        </w:rPr>
        <w:t>)</w:t>
      </w:r>
      <w:r w:rsidRPr="002A535E">
        <w:rPr>
          <w:i/>
        </w:rPr>
        <w:t xml:space="preserve"> </w:t>
      </w:r>
    </w:p>
    <w:p w14:paraId="4AF78DD4" w14:textId="77777777" w:rsidR="00DD2325" w:rsidRDefault="00DD2325" w:rsidP="7B33A330">
      <w:pPr>
        <w:pStyle w:val="ListNumber"/>
        <w:numPr>
          <w:ilvl w:val="0"/>
          <w:numId w:val="0"/>
        </w:numPr>
        <w:rPr>
          <w:i/>
        </w:rPr>
      </w:pPr>
    </w:p>
    <w:p w14:paraId="59A6D619" w14:textId="075590D4" w:rsidR="00020FC8" w:rsidRDefault="294F0AC8" w:rsidP="001D1B51">
      <w:pPr>
        <w:pStyle w:val="Heading2"/>
      </w:pPr>
      <w:bookmarkStart w:id="558" w:name="_Toc325349855"/>
      <w:bookmarkStart w:id="559" w:name="_Toc1884578923"/>
      <w:bookmarkStart w:id="560" w:name="_Toc354291473"/>
      <w:bookmarkStart w:id="561" w:name="_Toc1355157878"/>
      <w:bookmarkStart w:id="562" w:name="_Toc1182044148"/>
      <w:bookmarkStart w:id="563" w:name="_Toc358926416"/>
      <w:bookmarkStart w:id="564" w:name="_Toc1475303412"/>
      <w:bookmarkStart w:id="565" w:name="_Toc1075736910"/>
      <w:bookmarkStart w:id="566" w:name="_Toc443342849"/>
      <w:bookmarkStart w:id="567" w:name="_Toc2076518334"/>
      <w:bookmarkStart w:id="568" w:name="_Toc90983375"/>
      <w:bookmarkStart w:id="569" w:name="_Toc90984638"/>
      <w:r>
        <w:t>Develop a new inter-governmental remote housing agreement</w:t>
      </w:r>
      <w:bookmarkEnd w:id="558"/>
      <w:bookmarkEnd w:id="559"/>
      <w:bookmarkEnd w:id="560"/>
      <w:bookmarkEnd w:id="561"/>
      <w:bookmarkEnd w:id="562"/>
      <w:bookmarkEnd w:id="563"/>
      <w:bookmarkEnd w:id="564"/>
      <w:bookmarkEnd w:id="565"/>
      <w:bookmarkEnd w:id="566"/>
      <w:bookmarkEnd w:id="567"/>
      <w:bookmarkEnd w:id="568"/>
      <w:bookmarkEnd w:id="569"/>
    </w:p>
    <w:p w14:paraId="0F3C5953" w14:textId="77777777" w:rsidR="00C73D92" w:rsidRDefault="00C73D92" w:rsidP="280C9BAE">
      <w:pPr>
        <w:rPr>
          <w:rFonts w:eastAsia="Verdana" w:cs="Verdana"/>
          <w:color w:val="auto"/>
          <w:szCs w:val="20"/>
        </w:rPr>
      </w:pPr>
    </w:p>
    <w:p w14:paraId="22EA8B95" w14:textId="0DA111FB" w:rsidR="7B33A330" w:rsidRDefault="280C9BAE" w:rsidP="280C9BAE">
      <w:pPr>
        <w:rPr>
          <w:rFonts w:eastAsia="Verdana" w:cs="Verdana"/>
          <w:color w:val="auto"/>
          <w:szCs w:val="20"/>
        </w:rPr>
      </w:pPr>
      <w:r w:rsidRPr="280C9BAE">
        <w:rPr>
          <w:rFonts w:eastAsia="Verdana" w:cs="Verdana"/>
          <w:color w:val="auto"/>
          <w:szCs w:val="20"/>
        </w:rPr>
        <w:t xml:space="preserve">The National Partnership on Remote Indigenous Housing expired in </w:t>
      </w:r>
      <w:r w:rsidR="00121847" w:rsidRPr="280C9BAE">
        <w:rPr>
          <w:rFonts w:eastAsia="Verdana" w:cs="Verdana"/>
          <w:color w:val="auto"/>
          <w:szCs w:val="20"/>
        </w:rPr>
        <w:t>June 2018 and</w:t>
      </w:r>
      <w:r w:rsidRPr="280C9BAE">
        <w:rPr>
          <w:rFonts w:eastAsia="Verdana" w:cs="Verdana"/>
          <w:color w:val="auto"/>
          <w:szCs w:val="20"/>
        </w:rPr>
        <w:t xml:space="preserve"> has been replaced with a range of uneven and short-term bilateral arrangements </w:t>
      </w:r>
      <w:r w:rsidR="00121847">
        <w:rPr>
          <w:rFonts w:eastAsia="Verdana" w:cs="Verdana"/>
          <w:color w:val="auto"/>
          <w:szCs w:val="20"/>
        </w:rPr>
        <w:t>that d</w:t>
      </w:r>
      <w:r w:rsidRPr="280C9BAE">
        <w:rPr>
          <w:rFonts w:eastAsia="Verdana" w:cs="Verdana"/>
          <w:color w:val="auto"/>
          <w:szCs w:val="20"/>
        </w:rPr>
        <w:t>o</w:t>
      </w:r>
      <w:r w:rsidR="00121847">
        <w:rPr>
          <w:rFonts w:eastAsia="Verdana" w:cs="Verdana"/>
          <w:color w:val="auto"/>
          <w:szCs w:val="20"/>
        </w:rPr>
        <w:t xml:space="preserve"> </w:t>
      </w:r>
      <w:r w:rsidRPr="280C9BAE">
        <w:rPr>
          <w:rFonts w:eastAsia="Verdana" w:cs="Verdana"/>
          <w:color w:val="auto"/>
          <w:szCs w:val="20"/>
        </w:rPr>
        <w:t>not meet the scale of the need. The Federal Government’s own review of the National Partnership Agreement on Remote Housing in late 2017 recommended that:</w:t>
      </w:r>
    </w:p>
    <w:p w14:paraId="27BDEF86" w14:textId="2BAA29F9" w:rsidR="7B33A330" w:rsidRDefault="001413D2" w:rsidP="280C9BAE">
      <w:pPr>
        <w:pStyle w:val="ListParagraph"/>
        <w:rPr>
          <w:rFonts w:asciiTheme="minorHAnsi" w:eastAsiaTheme="minorEastAsia" w:hAnsiTheme="minorHAnsi"/>
        </w:rPr>
      </w:pPr>
      <w:r>
        <w:rPr>
          <w:rFonts w:eastAsia="Verdana" w:cs="Verdana"/>
          <w:color w:val="auto"/>
        </w:rPr>
        <w:t>a</w:t>
      </w:r>
      <w:r w:rsidR="294F0AC8" w:rsidRPr="294F0AC8">
        <w:rPr>
          <w:rFonts w:eastAsia="Verdana" w:cs="Verdana"/>
          <w:color w:val="auto"/>
        </w:rPr>
        <w:t xml:space="preserve"> recurrent program be funded to maintain existing houses, preserve </w:t>
      </w:r>
      <w:r w:rsidRPr="294F0AC8">
        <w:rPr>
          <w:rFonts w:eastAsia="Verdana" w:cs="Verdana"/>
          <w:color w:val="auto"/>
        </w:rPr>
        <w:t>functionality,</w:t>
      </w:r>
      <w:r w:rsidR="294F0AC8" w:rsidRPr="294F0AC8">
        <w:rPr>
          <w:rFonts w:eastAsia="Verdana" w:cs="Verdana"/>
          <w:color w:val="auto"/>
        </w:rPr>
        <w:t xml:space="preserve"> and increase the life of housing assets; and that</w:t>
      </w:r>
    </w:p>
    <w:p w14:paraId="529857B6" w14:textId="7A6B6380" w:rsidR="7B33A330" w:rsidRDefault="001413D2" w:rsidP="280C9BAE">
      <w:pPr>
        <w:pStyle w:val="ListParagraph"/>
        <w:rPr>
          <w:rFonts w:asciiTheme="minorHAnsi" w:eastAsiaTheme="minorEastAsia" w:hAnsiTheme="minorHAnsi"/>
        </w:rPr>
      </w:pPr>
      <w:r>
        <w:rPr>
          <w:rFonts w:eastAsia="Verdana" w:cs="Verdana"/>
          <w:color w:val="auto"/>
        </w:rPr>
        <w:t>i</w:t>
      </w:r>
      <w:r w:rsidR="294F0AC8" w:rsidRPr="294F0AC8">
        <w:rPr>
          <w:rFonts w:eastAsia="Verdana" w:cs="Verdana"/>
          <w:color w:val="auto"/>
        </w:rPr>
        <w:t>nvestment be provided for an additional 5,500 houses by 2028, which are needed to continue efforts on Closing the Gap on Indigenous disadvantage.</w:t>
      </w:r>
    </w:p>
    <w:p w14:paraId="39784486" w14:textId="4B5E2324" w:rsidR="7B33A330" w:rsidRDefault="7B33A330" w:rsidP="280C9BAE">
      <w:pPr>
        <w:tabs>
          <w:tab w:val="left" w:pos="720"/>
        </w:tabs>
        <w:spacing w:line="257" w:lineRule="auto"/>
        <w:rPr>
          <w:rFonts w:eastAsia="Calibri" w:cs="Arial"/>
          <w:szCs w:val="20"/>
        </w:rPr>
      </w:pPr>
    </w:p>
    <w:p w14:paraId="7D97F04A" w14:textId="1FBB58D7" w:rsidR="7B33A330" w:rsidRPr="00F83A1C" w:rsidRDefault="294F0AC8" w:rsidP="294F0AC8">
      <w:pPr>
        <w:pStyle w:val="Recommendation"/>
        <w:rPr>
          <w:rFonts w:eastAsiaTheme="minorEastAsia"/>
          <w:color w:val="000000" w:themeColor="text1"/>
        </w:rPr>
      </w:pPr>
      <w:r w:rsidRPr="294F0AC8">
        <w:rPr>
          <w:color w:val="C00000"/>
        </w:rPr>
        <w:t xml:space="preserve">Recommendation 26: </w:t>
      </w:r>
      <w:r w:rsidRPr="294F0AC8">
        <w:rPr>
          <w:rFonts w:eastAsiaTheme="minorEastAsia"/>
          <w:color w:val="000000" w:themeColor="text1"/>
        </w:rPr>
        <w:t>Develop a new inter-governmental remote housing agreement negotiated between the Commonwealth and state and territory governments, with funding shared equally between the parties.</w:t>
      </w:r>
    </w:p>
    <w:p w14:paraId="1D53AC96" w14:textId="77777777" w:rsidR="00F83A1C" w:rsidRDefault="00F83A1C" w:rsidP="7B33A330">
      <w:pPr>
        <w:pStyle w:val="Recommendation"/>
        <w:rPr>
          <w:color w:val="C00000"/>
        </w:rPr>
      </w:pPr>
    </w:p>
    <w:p w14:paraId="4FAC0EF4" w14:textId="162A0250" w:rsidR="67F1141B" w:rsidRDefault="67F1141B" w:rsidP="7B33A330">
      <w:pPr>
        <w:pStyle w:val="Recommendation"/>
        <w:rPr>
          <w:rFonts w:eastAsiaTheme="minorEastAsia"/>
          <w:i/>
          <w:color w:val="000000" w:themeColor="text1"/>
        </w:rPr>
      </w:pPr>
      <w:r w:rsidRPr="004173A5">
        <w:rPr>
          <w:color w:val="C00000"/>
        </w:rPr>
        <w:t>Budget impact:</w:t>
      </w:r>
      <w:r>
        <w:rPr>
          <w:b w:val="0"/>
        </w:rPr>
        <w:t xml:space="preserve"> </w:t>
      </w:r>
      <w:r w:rsidRPr="280C9BAE">
        <w:rPr>
          <w:rFonts w:eastAsiaTheme="minorEastAsia"/>
          <w:i/>
          <w:color w:val="000000" w:themeColor="text1"/>
        </w:rPr>
        <w:t>-$4</w:t>
      </w:r>
      <w:r w:rsidR="00374E9D" w:rsidRPr="280C9BAE">
        <w:rPr>
          <w:rFonts w:eastAsiaTheme="minorEastAsia"/>
          <w:i/>
          <w:color w:val="000000" w:themeColor="text1"/>
        </w:rPr>
        <w:t>80</w:t>
      </w:r>
      <w:r w:rsidRPr="280C9BAE">
        <w:rPr>
          <w:rFonts w:eastAsiaTheme="minorEastAsia"/>
          <w:i/>
          <w:color w:val="000000" w:themeColor="text1"/>
        </w:rPr>
        <w:t xml:space="preserve"> million </w:t>
      </w:r>
      <w:r w:rsidR="280C9BAE" w:rsidRPr="280C9BAE">
        <w:rPr>
          <w:rFonts w:eastAsiaTheme="minorEastAsia"/>
          <w:i/>
          <w:iCs/>
          <w:color w:val="000000" w:themeColor="text1"/>
        </w:rPr>
        <w:t xml:space="preserve">(-$500 million </w:t>
      </w:r>
      <w:r w:rsidRPr="280C9BAE">
        <w:rPr>
          <w:rFonts w:eastAsiaTheme="minorEastAsia"/>
          <w:i/>
          <w:color w:val="000000" w:themeColor="text1"/>
        </w:rPr>
        <w:t xml:space="preserve">in </w:t>
      </w:r>
      <w:r w:rsidR="280C9BAE" w:rsidRPr="280C9BAE">
        <w:rPr>
          <w:rFonts w:eastAsiaTheme="minorEastAsia"/>
          <w:i/>
          <w:iCs/>
          <w:color w:val="000000" w:themeColor="text1"/>
        </w:rPr>
        <w:t>2023-24</w:t>
      </w:r>
      <w:r w:rsidRPr="280C9BAE">
        <w:rPr>
          <w:rFonts w:eastAsiaTheme="minorEastAsia"/>
          <w:i/>
          <w:color w:val="000000" w:themeColor="text1"/>
        </w:rPr>
        <w:t>)</w:t>
      </w:r>
    </w:p>
    <w:p w14:paraId="64E54992" w14:textId="4FB40F34" w:rsidR="002A535E" w:rsidRDefault="002A535E">
      <w:r>
        <w:br w:type="page"/>
      </w:r>
    </w:p>
    <w:p w14:paraId="18AAF768" w14:textId="0F61A884" w:rsidR="60D474DF" w:rsidRDefault="294F0AC8" w:rsidP="280C9BAE">
      <w:pPr>
        <w:pStyle w:val="Heading1"/>
        <w:numPr>
          <w:ilvl w:val="0"/>
          <w:numId w:val="0"/>
        </w:numPr>
      </w:pPr>
      <w:bookmarkStart w:id="570" w:name="_Toc1109318688"/>
      <w:bookmarkStart w:id="571" w:name="_Toc2064128974"/>
      <w:bookmarkStart w:id="572" w:name="_Toc564433039"/>
      <w:bookmarkStart w:id="573" w:name="_Toc2081202266"/>
      <w:bookmarkStart w:id="574" w:name="_Toc1737155607"/>
      <w:bookmarkStart w:id="575" w:name="_Toc1691179310"/>
      <w:bookmarkStart w:id="576" w:name="_Toc1094108418"/>
      <w:bookmarkStart w:id="577" w:name="_Toc1523872118"/>
      <w:bookmarkStart w:id="578" w:name="_Toc1173404591"/>
      <w:bookmarkStart w:id="579" w:name="_Toc101099733"/>
      <w:bookmarkStart w:id="580" w:name="_Toc90983318"/>
      <w:bookmarkStart w:id="581" w:name="_Toc90983376"/>
      <w:bookmarkStart w:id="582" w:name="_Toc90984639"/>
      <w:r>
        <w:lastRenderedPageBreak/>
        <w:t>6. Improve access and affordability of essential community services</w:t>
      </w:r>
      <w:bookmarkEnd w:id="570"/>
      <w:bookmarkEnd w:id="571"/>
      <w:bookmarkEnd w:id="572"/>
      <w:bookmarkEnd w:id="573"/>
      <w:bookmarkEnd w:id="574"/>
      <w:bookmarkEnd w:id="575"/>
      <w:bookmarkEnd w:id="576"/>
      <w:bookmarkEnd w:id="577"/>
      <w:bookmarkEnd w:id="578"/>
      <w:bookmarkEnd w:id="579"/>
      <w:bookmarkEnd w:id="580"/>
      <w:bookmarkEnd w:id="581"/>
      <w:bookmarkEnd w:id="582"/>
    </w:p>
    <w:p w14:paraId="47BB83A7" w14:textId="77777777" w:rsidR="00C73D92" w:rsidRDefault="00C73D92" w:rsidP="5ABE344E">
      <w:pPr>
        <w:spacing w:line="276" w:lineRule="auto"/>
        <w:rPr>
          <w:rFonts w:eastAsia="Verdana" w:cs="Verdana"/>
        </w:rPr>
      </w:pPr>
    </w:p>
    <w:p w14:paraId="0112C288" w14:textId="66F6BA5D" w:rsidR="5ABE344E" w:rsidRDefault="280C9BAE" w:rsidP="5ABE344E">
      <w:pPr>
        <w:spacing w:line="276" w:lineRule="auto"/>
        <w:rPr>
          <w:rFonts w:eastAsia="Calibri" w:cs="Arial"/>
        </w:rPr>
      </w:pPr>
      <w:r w:rsidRPr="280C9BAE">
        <w:rPr>
          <w:rFonts w:eastAsia="Verdana" w:cs="Verdana"/>
        </w:rPr>
        <w:t xml:space="preserve">Whilst </w:t>
      </w:r>
      <w:r w:rsidR="5ABE344E" w:rsidRPr="79A6475B">
        <w:rPr>
          <w:rFonts w:eastAsia="Verdana" w:cs="Verdana"/>
        </w:rPr>
        <w:t>community</w:t>
      </w:r>
      <w:r w:rsidR="5641A8ED" w:rsidRPr="79A6475B">
        <w:rPr>
          <w:rFonts w:eastAsia="Verdana" w:cs="Verdana"/>
        </w:rPr>
        <w:t xml:space="preserve"> services are a vital part of the national recovery, t</w:t>
      </w:r>
      <w:r w:rsidR="5ABE344E" w:rsidRPr="79A6475B">
        <w:rPr>
          <w:rFonts w:eastAsia="Verdana" w:cs="Verdana"/>
        </w:rPr>
        <w:t>he sector remains beset by considerable funding, contractual and regulatory challenges</w:t>
      </w:r>
      <w:r w:rsidR="00131946">
        <w:rPr>
          <w:rFonts w:eastAsia="Verdana" w:cs="Verdana"/>
        </w:rPr>
        <w:t>. These challenges</w:t>
      </w:r>
      <w:r w:rsidR="5ABE344E" w:rsidRPr="79A6475B">
        <w:rPr>
          <w:rFonts w:eastAsia="Verdana" w:cs="Verdana"/>
        </w:rPr>
        <w:t xml:space="preserve"> make it harder to invest in a sustainable workforce</w:t>
      </w:r>
      <w:r w:rsidR="1B2D4A14" w:rsidRPr="79A6475B">
        <w:rPr>
          <w:rFonts w:eastAsia="Verdana" w:cs="Verdana"/>
        </w:rPr>
        <w:t>, deliver ta</w:t>
      </w:r>
      <w:r w:rsidR="5F4AF2B0" w:rsidRPr="79A6475B">
        <w:rPr>
          <w:rFonts w:eastAsia="Verdana" w:cs="Verdana"/>
        </w:rPr>
        <w:t>ilor</w:t>
      </w:r>
      <w:r w:rsidR="0617550A" w:rsidRPr="79A6475B">
        <w:rPr>
          <w:rFonts w:eastAsia="Verdana" w:cs="Verdana"/>
        </w:rPr>
        <w:t>ed programs with a long-term focus,</w:t>
      </w:r>
      <w:r w:rsidR="5ABE344E" w:rsidRPr="79A6475B">
        <w:rPr>
          <w:rFonts w:eastAsia="Verdana" w:cs="Verdana"/>
        </w:rPr>
        <w:t xml:space="preserve"> and achieve positive outcomes for service users. </w:t>
      </w:r>
      <w:r w:rsidRPr="280C9BAE">
        <w:rPr>
          <w:rFonts w:eastAsia="Verdana" w:cs="Verdana"/>
        </w:rPr>
        <w:t>Despite recent welcome</w:t>
      </w:r>
      <w:r w:rsidR="5ABE344E" w:rsidRPr="79A6475B">
        <w:rPr>
          <w:rFonts w:eastAsia="Verdana" w:cs="Verdana"/>
        </w:rPr>
        <w:t xml:space="preserve"> commitments by the Federal Government to invest in </w:t>
      </w:r>
      <w:r w:rsidRPr="280C9BAE">
        <w:rPr>
          <w:rFonts w:eastAsia="Verdana" w:cs="Verdana"/>
        </w:rPr>
        <w:t>selected</w:t>
      </w:r>
      <w:r w:rsidR="5ABE344E" w:rsidRPr="79A6475B">
        <w:rPr>
          <w:rFonts w:eastAsia="Verdana" w:cs="Verdana"/>
        </w:rPr>
        <w:t xml:space="preserve"> services, such as home care packages</w:t>
      </w:r>
      <w:r w:rsidR="1CCF7E68" w:rsidRPr="79A6475B">
        <w:rPr>
          <w:rFonts w:eastAsia="Verdana" w:cs="Verdana"/>
        </w:rPr>
        <w:t>, early childhood education and care</w:t>
      </w:r>
      <w:r w:rsidR="6E36C206" w:rsidRPr="79A6475B">
        <w:rPr>
          <w:rFonts w:eastAsia="Verdana" w:cs="Verdana"/>
        </w:rPr>
        <w:t xml:space="preserve"> and programs for Aboriginal and Torres Strait Islander peoples</w:t>
      </w:r>
      <w:r w:rsidR="5ABE344E" w:rsidRPr="79A6475B">
        <w:rPr>
          <w:rFonts w:eastAsia="Verdana" w:cs="Verdana"/>
        </w:rPr>
        <w:t xml:space="preserve">, overall </w:t>
      </w:r>
      <w:r w:rsidR="15377F28" w:rsidRPr="79A6475B">
        <w:rPr>
          <w:rFonts w:eastAsia="Verdana" w:cs="Verdana"/>
        </w:rPr>
        <w:t>investment in essential services remains</w:t>
      </w:r>
      <w:r w:rsidR="7679531A" w:rsidRPr="79A6475B">
        <w:rPr>
          <w:rFonts w:eastAsia="Verdana" w:cs="Verdana"/>
        </w:rPr>
        <w:t xml:space="preserve"> seriously</w:t>
      </w:r>
      <w:r w:rsidR="15377F28" w:rsidRPr="79A6475B">
        <w:rPr>
          <w:rFonts w:eastAsia="Verdana" w:cs="Verdana"/>
        </w:rPr>
        <w:t xml:space="preserve"> insufficient</w:t>
      </w:r>
      <w:r w:rsidR="5AD8E4A2" w:rsidRPr="79A6475B">
        <w:rPr>
          <w:rFonts w:eastAsia="Verdana" w:cs="Verdana"/>
        </w:rPr>
        <w:t>. T</w:t>
      </w:r>
      <w:r w:rsidR="15377F28" w:rsidRPr="79A6475B">
        <w:rPr>
          <w:rFonts w:eastAsia="Verdana" w:cs="Verdana"/>
        </w:rPr>
        <w:t>he</w:t>
      </w:r>
      <w:r w:rsidR="5ABE344E" w:rsidRPr="79A6475B">
        <w:rPr>
          <w:rFonts w:eastAsia="Verdana" w:cs="Verdana"/>
        </w:rPr>
        <w:t xml:space="preserve"> climate </w:t>
      </w:r>
      <w:r w:rsidR="0FC0B6AC" w:rsidRPr="79A6475B">
        <w:rPr>
          <w:rFonts w:eastAsia="Verdana" w:cs="Verdana"/>
        </w:rPr>
        <w:t xml:space="preserve">for the sector </w:t>
      </w:r>
      <w:r w:rsidR="5ABE344E" w:rsidRPr="79A6475B">
        <w:rPr>
          <w:rFonts w:eastAsia="Verdana" w:cs="Verdana"/>
        </w:rPr>
        <w:t>remains one of chronic uncertainty</w:t>
      </w:r>
      <w:r w:rsidR="08713117" w:rsidRPr="79A6475B">
        <w:rPr>
          <w:rFonts w:eastAsia="Verdana" w:cs="Verdana"/>
        </w:rPr>
        <w:t xml:space="preserve">, </w:t>
      </w:r>
      <w:r w:rsidR="0C417ABE" w:rsidRPr="79A6475B">
        <w:rPr>
          <w:rFonts w:eastAsia="Verdana" w:cs="Verdana"/>
        </w:rPr>
        <w:t>constantly attempting to deliver</w:t>
      </w:r>
      <w:r w:rsidR="1B02F1B0" w:rsidRPr="79A6475B">
        <w:rPr>
          <w:rFonts w:eastAsia="Verdana" w:cs="Verdana"/>
        </w:rPr>
        <w:t xml:space="preserve"> even more</w:t>
      </w:r>
      <w:r w:rsidR="0C417ABE" w:rsidRPr="79A6475B">
        <w:rPr>
          <w:rFonts w:eastAsia="Verdana" w:cs="Verdana"/>
        </w:rPr>
        <w:t xml:space="preserve"> </w:t>
      </w:r>
      <w:r w:rsidR="6BD268AD" w:rsidRPr="79A6475B">
        <w:rPr>
          <w:rFonts w:eastAsia="Verdana" w:cs="Verdana"/>
        </w:rPr>
        <w:t>for people needing help</w:t>
      </w:r>
      <w:r w:rsidR="0C417ABE" w:rsidRPr="79A6475B">
        <w:rPr>
          <w:rFonts w:eastAsia="Verdana" w:cs="Verdana"/>
        </w:rPr>
        <w:t xml:space="preserve"> while coping with </w:t>
      </w:r>
      <w:r w:rsidR="00131946">
        <w:rPr>
          <w:rFonts w:eastAsia="Verdana" w:cs="Verdana"/>
        </w:rPr>
        <w:t>fewer</w:t>
      </w:r>
      <w:r w:rsidR="2AF764D6" w:rsidRPr="79A6475B">
        <w:rPr>
          <w:rFonts w:eastAsia="Verdana" w:cs="Verdana"/>
        </w:rPr>
        <w:t xml:space="preserve"> resources</w:t>
      </w:r>
      <w:r w:rsidR="637AB196" w:rsidRPr="79A6475B">
        <w:rPr>
          <w:rFonts w:eastAsia="Verdana" w:cs="Verdana"/>
        </w:rPr>
        <w:t>.</w:t>
      </w:r>
    </w:p>
    <w:p w14:paraId="603C8CA3" w14:textId="60916866" w:rsidR="000B50DA" w:rsidRDefault="2481AE1C" w:rsidP="113BDBC9">
      <w:pPr>
        <w:rPr>
          <w:rFonts w:eastAsia="Verdana" w:cs="Verdana"/>
          <w:b/>
          <w:color w:val="201F1E"/>
          <w:sz w:val="22"/>
        </w:rPr>
      </w:pPr>
      <w:r w:rsidRPr="280C9BAE">
        <w:rPr>
          <w:rFonts w:eastAsia="Verdana" w:cs="Verdana"/>
          <w:b/>
          <w:color w:val="201F1E"/>
          <w:sz w:val="22"/>
        </w:rPr>
        <w:t>Major recommendations:</w:t>
      </w:r>
      <w:r w:rsidR="61657E39" w:rsidRPr="280C9BAE">
        <w:rPr>
          <w:rFonts w:eastAsia="Verdana" w:cs="Verdana"/>
          <w:b/>
          <w:color w:val="201F1E"/>
          <w:sz w:val="22"/>
        </w:rPr>
        <w:t xml:space="preserve"> </w:t>
      </w:r>
    </w:p>
    <w:p w14:paraId="27995D9D" w14:textId="63C86B33" w:rsidR="000B50DA" w:rsidRDefault="294F0AC8" w:rsidP="280C9BAE">
      <w:pPr>
        <w:pStyle w:val="ListParagraph"/>
        <w:rPr>
          <w:rFonts w:eastAsia="Verdana" w:cs="Verdana"/>
          <w:b/>
        </w:rPr>
      </w:pPr>
      <w:r w:rsidRPr="294F0AC8">
        <w:rPr>
          <w:rFonts w:eastAsia="Verdana" w:cs="Verdana"/>
          <w:b/>
          <w:color w:val="201F1E"/>
        </w:rPr>
        <w:t>Create a Community Sector Continuity of Service Enabling Fund</w:t>
      </w:r>
    </w:p>
    <w:p w14:paraId="70C64CA7" w14:textId="4ADC4CE3" w:rsidR="000B50DA" w:rsidRDefault="294F0AC8" w:rsidP="280C9BAE">
      <w:pPr>
        <w:pStyle w:val="ListParagraph"/>
        <w:rPr>
          <w:b/>
        </w:rPr>
      </w:pPr>
      <w:r w:rsidRPr="294F0AC8">
        <w:rPr>
          <w:rFonts w:eastAsia="Verdana" w:cs="Verdana"/>
          <w:b/>
          <w:color w:val="201F1E"/>
        </w:rPr>
        <w:t>Improve access to preschool</w:t>
      </w:r>
    </w:p>
    <w:p w14:paraId="64A21BB4" w14:textId="29F19AA7" w:rsidR="000B50DA" w:rsidRDefault="294F0AC8" w:rsidP="280C9BAE">
      <w:pPr>
        <w:pStyle w:val="ListParagraph"/>
        <w:rPr>
          <w:rFonts w:eastAsia="Verdana" w:cs="Verdana"/>
          <w:b/>
          <w:color w:val="201F1E"/>
        </w:rPr>
      </w:pPr>
      <w:r w:rsidRPr="294F0AC8">
        <w:rPr>
          <w:rFonts w:eastAsia="Verdana" w:cs="Verdana"/>
          <w:b/>
          <w:color w:val="201F1E"/>
        </w:rPr>
        <w:t>Improve the affordability of early childhood education and care</w:t>
      </w:r>
    </w:p>
    <w:p w14:paraId="57020115" w14:textId="75C1BDD0" w:rsidR="00271068" w:rsidRDefault="00271068" w:rsidP="7B33A330">
      <w:pPr>
        <w:spacing w:line="276" w:lineRule="auto"/>
        <w:rPr>
          <w:rFonts w:eastAsia="Calibri" w:cs="Arial"/>
          <w:szCs w:val="20"/>
        </w:rPr>
      </w:pPr>
    </w:p>
    <w:p w14:paraId="08DB2443" w14:textId="46B46BDD" w:rsidR="00271068" w:rsidRPr="00271068" w:rsidRDefault="294F0AC8" w:rsidP="001D1B51">
      <w:pPr>
        <w:pStyle w:val="Heading2"/>
        <w:rPr>
          <w:rFonts w:eastAsia="Verdana" w:cs="Verdana"/>
        </w:rPr>
      </w:pPr>
      <w:bookmarkStart w:id="583" w:name="_Toc1559003195"/>
      <w:bookmarkStart w:id="584" w:name="_Toc1104209585"/>
      <w:bookmarkStart w:id="585" w:name="_Toc1688369758"/>
      <w:bookmarkStart w:id="586" w:name="_Toc785969973"/>
      <w:bookmarkStart w:id="587" w:name="_Toc763499182"/>
      <w:bookmarkStart w:id="588" w:name="_Toc65505059"/>
      <w:bookmarkStart w:id="589" w:name="_Toc780117014"/>
      <w:bookmarkStart w:id="590" w:name="_Toc1507365767"/>
      <w:bookmarkStart w:id="591" w:name="_Toc833487714"/>
      <w:bookmarkStart w:id="592" w:name="_Toc1990808639"/>
      <w:bookmarkStart w:id="593" w:name="_Toc90983377"/>
      <w:bookmarkStart w:id="594" w:name="_Toc90984640"/>
      <w:r>
        <w:t>Create a Community Sector Continuity of Service Enabling Fund</w:t>
      </w:r>
      <w:bookmarkEnd w:id="583"/>
      <w:bookmarkEnd w:id="584"/>
      <w:bookmarkEnd w:id="585"/>
      <w:bookmarkEnd w:id="586"/>
      <w:bookmarkEnd w:id="587"/>
      <w:bookmarkEnd w:id="588"/>
      <w:bookmarkEnd w:id="589"/>
      <w:bookmarkEnd w:id="590"/>
      <w:bookmarkEnd w:id="591"/>
      <w:bookmarkEnd w:id="592"/>
      <w:bookmarkEnd w:id="593"/>
      <w:bookmarkEnd w:id="594"/>
    </w:p>
    <w:p w14:paraId="18F65221" w14:textId="77777777" w:rsidR="00C73D92" w:rsidRDefault="00C73D92" w:rsidP="17E90595">
      <w:pPr>
        <w:spacing w:line="276" w:lineRule="auto"/>
        <w:rPr>
          <w:rFonts w:eastAsia="Verdana" w:cs="Verdana"/>
        </w:rPr>
      </w:pPr>
    </w:p>
    <w:p w14:paraId="435EF61F" w14:textId="36E76AF2" w:rsidR="17E90595" w:rsidRDefault="17E90595" w:rsidP="17E90595">
      <w:pPr>
        <w:spacing w:line="276" w:lineRule="auto"/>
        <w:rPr>
          <w:rFonts w:eastAsia="Calibri" w:cs="Arial"/>
          <w:color w:val="auto"/>
        </w:rPr>
      </w:pPr>
      <w:r w:rsidRPr="280C9BAE">
        <w:rPr>
          <w:rFonts w:eastAsia="Verdana" w:cs="Verdana"/>
        </w:rPr>
        <w:t xml:space="preserve">In 2020, ACOSS welcomed the announcement of additional funding during the </w:t>
      </w:r>
      <w:r w:rsidR="280C9BAE" w:rsidRPr="280C9BAE">
        <w:rPr>
          <w:rFonts w:eastAsia="Verdana" w:cs="Verdana"/>
        </w:rPr>
        <w:t xml:space="preserve">COVID </w:t>
      </w:r>
      <w:r w:rsidRPr="280C9BAE">
        <w:rPr>
          <w:rFonts w:eastAsia="Verdana" w:cs="Verdana"/>
        </w:rPr>
        <w:t xml:space="preserve">health and economic crises to meet demand in domestic violence, mental health and emergency and food relief. </w:t>
      </w:r>
      <w:r w:rsidRPr="7807A5A5">
        <w:rPr>
          <w:rFonts w:eastAsia="Verdana" w:cs="Verdana"/>
        </w:rPr>
        <w:t>However, with the health and economic impact of COVID-19 continuing throughout 2021 and extending into 2022, demand for some services remains heightened</w:t>
      </w:r>
      <w:r w:rsidRPr="7807A5A5">
        <w:rPr>
          <w:rFonts w:eastAsia="Verdana" w:cs="Verdana"/>
          <w:color w:val="auto"/>
        </w:rPr>
        <w:t xml:space="preserve">. Many community sector </w:t>
      </w:r>
      <w:proofErr w:type="spellStart"/>
      <w:r w:rsidRPr="7807A5A5">
        <w:rPr>
          <w:rFonts w:eastAsia="Verdana" w:cs="Verdana"/>
          <w:color w:val="auto"/>
        </w:rPr>
        <w:t>organisations</w:t>
      </w:r>
      <w:proofErr w:type="spellEnd"/>
      <w:r w:rsidRPr="7807A5A5">
        <w:rPr>
          <w:rFonts w:eastAsia="Verdana" w:cs="Verdana"/>
          <w:color w:val="auto"/>
        </w:rPr>
        <w:t xml:space="preserve"> continue to face difficulties due to service disruption, rising demand for services, falling revenue, higher costs, and </w:t>
      </w:r>
      <w:r w:rsidR="00131946">
        <w:rPr>
          <w:rFonts w:eastAsia="Verdana" w:cs="Verdana"/>
          <w:color w:val="auto"/>
        </w:rPr>
        <w:t xml:space="preserve">a </w:t>
      </w:r>
      <w:r w:rsidRPr="7807A5A5">
        <w:rPr>
          <w:rFonts w:eastAsia="Verdana" w:cs="Verdana"/>
          <w:color w:val="auto"/>
        </w:rPr>
        <w:t>decrease in volunteers.</w:t>
      </w:r>
      <w:r w:rsidRPr="7807A5A5">
        <w:rPr>
          <w:rStyle w:val="FootnoteReference"/>
          <w:rFonts w:eastAsia="Calibri" w:cs="Arial"/>
          <w:color w:val="auto"/>
        </w:rPr>
        <w:footnoteReference w:id="23"/>
      </w:r>
    </w:p>
    <w:p w14:paraId="5FBD9934" w14:textId="2834F8D4" w:rsidR="17E90595" w:rsidRDefault="17E90595" w:rsidP="79A6475B">
      <w:pPr>
        <w:spacing w:line="276" w:lineRule="auto"/>
        <w:rPr>
          <w:rFonts w:eastAsia="Verdana" w:cs="Verdana"/>
          <w:vertAlign w:val="superscript"/>
        </w:rPr>
      </w:pPr>
      <w:r w:rsidRPr="7807A5A5">
        <w:rPr>
          <w:rFonts w:eastAsia="Verdana" w:cs="Verdana"/>
        </w:rPr>
        <w:t xml:space="preserve">In the COSS Network’s report on the </w:t>
      </w:r>
      <w:r w:rsidRPr="294F0AC8">
        <w:rPr>
          <w:rFonts w:eastAsia="Verdana" w:cs="Verdana"/>
          <w:i/>
          <w:iCs/>
        </w:rPr>
        <w:t>Australian Community Sector Survey – COVID-19 edition</w:t>
      </w:r>
      <w:r w:rsidRPr="7807A5A5">
        <w:rPr>
          <w:rFonts w:eastAsia="Verdana" w:cs="Verdana"/>
        </w:rPr>
        <w:t xml:space="preserve">, more than half of community service respondents (57%) had experienced loss of investment income, a quarter (26%) reported a loss of income from </w:t>
      </w:r>
      <w:proofErr w:type="spellStart"/>
      <w:r w:rsidRPr="7807A5A5">
        <w:rPr>
          <w:rFonts w:eastAsia="Verdana" w:cs="Verdana"/>
        </w:rPr>
        <w:t>individualised</w:t>
      </w:r>
      <w:proofErr w:type="spellEnd"/>
      <w:r w:rsidRPr="7807A5A5">
        <w:rPr>
          <w:rFonts w:eastAsia="Verdana" w:cs="Verdana"/>
        </w:rPr>
        <w:t xml:space="preserve"> funding (NDIS and home care packages), and half (50%) had lost income from other client-based fees or charges. Almost half (48%) had lost income from other commercial sources (</w:t>
      </w:r>
      <w:proofErr w:type="gramStart"/>
      <w:r w:rsidRPr="7807A5A5">
        <w:rPr>
          <w:rFonts w:eastAsia="Verdana" w:cs="Verdana"/>
        </w:rPr>
        <w:t>e.g.</w:t>
      </w:r>
      <w:proofErr w:type="gramEnd"/>
      <w:r w:rsidRPr="7807A5A5">
        <w:rPr>
          <w:rFonts w:eastAsia="Verdana" w:cs="Verdana"/>
        </w:rPr>
        <w:t xml:space="preserve"> retail).</w:t>
      </w:r>
      <w:r w:rsidRPr="7807A5A5">
        <w:rPr>
          <w:rStyle w:val="FootnoteReference"/>
          <w:rFonts w:eastAsia="Verdana" w:cs="Verdana"/>
        </w:rPr>
        <w:footnoteReference w:id="24"/>
      </w:r>
      <w:r w:rsidRPr="7807A5A5">
        <w:rPr>
          <w:rFonts w:eastAsia="Verdana" w:cs="Verdana"/>
        </w:rPr>
        <w:t xml:space="preserve"> Income from donations have still not recovered to pre-pandemic levels, with </w:t>
      </w:r>
      <w:proofErr w:type="spellStart"/>
      <w:r w:rsidRPr="7807A5A5">
        <w:rPr>
          <w:rFonts w:eastAsia="Verdana" w:cs="Verdana"/>
        </w:rPr>
        <w:t>JBWere</w:t>
      </w:r>
      <w:proofErr w:type="spellEnd"/>
      <w:r w:rsidRPr="7807A5A5">
        <w:rPr>
          <w:rFonts w:eastAsia="Verdana" w:cs="Verdana"/>
        </w:rPr>
        <w:t xml:space="preserve"> finding that to December 2020, social services saw some of the sharpest declines in donations</w:t>
      </w:r>
      <w:r w:rsidR="51694F1A" w:rsidRPr="7807A5A5">
        <w:rPr>
          <w:rFonts w:eastAsia="Verdana" w:cs="Verdana"/>
        </w:rPr>
        <w:t xml:space="preserve"> across different sectors</w:t>
      </w:r>
      <w:r w:rsidRPr="7807A5A5">
        <w:rPr>
          <w:rFonts w:eastAsia="Verdana" w:cs="Verdana"/>
        </w:rPr>
        <w:t>.</w:t>
      </w:r>
      <w:r w:rsidRPr="7807A5A5">
        <w:rPr>
          <w:rStyle w:val="FootnoteReference"/>
          <w:rFonts w:eastAsia="Verdana" w:cs="Verdana"/>
        </w:rPr>
        <w:footnoteReference w:id="25"/>
      </w:r>
      <w:r w:rsidR="280C9BAE" w:rsidRPr="280C9BAE">
        <w:rPr>
          <w:rFonts w:eastAsia="Verdana" w:cs="Verdana"/>
        </w:rPr>
        <w:t xml:space="preserve"> The budget should reflect the </w:t>
      </w:r>
      <w:r w:rsidR="280C9BAE" w:rsidRPr="280C9BAE">
        <w:rPr>
          <w:rFonts w:eastAsia="Verdana" w:cs="Verdana"/>
        </w:rPr>
        <w:lastRenderedPageBreak/>
        <w:t>fact that the sector is still grappling with the impact of the pandemic, and likely will in 2022 and beyond.</w:t>
      </w:r>
    </w:p>
    <w:p w14:paraId="4D7C7E38" w14:textId="6EFC3B02" w:rsidR="17E90595" w:rsidRDefault="294F0AC8" w:rsidP="294F0AC8">
      <w:pPr>
        <w:rPr>
          <w:rFonts w:eastAsia="Verdana" w:cs="Verdana"/>
          <w:b/>
          <w:bCs/>
          <w:color w:val="auto"/>
        </w:rPr>
      </w:pPr>
      <w:r w:rsidRPr="294F0AC8">
        <w:rPr>
          <w:rFonts w:eastAsia="Verdana" w:cs="Verdana"/>
          <w:b/>
          <w:bCs/>
          <w:color w:val="C00000"/>
        </w:rPr>
        <w:t xml:space="preserve">Recommendation 27: </w:t>
      </w:r>
      <w:r w:rsidRPr="294F0AC8">
        <w:rPr>
          <w:rFonts w:eastAsia="Verdana" w:cs="Verdana"/>
          <w:b/>
          <w:bCs/>
          <w:color w:val="auto"/>
        </w:rPr>
        <w:t>Create a Community Sector Continuity of Service Enabling Fund to ensure continuity of service delivery, adaptation, secure jobs, prevent loss of jobs or income, and guarantee paid special leave for all workers:</w:t>
      </w:r>
    </w:p>
    <w:p w14:paraId="7A23A337" w14:textId="3ED9FE56" w:rsidR="17E90595" w:rsidRDefault="294F0AC8" w:rsidP="00DD3DC0">
      <w:pPr>
        <w:pStyle w:val="ListParagraph"/>
        <w:numPr>
          <w:ilvl w:val="0"/>
          <w:numId w:val="35"/>
        </w:numPr>
        <w:rPr>
          <w:rFonts w:asciiTheme="minorHAnsi" w:eastAsiaTheme="minorEastAsia" w:hAnsiTheme="minorHAnsi"/>
          <w:b/>
        </w:rPr>
      </w:pPr>
      <w:r w:rsidRPr="294F0AC8">
        <w:rPr>
          <w:rFonts w:eastAsia="Verdana" w:cs="Verdana"/>
          <w:b/>
          <w:color w:val="auto"/>
        </w:rPr>
        <w:t xml:space="preserve">This Fund should be distinguished from funds designated for new or additional service delivery. </w:t>
      </w:r>
    </w:p>
    <w:p w14:paraId="25B96E04" w14:textId="3F708DE7" w:rsidR="17E90595" w:rsidRDefault="294F0AC8" w:rsidP="00DD3DC0">
      <w:pPr>
        <w:pStyle w:val="ListParagraph"/>
        <w:numPr>
          <w:ilvl w:val="0"/>
          <w:numId w:val="35"/>
        </w:numPr>
        <w:rPr>
          <w:rFonts w:asciiTheme="minorHAnsi" w:eastAsiaTheme="minorEastAsia" w:hAnsiTheme="minorHAnsi"/>
          <w:b/>
        </w:rPr>
      </w:pPr>
      <w:r w:rsidRPr="294F0AC8">
        <w:rPr>
          <w:rFonts w:eastAsia="Verdana" w:cs="Verdana"/>
          <w:b/>
          <w:color w:val="auto"/>
        </w:rPr>
        <w:t xml:space="preserve">It should be targeted to community </w:t>
      </w:r>
      <w:proofErr w:type="spellStart"/>
      <w:r w:rsidRPr="294F0AC8">
        <w:rPr>
          <w:rFonts w:eastAsia="Verdana" w:cs="Verdana"/>
          <w:b/>
          <w:color w:val="auto"/>
        </w:rPr>
        <w:t>organisations</w:t>
      </w:r>
      <w:proofErr w:type="spellEnd"/>
      <w:r w:rsidRPr="294F0AC8">
        <w:rPr>
          <w:rFonts w:eastAsia="Verdana" w:cs="Verdana"/>
          <w:b/>
          <w:color w:val="auto"/>
        </w:rPr>
        <w:t xml:space="preserve"> that see increases in demand not met by new and existing funding, and/or who can demonstrate that their income has declined </w:t>
      </w:r>
      <w:r w:rsidR="005B5E9D" w:rsidRPr="294F0AC8">
        <w:rPr>
          <w:rFonts w:eastAsia="Verdana" w:cs="Verdana"/>
          <w:b/>
          <w:color w:val="auto"/>
        </w:rPr>
        <w:t>because of</w:t>
      </w:r>
      <w:r w:rsidRPr="294F0AC8">
        <w:rPr>
          <w:rFonts w:eastAsia="Verdana" w:cs="Verdana"/>
          <w:b/>
          <w:color w:val="auto"/>
        </w:rPr>
        <w:t xml:space="preserve"> COVID-19. </w:t>
      </w:r>
    </w:p>
    <w:p w14:paraId="5411633F" w14:textId="0C59759D" w:rsidR="17E90595" w:rsidRDefault="5ABE344E" w:rsidP="294F0AC8">
      <w:pPr>
        <w:rPr>
          <w:rFonts w:eastAsia="Verdana" w:cs="Verdana"/>
          <w:b/>
          <w:bCs/>
          <w:i/>
          <w:iCs/>
        </w:rPr>
      </w:pPr>
      <w:r>
        <w:br/>
      </w:r>
      <w:r w:rsidR="294F0AC8" w:rsidRPr="294F0AC8">
        <w:rPr>
          <w:rFonts w:eastAsia="Verdana" w:cs="Verdana"/>
          <w:b/>
          <w:bCs/>
          <w:color w:val="C00000"/>
        </w:rPr>
        <w:t>Budget impact:</w:t>
      </w:r>
      <w:r w:rsidR="294F0AC8" w:rsidRPr="294F0AC8">
        <w:rPr>
          <w:rFonts w:eastAsia="Verdana" w:cs="Verdana"/>
          <w:color w:val="CE2028"/>
        </w:rPr>
        <w:t xml:space="preserve"> </w:t>
      </w:r>
      <w:r w:rsidR="294F0AC8" w:rsidRPr="294F0AC8">
        <w:rPr>
          <w:rFonts w:eastAsia="Verdana" w:cs="Verdana"/>
          <w:b/>
          <w:bCs/>
          <w:i/>
          <w:iCs/>
        </w:rPr>
        <w:t>-$260 million (-$150 million in 2023-24)</w:t>
      </w:r>
    </w:p>
    <w:p w14:paraId="5A0AE393" w14:textId="316120C6" w:rsidR="00271068" w:rsidRDefault="00271068" w:rsidP="00271068">
      <w:pPr>
        <w:spacing w:line="276" w:lineRule="auto"/>
      </w:pPr>
    </w:p>
    <w:p w14:paraId="3BBC741A" w14:textId="0DAEC3B7" w:rsidR="00271068" w:rsidRPr="7B33A330" w:rsidRDefault="294F0AC8" w:rsidP="001D1B51">
      <w:pPr>
        <w:pStyle w:val="Heading2"/>
        <w:rPr>
          <w:rFonts w:eastAsia="Verdana" w:cs="Verdana"/>
        </w:rPr>
      </w:pPr>
      <w:bookmarkStart w:id="595" w:name="_Toc108338838"/>
      <w:bookmarkStart w:id="596" w:name="_Toc772192860"/>
      <w:bookmarkStart w:id="597" w:name="_Toc930988520"/>
      <w:bookmarkStart w:id="598" w:name="_Toc287487094"/>
      <w:bookmarkStart w:id="599" w:name="_Toc449858378"/>
      <w:bookmarkStart w:id="600" w:name="_Toc1396433214"/>
      <w:bookmarkStart w:id="601" w:name="_Toc1674270808"/>
      <w:bookmarkStart w:id="602" w:name="_Toc370710494"/>
      <w:bookmarkStart w:id="603" w:name="_Toc425456968"/>
      <w:bookmarkStart w:id="604" w:name="_Toc723943809"/>
      <w:bookmarkStart w:id="605" w:name="_Toc90983378"/>
      <w:bookmarkStart w:id="606" w:name="_Toc90984641"/>
      <w:r>
        <w:t xml:space="preserve">Apply fair and uniform indexation to all grants and contracts for community sector </w:t>
      </w:r>
      <w:proofErr w:type="spellStart"/>
      <w:r>
        <w:t>organisations</w:t>
      </w:r>
      <w:bookmarkEnd w:id="595"/>
      <w:bookmarkEnd w:id="596"/>
      <w:bookmarkEnd w:id="597"/>
      <w:bookmarkEnd w:id="598"/>
      <w:bookmarkEnd w:id="599"/>
      <w:bookmarkEnd w:id="600"/>
      <w:bookmarkEnd w:id="601"/>
      <w:bookmarkEnd w:id="602"/>
      <w:bookmarkEnd w:id="603"/>
      <w:bookmarkEnd w:id="604"/>
      <w:bookmarkEnd w:id="605"/>
      <w:bookmarkEnd w:id="606"/>
      <w:proofErr w:type="spellEnd"/>
    </w:p>
    <w:p w14:paraId="47BEDAAB" w14:textId="68C64861" w:rsidR="00271068" w:rsidRDefault="17E90595" w:rsidP="17E90595">
      <w:pPr>
        <w:spacing w:line="276" w:lineRule="auto"/>
        <w:rPr>
          <w:rFonts w:eastAsia="Verdana" w:cs="Verdana"/>
        </w:rPr>
      </w:pPr>
      <w:r w:rsidRPr="17E90595">
        <w:rPr>
          <w:rFonts w:eastAsia="Verdana" w:cs="Verdana"/>
        </w:rPr>
        <w:t xml:space="preserve">The Commonwealth does not have a consistent or adequate approach to indexation of funding </w:t>
      </w:r>
      <w:r w:rsidR="005B5E9D">
        <w:rPr>
          <w:rFonts w:eastAsia="Verdana" w:cs="Verdana"/>
        </w:rPr>
        <w:t>for</w:t>
      </w:r>
      <w:r w:rsidRPr="17E90595">
        <w:rPr>
          <w:rFonts w:eastAsia="Verdana" w:cs="Verdana"/>
        </w:rPr>
        <w:t xml:space="preserve"> community services. As a result, many </w:t>
      </w:r>
      <w:proofErr w:type="spellStart"/>
      <w:r w:rsidRPr="17E90595">
        <w:rPr>
          <w:rFonts w:eastAsia="Verdana" w:cs="Verdana"/>
        </w:rPr>
        <w:t>organisations</w:t>
      </w:r>
      <w:proofErr w:type="spellEnd"/>
      <w:r w:rsidRPr="17E90595">
        <w:rPr>
          <w:rFonts w:eastAsia="Verdana" w:cs="Verdana"/>
        </w:rPr>
        <w:t xml:space="preserve"> in the sector have seen real cuts to the value of their funding. Despite the emergency spending by the Federal Government to stave off the worst effects of COVID-19, it remains committed to tight curbs on services that were imposed before the pandemic hit. Unfunded shortfalls seriously impact on the sector’s capacity to offer services to local communities, especially at a time of rising community demand and increased complexity of service user need. In real terms, the indexation arrangements amount to a gradual reduction of Commonwealth funding against projected cost increases, which mainly comprise wages.</w:t>
      </w:r>
    </w:p>
    <w:p w14:paraId="7FD7A80F" w14:textId="21216467" w:rsidR="00271068" w:rsidRDefault="294F0AC8" w:rsidP="00271068">
      <w:pPr>
        <w:pStyle w:val="Recommendation"/>
        <w:rPr>
          <w:rFonts w:eastAsia="Verdana" w:cs="Verdana"/>
          <w:color w:val="auto"/>
        </w:rPr>
      </w:pPr>
      <w:r w:rsidRPr="294F0AC8">
        <w:rPr>
          <w:color w:val="C00000"/>
        </w:rPr>
        <w:t>Recommendation 28:</w:t>
      </w:r>
      <w:r>
        <w:t xml:space="preserve"> </w:t>
      </w:r>
      <w:r w:rsidRPr="294F0AC8">
        <w:rPr>
          <w:color w:val="auto"/>
        </w:rPr>
        <w:t>Indexation for community sector funding should be improved:</w:t>
      </w:r>
    </w:p>
    <w:p w14:paraId="0F5754C4" w14:textId="77777777" w:rsidR="00271068" w:rsidRDefault="00271068" w:rsidP="00271068">
      <w:pPr>
        <w:pStyle w:val="Recommendation"/>
        <w:rPr>
          <w:color w:val="auto"/>
        </w:rPr>
      </w:pPr>
    </w:p>
    <w:p w14:paraId="245BACDC" w14:textId="69D4E5F6" w:rsidR="00271068" w:rsidRPr="002463B9" w:rsidRDefault="294F0AC8" w:rsidP="00DD3DC0">
      <w:pPr>
        <w:pStyle w:val="ListParagraph"/>
        <w:numPr>
          <w:ilvl w:val="0"/>
          <w:numId w:val="20"/>
        </w:numPr>
        <w:rPr>
          <w:rFonts w:asciiTheme="minorHAnsi" w:eastAsiaTheme="minorEastAsia" w:hAnsiTheme="minorHAnsi"/>
          <w:b/>
        </w:rPr>
      </w:pPr>
      <w:r w:rsidRPr="294F0AC8">
        <w:rPr>
          <w:b/>
        </w:rPr>
        <w:t xml:space="preserve">Establish the Wage Price Index (when greater than the Consumer Price Index for the same period) as the primary index for annual funding </w:t>
      </w:r>
      <w:r w:rsidR="000A5FFF" w:rsidRPr="294F0AC8">
        <w:rPr>
          <w:b/>
        </w:rPr>
        <w:t>adjustments and</w:t>
      </w:r>
      <w:r w:rsidRPr="294F0AC8">
        <w:rPr>
          <w:b/>
        </w:rPr>
        <w:t xml:space="preserve"> publish the indexation rate in the Budget Papers.</w:t>
      </w:r>
      <w:r w:rsidR="00271068">
        <w:br/>
      </w:r>
    </w:p>
    <w:p w14:paraId="6C033C9A" w14:textId="55C039A7" w:rsidR="00271068" w:rsidRPr="002463B9" w:rsidRDefault="294F0AC8" w:rsidP="00DD3DC0">
      <w:pPr>
        <w:pStyle w:val="ListParagraph"/>
        <w:numPr>
          <w:ilvl w:val="0"/>
          <w:numId w:val="20"/>
        </w:numPr>
        <w:rPr>
          <w:rFonts w:asciiTheme="minorHAnsi" w:eastAsiaTheme="minorEastAsia" w:hAnsiTheme="minorHAnsi"/>
          <w:b/>
        </w:rPr>
      </w:pPr>
      <w:r w:rsidRPr="294F0AC8">
        <w:rPr>
          <w:b/>
        </w:rPr>
        <w:t>Commit to non-application of Efficiency Dividends to community sector funding.</w:t>
      </w:r>
    </w:p>
    <w:p w14:paraId="5338C120" w14:textId="77777777" w:rsidR="00271068" w:rsidRPr="00DD2325" w:rsidRDefault="00271068" w:rsidP="00271068">
      <w:pPr>
        <w:pStyle w:val="Recommendation"/>
        <w:rPr>
          <w:rFonts w:eastAsia="Verdana" w:cs="Verdana"/>
          <w:bCs/>
          <w:color w:val="auto"/>
          <w:szCs w:val="20"/>
        </w:rPr>
      </w:pPr>
      <w:r w:rsidRPr="7B33A330">
        <w:rPr>
          <w:color w:val="auto"/>
        </w:rPr>
        <w:t xml:space="preserve"> </w:t>
      </w:r>
    </w:p>
    <w:p w14:paraId="4355D918" w14:textId="1EA76AB6" w:rsidR="00271068" w:rsidRPr="003520E9" w:rsidRDefault="17E90595" w:rsidP="00271068">
      <w:pPr>
        <w:pStyle w:val="Recommendation"/>
      </w:pPr>
      <w:r w:rsidRPr="17E90595">
        <w:rPr>
          <w:color w:val="C00000"/>
        </w:rPr>
        <w:t>Budget impact:</w:t>
      </w:r>
      <w:r>
        <w:rPr>
          <w:b w:val="0"/>
        </w:rPr>
        <w:t xml:space="preserve"> </w:t>
      </w:r>
      <w:r w:rsidRPr="17E90595">
        <w:rPr>
          <w:rFonts w:eastAsiaTheme="minorEastAsia"/>
          <w:i/>
          <w:iCs/>
          <w:color w:val="000000" w:themeColor="text1"/>
        </w:rPr>
        <w:t>-$</w:t>
      </w:r>
      <w:r w:rsidR="280C9BAE" w:rsidRPr="280C9BAE">
        <w:rPr>
          <w:rFonts w:eastAsiaTheme="minorEastAsia"/>
          <w:i/>
          <w:iCs/>
          <w:color w:val="000000" w:themeColor="text1"/>
        </w:rPr>
        <w:t>360</w:t>
      </w:r>
      <w:r w:rsidRPr="17E90595">
        <w:rPr>
          <w:rFonts w:eastAsiaTheme="minorEastAsia"/>
          <w:i/>
          <w:iCs/>
          <w:color w:val="000000" w:themeColor="text1"/>
        </w:rPr>
        <w:t xml:space="preserve"> million (-$</w:t>
      </w:r>
      <w:r w:rsidR="280C9BAE" w:rsidRPr="280C9BAE">
        <w:rPr>
          <w:rFonts w:eastAsiaTheme="minorEastAsia"/>
          <w:i/>
          <w:iCs/>
          <w:color w:val="000000" w:themeColor="text1"/>
        </w:rPr>
        <w:t>370</w:t>
      </w:r>
      <w:r w:rsidRPr="17E90595">
        <w:rPr>
          <w:rFonts w:eastAsiaTheme="minorEastAsia"/>
          <w:i/>
          <w:iCs/>
          <w:color w:val="000000" w:themeColor="text1"/>
        </w:rPr>
        <w:t xml:space="preserve"> million in 2023-24)</w:t>
      </w:r>
      <w:r w:rsidRPr="17E90595">
        <w:rPr>
          <w:i/>
          <w:iCs/>
        </w:rPr>
        <w:t xml:space="preserve"> </w:t>
      </w:r>
    </w:p>
    <w:p w14:paraId="4F7639D8" w14:textId="77777777" w:rsidR="00271068" w:rsidRDefault="00271068" w:rsidP="00271068">
      <w:pPr>
        <w:pStyle w:val="ListNumber"/>
        <w:numPr>
          <w:ilvl w:val="0"/>
          <w:numId w:val="0"/>
        </w:numPr>
      </w:pPr>
    </w:p>
    <w:p w14:paraId="1A34BC99" w14:textId="1FE932E4" w:rsidR="00271068" w:rsidRDefault="294F0AC8" w:rsidP="001D1B51">
      <w:pPr>
        <w:pStyle w:val="Heading2"/>
      </w:pPr>
      <w:bookmarkStart w:id="607" w:name="_Toc90983379"/>
      <w:bookmarkStart w:id="608" w:name="_Toc90984642"/>
      <w:bookmarkStart w:id="609" w:name="_Toc1488244146"/>
      <w:bookmarkStart w:id="610" w:name="_Toc163878200"/>
      <w:bookmarkStart w:id="611" w:name="_Toc386963570"/>
      <w:bookmarkStart w:id="612" w:name="_Toc1901206738"/>
      <w:bookmarkStart w:id="613" w:name="_Toc1156884799"/>
      <w:bookmarkStart w:id="614" w:name="_Toc911151333"/>
      <w:bookmarkStart w:id="615" w:name="_Toc2025213712"/>
      <w:bookmarkStart w:id="616" w:name="_Toc1393093529"/>
      <w:bookmarkStart w:id="617" w:name="_Toc1698575393"/>
      <w:bookmarkStart w:id="618" w:name="_Toc1291449164"/>
      <w:r>
        <w:t>Improve access to preschool</w:t>
      </w:r>
      <w:bookmarkEnd w:id="607"/>
      <w:bookmarkEnd w:id="608"/>
      <w:r>
        <w:t xml:space="preserve"> </w:t>
      </w:r>
      <w:bookmarkEnd w:id="609"/>
      <w:bookmarkEnd w:id="610"/>
      <w:bookmarkEnd w:id="611"/>
      <w:bookmarkEnd w:id="612"/>
      <w:bookmarkEnd w:id="613"/>
      <w:bookmarkEnd w:id="614"/>
      <w:bookmarkEnd w:id="615"/>
      <w:bookmarkEnd w:id="616"/>
      <w:bookmarkEnd w:id="617"/>
      <w:bookmarkEnd w:id="618"/>
    </w:p>
    <w:p w14:paraId="51F0AAE8" w14:textId="013BA041" w:rsidR="4B6A35A5" w:rsidRDefault="4B6A35A5" w:rsidP="79A6475B">
      <w:pPr>
        <w:spacing w:line="276" w:lineRule="auto"/>
        <w:rPr>
          <w:rFonts w:eastAsia="Verdana" w:cs="Verdana"/>
          <w:szCs w:val="20"/>
        </w:rPr>
      </w:pPr>
      <w:r w:rsidRPr="294F0AC8">
        <w:rPr>
          <w:rFonts w:eastAsia="Verdana" w:cs="Verdana"/>
        </w:rPr>
        <w:t>High q</w:t>
      </w:r>
      <w:r w:rsidR="1AB922F6" w:rsidRPr="294F0AC8">
        <w:rPr>
          <w:rFonts w:eastAsia="Verdana" w:cs="Verdana"/>
        </w:rPr>
        <w:t xml:space="preserve">uality </w:t>
      </w:r>
      <w:r w:rsidR="5FCEC866" w:rsidRPr="294F0AC8">
        <w:rPr>
          <w:rFonts w:eastAsia="Verdana" w:cs="Verdana"/>
        </w:rPr>
        <w:t xml:space="preserve">and accessible </w:t>
      </w:r>
      <w:r w:rsidR="1AB922F6" w:rsidRPr="294F0AC8">
        <w:rPr>
          <w:rFonts w:eastAsia="Verdana" w:cs="Verdana"/>
        </w:rPr>
        <w:t xml:space="preserve">early childhood education has a significant positive impact on a child’s development and future learning outcomes and is a policy area that can deliver a major social and economic benefit to the country. Children who attend early childhood education for at least a year before starting school are half as likely to have developmental vulnerabilities when they start school as children who have not received early learning services. </w:t>
      </w:r>
      <w:r w:rsidR="5B7C434B" w:rsidRPr="294F0AC8">
        <w:rPr>
          <w:rFonts w:eastAsia="Verdana" w:cs="Verdana"/>
        </w:rPr>
        <w:t>There have been</w:t>
      </w:r>
      <w:r w:rsidR="1AB922F6" w:rsidRPr="294F0AC8">
        <w:rPr>
          <w:rFonts w:eastAsia="Verdana" w:cs="Verdana"/>
        </w:rPr>
        <w:t xml:space="preserve"> significant strides in lifting enrolments of children in preschool programs in the year before school (</w:t>
      </w:r>
      <w:r w:rsidR="000A5FFF" w:rsidRPr="294F0AC8">
        <w:rPr>
          <w:rFonts w:eastAsia="Verdana" w:cs="Verdana"/>
        </w:rPr>
        <w:t>four-year-</w:t>
      </w:r>
      <w:proofErr w:type="spellStart"/>
      <w:r w:rsidR="000A5FFF" w:rsidRPr="294F0AC8">
        <w:rPr>
          <w:rFonts w:eastAsia="Verdana" w:cs="Verdana"/>
        </w:rPr>
        <w:t>olds</w:t>
      </w:r>
      <w:proofErr w:type="spellEnd"/>
      <w:r w:rsidR="1AB922F6" w:rsidRPr="294F0AC8">
        <w:rPr>
          <w:rFonts w:eastAsia="Verdana" w:cs="Verdana"/>
        </w:rPr>
        <w:t>)</w:t>
      </w:r>
      <w:r w:rsidR="7078D085" w:rsidRPr="294F0AC8">
        <w:rPr>
          <w:rFonts w:eastAsia="Verdana" w:cs="Verdana"/>
        </w:rPr>
        <w:t xml:space="preserve"> and additional preschool funding </w:t>
      </w:r>
      <w:r w:rsidR="001883AE" w:rsidRPr="294F0AC8">
        <w:rPr>
          <w:rFonts w:eastAsia="Verdana" w:cs="Verdana"/>
        </w:rPr>
        <w:t xml:space="preserve">was </w:t>
      </w:r>
      <w:r w:rsidR="7078D085" w:rsidRPr="294F0AC8">
        <w:rPr>
          <w:rFonts w:eastAsia="Verdana" w:cs="Verdana"/>
        </w:rPr>
        <w:t>announced by the Federal Government for this cohort for four years to 2025</w:t>
      </w:r>
      <w:r w:rsidR="2F9D1B4A" w:rsidRPr="294F0AC8">
        <w:rPr>
          <w:rFonts w:eastAsia="Verdana" w:cs="Verdana"/>
        </w:rPr>
        <w:t xml:space="preserve">. However, </w:t>
      </w:r>
      <w:r w:rsidR="1AB922F6" w:rsidRPr="294F0AC8">
        <w:rPr>
          <w:rFonts w:eastAsia="Verdana" w:cs="Verdana"/>
        </w:rPr>
        <w:t>Australia lags in enrolment of three-year-</w:t>
      </w:r>
      <w:proofErr w:type="spellStart"/>
      <w:r w:rsidR="1AB922F6" w:rsidRPr="294F0AC8">
        <w:rPr>
          <w:rFonts w:eastAsia="Verdana" w:cs="Verdana"/>
        </w:rPr>
        <w:t>olds</w:t>
      </w:r>
      <w:proofErr w:type="spellEnd"/>
      <w:r w:rsidR="1AB922F6" w:rsidRPr="294F0AC8">
        <w:rPr>
          <w:rFonts w:eastAsia="Verdana" w:cs="Verdana"/>
        </w:rPr>
        <w:t xml:space="preserve"> and is in the bottom third of countries ranked by the OECD (at 69%)</w:t>
      </w:r>
      <w:r w:rsidR="1CE75E03" w:rsidRPr="294F0AC8">
        <w:rPr>
          <w:rFonts w:eastAsia="Verdana" w:cs="Verdana"/>
        </w:rPr>
        <w:t xml:space="preserve">, with our enrolment rates for </w:t>
      </w:r>
      <w:r w:rsidR="1CE75E03" w:rsidRPr="294F0AC8">
        <w:rPr>
          <w:rFonts w:eastAsia="Verdana" w:cs="Verdana"/>
        </w:rPr>
        <w:lastRenderedPageBreak/>
        <w:t xml:space="preserve">the </w:t>
      </w:r>
      <w:r w:rsidR="0FF17F19" w:rsidRPr="294F0AC8">
        <w:rPr>
          <w:rFonts w:eastAsia="Verdana" w:cs="Verdana"/>
        </w:rPr>
        <w:t xml:space="preserve">entire </w:t>
      </w:r>
      <w:r w:rsidR="1CE75E03" w:rsidRPr="294F0AC8">
        <w:rPr>
          <w:rFonts w:eastAsia="Verdana" w:cs="Verdana"/>
        </w:rPr>
        <w:t>three-year to five-year old cohort substantially behind the</w:t>
      </w:r>
      <w:r w:rsidR="292058C0" w:rsidRPr="294F0AC8">
        <w:rPr>
          <w:rFonts w:eastAsia="Verdana" w:cs="Verdana"/>
        </w:rPr>
        <w:t xml:space="preserve"> OECD </w:t>
      </w:r>
      <w:r w:rsidR="6A8A5E14" w:rsidRPr="294F0AC8">
        <w:rPr>
          <w:rFonts w:eastAsia="Verdana" w:cs="Verdana"/>
        </w:rPr>
        <w:t xml:space="preserve">average </w:t>
      </w:r>
      <w:r w:rsidR="292058C0" w:rsidRPr="294F0AC8">
        <w:rPr>
          <w:rFonts w:eastAsia="Verdana" w:cs="Verdana"/>
        </w:rPr>
        <w:t>as well as the</w:t>
      </w:r>
      <w:r w:rsidR="1CE75E03" w:rsidRPr="294F0AC8">
        <w:rPr>
          <w:rFonts w:eastAsia="Verdana" w:cs="Verdana"/>
        </w:rPr>
        <w:t xml:space="preserve"> leading developed nations.</w:t>
      </w:r>
      <w:r w:rsidRPr="294F0AC8">
        <w:rPr>
          <w:rStyle w:val="FootnoteReference"/>
          <w:rFonts w:eastAsia="Verdana" w:cs="Verdana"/>
        </w:rPr>
        <w:footnoteReference w:id="26"/>
      </w:r>
    </w:p>
    <w:p w14:paraId="7433E8EF" w14:textId="5BA78E4A" w:rsidR="00271068" w:rsidRDefault="294F0AC8" w:rsidP="294F0AC8">
      <w:pPr>
        <w:spacing w:line="276" w:lineRule="auto"/>
        <w:rPr>
          <w:rFonts w:eastAsia="Verdana" w:cs="Verdana"/>
          <w:b/>
          <w:bCs/>
          <w:color w:val="auto"/>
        </w:rPr>
      </w:pPr>
      <w:r w:rsidRPr="294F0AC8">
        <w:rPr>
          <w:rFonts w:eastAsia="Verdana" w:cs="Verdana"/>
          <w:b/>
          <w:bCs/>
          <w:color w:val="C00000"/>
        </w:rPr>
        <w:t xml:space="preserve">Recommendation 29: </w:t>
      </w:r>
      <w:r w:rsidRPr="294F0AC8">
        <w:rPr>
          <w:rFonts w:eastAsia="Verdana" w:cs="Verdana"/>
          <w:b/>
          <w:bCs/>
        </w:rPr>
        <w:t>Current early childhood education and care policy settings should be reformed so that:</w:t>
      </w:r>
    </w:p>
    <w:p w14:paraId="619C2E50" w14:textId="21478F8D" w:rsidR="00271068" w:rsidRPr="00E104F0" w:rsidRDefault="000A5FFF" w:rsidP="00DD3DC0">
      <w:pPr>
        <w:pStyle w:val="ListParagraph"/>
        <w:numPr>
          <w:ilvl w:val="0"/>
          <w:numId w:val="34"/>
        </w:numPr>
        <w:rPr>
          <w:rFonts w:asciiTheme="minorHAnsi" w:eastAsiaTheme="minorEastAsia" w:hAnsiTheme="minorHAnsi"/>
          <w:b/>
        </w:rPr>
      </w:pPr>
      <w:r>
        <w:rPr>
          <w:b/>
        </w:rPr>
        <w:t>c</w:t>
      </w:r>
      <w:r w:rsidR="294F0AC8" w:rsidRPr="294F0AC8">
        <w:rPr>
          <w:b/>
        </w:rPr>
        <w:t xml:space="preserve">hildren have access to high-quality early education two years before school (with the national rollout of this reform to </w:t>
      </w:r>
      <w:proofErr w:type="spellStart"/>
      <w:r w:rsidR="294F0AC8" w:rsidRPr="294F0AC8">
        <w:rPr>
          <w:b/>
        </w:rPr>
        <w:t>prioritise</w:t>
      </w:r>
      <w:proofErr w:type="spellEnd"/>
      <w:r w:rsidR="294F0AC8" w:rsidRPr="294F0AC8">
        <w:rPr>
          <w:b/>
        </w:rPr>
        <w:t xml:space="preserve"> children experiencing educational disadvantage, including Aboriginal and Torres Strait Islander, children in rural and remote areas, children from non-English speaking backgrounds).</w:t>
      </w:r>
    </w:p>
    <w:p w14:paraId="60AE00BD" w14:textId="6CB4CA58" w:rsidR="00271068" w:rsidRPr="00E104F0" w:rsidRDefault="000A5FFF" w:rsidP="00DD3DC0">
      <w:pPr>
        <w:pStyle w:val="ListParagraph"/>
        <w:numPr>
          <w:ilvl w:val="0"/>
          <w:numId w:val="34"/>
        </w:numPr>
        <w:rPr>
          <w:b/>
        </w:rPr>
      </w:pPr>
      <w:r>
        <w:rPr>
          <w:b/>
        </w:rPr>
        <w:t>f</w:t>
      </w:r>
      <w:r w:rsidR="00271068" w:rsidRPr="294F0AC8">
        <w:rPr>
          <w:b/>
        </w:rPr>
        <w:t xml:space="preserve">unding commitments are long-term to provide security for parents and early learning </w:t>
      </w:r>
      <w:proofErr w:type="spellStart"/>
      <w:r w:rsidR="00271068" w:rsidRPr="294F0AC8">
        <w:rPr>
          <w:b/>
        </w:rPr>
        <w:t>centres</w:t>
      </w:r>
      <w:proofErr w:type="spellEnd"/>
      <w:r w:rsidR="00271068" w:rsidRPr="294F0AC8">
        <w:rPr>
          <w:b/>
        </w:rPr>
        <w:t>, in line with the recommendations of the Universal Access National Partnership COAG Review.</w:t>
      </w:r>
      <w:r w:rsidR="00271068" w:rsidRPr="294F0AC8">
        <w:rPr>
          <w:rStyle w:val="FootnoteReference"/>
          <w:rFonts w:eastAsia="Verdana" w:cs="Verdana"/>
          <w:bCs w:val="0"/>
          <w:color w:val="auto"/>
        </w:rPr>
        <w:footnoteReference w:id="27"/>
      </w:r>
    </w:p>
    <w:p w14:paraId="2AC0619A" w14:textId="0AC6C6C2" w:rsidR="280C9BAE" w:rsidRDefault="280C9BAE" w:rsidP="280C9BAE">
      <w:pPr>
        <w:pStyle w:val="List3"/>
        <w:rPr>
          <w:rFonts w:eastAsia="Calibri" w:cs="Arial"/>
          <w:szCs w:val="20"/>
        </w:rPr>
      </w:pPr>
    </w:p>
    <w:p w14:paraId="0E5F399D" w14:textId="240951BB" w:rsidR="00271068" w:rsidRDefault="17E90595" w:rsidP="17E90595">
      <w:pPr>
        <w:pStyle w:val="Recommendation"/>
        <w:rPr>
          <w:rFonts w:eastAsiaTheme="minorEastAsia"/>
          <w:i/>
          <w:iCs/>
          <w:color w:val="000000" w:themeColor="text1"/>
        </w:rPr>
      </w:pPr>
      <w:r w:rsidRPr="17E90595">
        <w:rPr>
          <w:color w:val="C00000"/>
        </w:rPr>
        <w:t>Budget impact:</w:t>
      </w:r>
      <w:r w:rsidRPr="17E90595">
        <w:rPr>
          <w:b w:val="0"/>
          <w:color w:val="C00000"/>
        </w:rPr>
        <w:t xml:space="preserve"> </w:t>
      </w:r>
      <w:r w:rsidRPr="17E90595">
        <w:rPr>
          <w:rFonts w:eastAsiaTheme="minorEastAsia"/>
          <w:i/>
          <w:iCs/>
          <w:color w:val="000000" w:themeColor="text1"/>
        </w:rPr>
        <w:t>-$</w:t>
      </w:r>
      <w:r w:rsidR="280C9BAE" w:rsidRPr="280C9BAE">
        <w:rPr>
          <w:rFonts w:eastAsiaTheme="minorEastAsia"/>
          <w:i/>
          <w:iCs/>
          <w:color w:val="000000" w:themeColor="text1"/>
        </w:rPr>
        <w:t>630</w:t>
      </w:r>
      <w:r w:rsidRPr="17E90595">
        <w:rPr>
          <w:rFonts w:eastAsiaTheme="minorEastAsia"/>
          <w:i/>
          <w:iCs/>
          <w:color w:val="000000" w:themeColor="text1"/>
        </w:rPr>
        <w:t xml:space="preserve"> million (-$</w:t>
      </w:r>
      <w:r w:rsidR="280C9BAE" w:rsidRPr="280C9BAE">
        <w:rPr>
          <w:rFonts w:eastAsiaTheme="minorEastAsia"/>
          <w:i/>
          <w:iCs/>
          <w:color w:val="000000" w:themeColor="text1"/>
        </w:rPr>
        <w:t>1,000</w:t>
      </w:r>
      <w:r w:rsidRPr="17E90595">
        <w:rPr>
          <w:rFonts w:eastAsiaTheme="minorEastAsia"/>
          <w:i/>
          <w:iCs/>
          <w:color w:val="000000" w:themeColor="text1"/>
        </w:rPr>
        <w:t xml:space="preserve"> million in 2023-24)</w:t>
      </w:r>
    </w:p>
    <w:p w14:paraId="76320589" w14:textId="77777777" w:rsidR="00271068" w:rsidRPr="000C6B7B" w:rsidRDefault="00271068" w:rsidP="00271068">
      <w:pPr>
        <w:pStyle w:val="ListNumber"/>
        <w:numPr>
          <w:ilvl w:val="0"/>
          <w:numId w:val="0"/>
        </w:numPr>
        <w:ind w:left="360"/>
      </w:pPr>
    </w:p>
    <w:p w14:paraId="2B921EF7" w14:textId="68A69960" w:rsidR="00271068" w:rsidRDefault="294F0AC8" w:rsidP="001D1B51">
      <w:pPr>
        <w:pStyle w:val="Heading2"/>
        <w:rPr>
          <w:rFonts w:eastAsia="Verdana" w:cs="Verdana"/>
        </w:rPr>
      </w:pPr>
      <w:bookmarkStart w:id="619" w:name="_Toc155060471"/>
      <w:bookmarkStart w:id="620" w:name="_Toc1020171941"/>
      <w:bookmarkStart w:id="621" w:name="_Toc1181374053"/>
      <w:bookmarkStart w:id="622" w:name="_Toc1955480761"/>
      <w:bookmarkStart w:id="623" w:name="_Toc670678818"/>
      <w:bookmarkStart w:id="624" w:name="_Toc1704210928"/>
      <w:bookmarkStart w:id="625" w:name="_Toc1325289327"/>
      <w:bookmarkStart w:id="626" w:name="_Toc1352396402"/>
      <w:bookmarkStart w:id="627" w:name="_Toc163179375"/>
      <w:bookmarkStart w:id="628" w:name="_Toc1297986127"/>
      <w:bookmarkStart w:id="629" w:name="_Toc90983380"/>
      <w:bookmarkStart w:id="630" w:name="_Toc90984643"/>
      <w:r>
        <w:t>Improve the affordability of early childhood education and care</w:t>
      </w:r>
      <w:bookmarkEnd w:id="619"/>
      <w:bookmarkEnd w:id="620"/>
      <w:bookmarkEnd w:id="621"/>
      <w:bookmarkEnd w:id="622"/>
      <w:bookmarkEnd w:id="623"/>
      <w:bookmarkEnd w:id="624"/>
      <w:bookmarkEnd w:id="625"/>
      <w:bookmarkEnd w:id="626"/>
      <w:bookmarkEnd w:id="627"/>
      <w:bookmarkEnd w:id="628"/>
      <w:bookmarkEnd w:id="629"/>
      <w:bookmarkEnd w:id="630"/>
    </w:p>
    <w:p w14:paraId="33EE0AD7" w14:textId="455149D4" w:rsidR="00271068" w:rsidRDefault="3F33A4A5" w:rsidP="79A6475B">
      <w:pPr>
        <w:spacing w:line="257" w:lineRule="auto"/>
        <w:rPr>
          <w:rFonts w:eastAsia="Verdana" w:cs="Verdana"/>
        </w:rPr>
      </w:pPr>
      <w:r w:rsidRPr="79A6475B">
        <w:rPr>
          <w:rFonts w:eastAsia="Verdana" w:cs="Verdana"/>
        </w:rPr>
        <w:t>Some of the most severe economic impacts of COVID-19 have been felt by women with children. Women have borne the brunt of the additional care and education of children resulting from lockdowns. There is a risk that the gains in female employment participation that have been made in recent decades will be lost.</w:t>
      </w:r>
      <w:r w:rsidR="4EB7070A" w:rsidRPr="79A6475B">
        <w:rPr>
          <w:rFonts w:eastAsia="Verdana" w:cs="Verdana"/>
        </w:rPr>
        <w:t xml:space="preserve"> </w:t>
      </w:r>
      <w:r w:rsidRPr="79A6475B">
        <w:rPr>
          <w:rFonts w:eastAsia="Verdana" w:cs="Verdana"/>
        </w:rPr>
        <w:t>This is a</w:t>
      </w:r>
      <w:r w:rsidR="7E624812" w:rsidRPr="79A6475B">
        <w:rPr>
          <w:rFonts w:eastAsia="Verdana" w:cs="Verdana"/>
        </w:rPr>
        <w:t>n unaffordable</w:t>
      </w:r>
      <w:r w:rsidRPr="79A6475B">
        <w:rPr>
          <w:rFonts w:eastAsia="Verdana" w:cs="Verdana"/>
        </w:rPr>
        <w:t xml:space="preserve"> setback</w:t>
      </w:r>
      <w:r w:rsidR="2DD2C4C9" w:rsidRPr="79A6475B">
        <w:rPr>
          <w:rFonts w:eastAsia="Verdana" w:cs="Verdana"/>
        </w:rPr>
        <w:t xml:space="preserve"> for the women of Australia and the country at a precarious time in its recovery from the pandemic</w:t>
      </w:r>
      <w:r w:rsidRPr="79A6475B">
        <w:rPr>
          <w:rFonts w:eastAsia="Verdana" w:cs="Verdana"/>
        </w:rPr>
        <w:t>.</w:t>
      </w:r>
    </w:p>
    <w:p w14:paraId="7289E604" w14:textId="492390A8" w:rsidR="00271068" w:rsidRDefault="3F33A4A5" w:rsidP="79A6475B">
      <w:pPr>
        <w:spacing w:line="257" w:lineRule="auto"/>
        <w:rPr>
          <w:rFonts w:eastAsia="Verdana" w:cs="Verdana"/>
        </w:rPr>
      </w:pPr>
      <w:r w:rsidRPr="79A6475B">
        <w:rPr>
          <w:rFonts w:eastAsia="Verdana" w:cs="Verdana"/>
        </w:rPr>
        <w:t>As we look to charting a path to econom</w:t>
      </w:r>
      <w:r w:rsidR="026C4D9F" w:rsidRPr="79A6475B">
        <w:rPr>
          <w:rFonts w:eastAsia="Verdana" w:cs="Verdana"/>
        </w:rPr>
        <w:t>ic</w:t>
      </w:r>
      <w:r w:rsidRPr="79A6475B">
        <w:rPr>
          <w:rFonts w:eastAsia="Verdana" w:cs="Verdana"/>
        </w:rPr>
        <w:t xml:space="preserve"> recovery, policy settings should support job search and employment participation of parents, </w:t>
      </w:r>
      <w:proofErr w:type="spellStart"/>
      <w:r w:rsidRPr="79A6475B">
        <w:rPr>
          <w:rFonts w:eastAsia="Verdana" w:cs="Verdana"/>
        </w:rPr>
        <w:t>minimise</w:t>
      </w:r>
      <w:proofErr w:type="spellEnd"/>
      <w:r w:rsidRPr="79A6475B">
        <w:rPr>
          <w:rFonts w:eastAsia="Verdana" w:cs="Verdana"/>
        </w:rPr>
        <w:t xml:space="preserve"> out of pocket costs for families under financial pressure </w:t>
      </w:r>
      <w:r w:rsidR="004038E7" w:rsidRPr="79A6475B">
        <w:rPr>
          <w:rFonts w:eastAsia="Verdana" w:cs="Verdana"/>
        </w:rPr>
        <w:t>and</w:t>
      </w:r>
      <w:r w:rsidRPr="79A6475B">
        <w:rPr>
          <w:rFonts w:eastAsia="Verdana" w:cs="Verdana"/>
        </w:rPr>
        <w:t xml:space="preserve"> deliver continuity in quality education and care for children.</w:t>
      </w:r>
    </w:p>
    <w:p w14:paraId="6777ED95" w14:textId="651AA5D2" w:rsidR="00271068" w:rsidRDefault="409B39C8" w:rsidP="79A6475B">
      <w:pPr>
        <w:spacing w:line="257" w:lineRule="auto"/>
        <w:rPr>
          <w:rStyle w:val="FootnoteReference"/>
          <w:rFonts w:eastAsia="Verdana" w:cs="Verdana"/>
        </w:rPr>
      </w:pPr>
      <w:r w:rsidRPr="79A6475B">
        <w:rPr>
          <w:rFonts w:eastAsia="Verdana" w:cs="Verdana"/>
        </w:rPr>
        <w:t>In the short term</w:t>
      </w:r>
      <w:r w:rsidR="16D0E060" w:rsidRPr="79A6475B">
        <w:rPr>
          <w:rFonts w:eastAsia="Verdana" w:cs="Verdana"/>
        </w:rPr>
        <w:t>, a</w:t>
      </w:r>
      <w:r w:rsidR="3F33A4A5" w:rsidRPr="79A6475B">
        <w:rPr>
          <w:rFonts w:eastAsia="Verdana" w:cs="Verdana"/>
        </w:rPr>
        <w:t xml:space="preserve">n adjustment to the current Child Care Subsidy and Additional Child Care Subsidy as proposed by </w:t>
      </w:r>
      <w:r w:rsidR="0B39E278" w:rsidRPr="79A6475B">
        <w:rPr>
          <w:rFonts w:eastAsia="Verdana" w:cs="Verdana"/>
        </w:rPr>
        <w:t>T</w:t>
      </w:r>
      <w:r w:rsidR="3F33A4A5" w:rsidRPr="79A6475B">
        <w:rPr>
          <w:rFonts w:eastAsia="Verdana" w:cs="Verdana"/>
        </w:rPr>
        <w:t>he Grattan Institute could lift the level of subsidy for low and middle incomes families from 85% to 95% (with higher subsidies available to very low income or disadvantaged families through the ACSS), eas</w:t>
      </w:r>
      <w:r w:rsidR="518EE1F0" w:rsidRPr="79A6475B">
        <w:rPr>
          <w:rFonts w:eastAsia="Verdana" w:cs="Verdana"/>
        </w:rPr>
        <w:t>e</w:t>
      </w:r>
      <w:r w:rsidR="3F33A4A5" w:rsidRPr="79A6475B">
        <w:rPr>
          <w:rFonts w:eastAsia="Verdana" w:cs="Verdana"/>
        </w:rPr>
        <w:t xml:space="preserve"> the taper rate and mak</w:t>
      </w:r>
      <w:r w:rsidR="11694A72" w:rsidRPr="79A6475B">
        <w:rPr>
          <w:rFonts w:eastAsia="Verdana" w:cs="Verdana"/>
        </w:rPr>
        <w:t>e</w:t>
      </w:r>
      <w:r w:rsidR="3F33A4A5" w:rsidRPr="79A6475B">
        <w:rPr>
          <w:rFonts w:eastAsia="Verdana" w:cs="Verdana"/>
        </w:rPr>
        <w:t xml:space="preserve"> access to a base subsidy (30%) universal.</w:t>
      </w:r>
      <w:r w:rsidR="00271068" w:rsidRPr="79A6475B">
        <w:rPr>
          <w:rStyle w:val="FootnoteReference"/>
          <w:rFonts w:eastAsia="Verdana" w:cs="Verdana"/>
        </w:rPr>
        <w:footnoteReference w:id="28"/>
      </w:r>
      <w:r w:rsidR="0D843D13" w:rsidRPr="79A6475B">
        <w:rPr>
          <w:rFonts w:eastAsia="Verdana" w:cs="Verdana"/>
        </w:rPr>
        <w:t xml:space="preserve"> </w:t>
      </w:r>
      <w:r w:rsidR="3F33A4A5" w:rsidRPr="79A6475B">
        <w:rPr>
          <w:rFonts w:eastAsia="Verdana" w:cs="Verdana"/>
        </w:rPr>
        <w:t>Adjustments to eligibility for the child care subsidy should also be made to reduce barriers to access and extend the duration of support.</w:t>
      </w:r>
    </w:p>
    <w:p w14:paraId="6CD6A04C" w14:textId="2817B63C" w:rsidR="3A34A364" w:rsidRDefault="3A34A364" w:rsidP="79A6475B">
      <w:pPr>
        <w:spacing w:line="257" w:lineRule="auto"/>
        <w:rPr>
          <w:rFonts w:eastAsia="Calibri" w:cs="Arial"/>
          <w:szCs w:val="20"/>
        </w:rPr>
      </w:pPr>
      <w:r w:rsidRPr="79A6475B">
        <w:rPr>
          <w:rFonts w:eastAsia="Verdana" w:cs="Verdana"/>
        </w:rPr>
        <w:t>However, beyond this budget cycle</w:t>
      </w:r>
      <w:r w:rsidR="002622E8">
        <w:rPr>
          <w:rFonts w:eastAsia="Verdana" w:cs="Verdana"/>
        </w:rPr>
        <w:t>,</w:t>
      </w:r>
      <w:r w:rsidRPr="79A6475B">
        <w:rPr>
          <w:rFonts w:eastAsia="Verdana" w:cs="Verdana"/>
        </w:rPr>
        <w:t xml:space="preserve"> there is a need </w:t>
      </w:r>
      <w:r w:rsidR="002622E8">
        <w:rPr>
          <w:rFonts w:eastAsia="Verdana" w:cs="Verdana"/>
        </w:rPr>
        <w:t xml:space="preserve">to consider </w:t>
      </w:r>
      <w:r w:rsidRPr="79A6475B">
        <w:rPr>
          <w:rFonts w:eastAsia="Verdana" w:cs="Verdana"/>
        </w:rPr>
        <w:t xml:space="preserve">whether a more equitable, </w:t>
      </w:r>
      <w:proofErr w:type="gramStart"/>
      <w:r w:rsidRPr="79A6475B">
        <w:rPr>
          <w:rFonts w:eastAsia="Verdana" w:cs="Verdana"/>
        </w:rPr>
        <w:t>simpler</w:t>
      </w:r>
      <w:proofErr w:type="gramEnd"/>
      <w:r w:rsidRPr="79A6475B">
        <w:rPr>
          <w:rFonts w:eastAsia="Verdana" w:cs="Verdana"/>
        </w:rPr>
        <w:t xml:space="preserve"> and accessible reform package would be more beneficial.</w:t>
      </w:r>
    </w:p>
    <w:p w14:paraId="7EE25CD8" w14:textId="57417E66" w:rsidR="00271068" w:rsidRPr="00EC1DF7" w:rsidRDefault="294F0AC8" w:rsidP="294F0AC8">
      <w:pPr>
        <w:spacing w:line="257" w:lineRule="auto"/>
        <w:rPr>
          <w:rFonts w:eastAsia="Verdana" w:cs="Verdana"/>
          <w:b/>
          <w:bCs/>
        </w:rPr>
      </w:pPr>
      <w:r w:rsidRPr="294F0AC8">
        <w:rPr>
          <w:rFonts w:eastAsia="Verdana" w:cs="Verdana"/>
          <w:b/>
          <w:bCs/>
          <w:color w:val="C00000"/>
        </w:rPr>
        <w:t xml:space="preserve">Recommendation 30: </w:t>
      </w:r>
      <w:r w:rsidRPr="294F0AC8">
        <w:rPr>
          <w:rFonts w:eastAsia="Verdana" w:cs="Verdana"/>
          <w:b/>
          <w:bCs/>
        </w:rPr>
        <w:t>Affordability of early childhood care and education should be improved by:</w:t>
      </w:r>
    </w:p>
    <w:p w14:paraId="4D10C401" w14:textId="75CC41F4" w:rsidR="00271068" w:rsidRPr="001C35E2" w:rsidRDefault="002622E8" w:rsidP="00DD3DC0">
      <w:pPr>
        <w:pStyle w:val="ListParagraph"/>
        <w:numPr>
          <w:ilvl w:val="0"/>
          <w:numId w:val="33"/>
        </w:numPr>
        <w:rPr>
          <w:rFonts w:asciiTheme="minorHAnsi" w:eastAsiaTheme="minorEastAsia" w:hAnsiTheme="minorHAnsi"/>
          <w:b/>
        </w:rPr>
      </w:pPr>
      <w:r>
        <w:rPr>
          <w:b/>
        </w:rPr>
        <w:lastRenderedPageBreak/>
        <w:t>l</w:t>
      </w:r>
      <w:r w:rsidR="294F0AC8" w:rsidRPr="294F0AC8">
        <w:rPr>
          <w:b/>
        </w:rPr>
        <w:t>ifting the Child Care Subsidy for low-income families so that ECEC is free for households on incomes of up to $70,015 per annum (at a minimum, lift the subsidy from 85% to 95% of costs for these families).</w:t>
      </w:r>
      <w:r w:rsidR="00271068">
        <w:br/>
      </w:r>
    </w:p>
    <w:p w14:paraId="173C25D2" w14:textId="1E3B5C9E" w:rsidR="00271068" w:rsidRPr="001C35E2" w:rsidRDefault="002622E8" w:rsidP="00DD3DC0">
      <w:pPr>
        <w:pStyle w:val="ListParagraph"/>
        <w:numPr>
          <w:ilvl w:val="0"/>
          <w:numId w:val="33"/>
        </w:numPr>
        <w:rPr>
          <w:rFonts w:asciiTheme="minorHAnsi" w:eastAsiaTheme="minorEastAsia" w:hAnsiTheme="minorHAnsi"/>
          <w:b/>
        </w:rPr>
      </w:pPr>
      <w:r>
        <w:rPr>
          <w:b/>
        </w:rPr>
        <w:t>f</w:t>
      </w:r>
      <w:r w:rsidR="294F0AC8" w:rsidRPr="294F0AC8">
        <w:rPr>
          <w:b/>
        </w:rPr>
        <w:t>lattening and simplifying the taper rate, so the subsidy reduces to 30% for households on higher incomes ($400,000 per annum or more).</w:t>
      </w:r>
      <w:r w:rsidR="00271068">
        <w:br/>
      </w:r>
    </w:p>
    <w:p w14:paraId="79839964" w14:textId="12CD4C4C" w:rsidR="00271068" w:rsidRPr="001C35E2" w:rsidRDefault="002622E8" w:rsidP="00DD3DC0">
      <w:pPr>
        <w:pStyle w:val="ListParagraph"/>
        <w:numPr>
          <w:ilvl w:val="0"/>
          <w:numId w:val="33"/>
        </w:numPr>
        <w:rPr>
          <w:rFonts w:asciiTheme="minorHAnsi" w:eastAsiaTheme="minorEastAsia" w:hAnsiTheme="minorHAnsi"/>
          <w:b/>
        </w:rPr>
      </w:pPr>
      <w:r>
        <w:rPr>
          <w:b/>
        </w:rPr>
        <w:t>r</w:t>
      </w:r>
      <w:r w:rsidR="294F0AC8" w:rsidRPr="294F0AC8">
        <w:rPr>
          <w:b/>
        </w:rPr>
        <w:t>emoving activity tests to access the Child Care Subsidy to support continuity of access to high quality early education and care for children, especially for low-income families.</w:t>
      </w:r>
      <w:r w:rsidR="00271068">
        <w:br/>
      </w:r>
    </w:p>
    <w:p w14:paraId="48A082B2" w14:textId="10E5A961" w:rsidR="00271068" w:rsidRPr="001C35E2" w:rsidRDefault="002622E8" w:rsidP="00DD3DC0">
      <w:pPr>
        <w:pStyle w:val="ListParagraph"/>
        <w:numPr>
          <w:ilvl w:val="0"/>
          <w:numId w:val="33"/>
        </w:numPr>
        <w:rPr>
          <w:rFonts w:asciiTheme="minorHAnsi" w:eastAsiaTheme="minorEastAsia" w:hAnsiTheme="minorHAnsi"/>
          <w:b/>
        </w:rPr>
      </w:pPr>
      <w:r>
        <w:rPr>
          <w:b/>
        </w:rPr>
        <w:t>e</w:t>
      </w:r>
      <w:r w:rsidR="294F0AC8" w:rsidRPr="294F0AC8">
        <w:rPr>
          <w:b/>
        </w:rPr>
        <w:t>xtending access to the Additional Child Care Subsidy (Temporary Financial Hardship subsidy) beyond the current 13-week period.</w:t>
      </w:r>
    </w:p>
    <w:p w14:paraId="16A20399" w14:textId="6056DECA" w:rsidR="280C9BAE" w:rsidRDefault="280C9BAE" w:rsidP="280C9BAE">
      <w:pPr>
        <w:pStyle w:val="List3"/>
        <w:rPr>
          <w:rFonts w:eastAsia="Calibri" w:cs="Arial"/>
          <w:szCs w:val="20"/>
        </w:rPr>
      </w:pPr>
    </w:p>
    <w:p w14:paraId="50C2B9C2" w14:textId="2ADBBA36" w:rsidR="00271068" w:rsidRDefault="294F0AC8" w:rsidP="294F0AC8">
      <w:pPr>
        <w:pStyle w:val="Recommendation"/>
        <w:rPr>
          <w:rFonts w:eastAsiaTheme="minorEastAsia"/>
          <w:i/>
          <w:iCs/>
          <w:color w:val="000000" w:themeColor="text1"/>
        </w:rPr>
      </w:pPr>
      <w:r w:rsidRPr="294F0AC8">
        <w:rPr>
          <w:color w:val="C00000"/>
        </w:rPr>
        <w:t>Budget impact:</w:t>
      </w:r>
      <w:r>
        <w:rPr>
          <w:b w:val="0"/>
        </w:rPr>
        <w:t xml:space="preserve"> </w:t>
      </w:r>
      <w:r w:rsidRPr="294F0AC8">
        <w:rPr>
          <w:rFonts w:eastAsiaTheme="minorEastAsia"/>
          <w:i/>
          <w:iCs/>
          <w:color w:val="000000" w:themeColor="text1"/>
        </w:rPr>
        <w:t>-$5,800 million (-$6,000 million in 2023-24)</w:t>
      </w:r>
    </w:p>
    <w:p w14:paraId="595D322C" w14:textId="77777777" w:rsidR="00271068" w:rsidRDefault="00271068" w:rsidP="00271068">
      <w:pPr>
        <w:pStyle w:val="ListNumber"/>
        <w:numPr>
          <w:ilvl w:val="0"/>
          <w:numId w:val="0"/>
        </w:numPr>
      </w:pPr>
    </w:p>
    <w:p w14:paraId="675AB4FF" w14:textId="2D070596" w:rsidR="00271068" w:rsidRPr="7B33A330" w:rsidRDefault="294F0AC8" w:rsidP="001D1B51">
      <w:pPr>
        <w:pStyle w:val="Heading2"/>
        <w:rPr>
          <w:rFonts w:eastAsia="Verdana" w:cs="Verdana"/>
          <w:color w:val="auto"/>
        </w:rPr>
      </w:pPr>
      <w:bookmarkStart w:id="631" w:name="_Toc296066881"/>
      <w:bookmarkStart w:id="632" w:name="_Toc631320146"/>
      <w:bookmarkStart w:id="633" w:name="_Toc927676253"/>
      <w:bookmarkStart w:id="634" w:name="_Toc343687402"/>
      <w:bookmarkStart w:id="635" w:name="_Toc1092867798"/>
      <w:bookmarkStart w:id="636" w:name="_Toc504528997"/>
      <w:bookmarkStart w:id="637" w:name="_Toc1373540929"/>
      <w:bookmarkStart w:id="638" w:name="_Toc1043745154"/>
      <w:bookmarkStart w:id="639" w:name="_Toc1440189239"/>
      <w:bookmarkStart w:id="640" w:name="_Toc998212828"/>
      <w:bookmarkStart w:id="641" w:name="_Toc90983381"/>
      <w:bookmarkStart w:id="642" w:name="_Toc90984644"/>
      <w:r>
        <w:t>Ensure equality for Aboriginal and Torres Strait Islander children in their early years</w:t>
      </w:r>
      <w:bookmarkEnd w:id="631"/>
      <w:bookmarkEnd w:id="632"/>
      <w:bookmarkEnd w:id="633"/>
      <w:bookmarkEnd w:id="634"/>
      <w:bookmarkEnd w:id="635"/>
      <w:bookmarkEnd w:id="636"/>
      <w:bookmarkEnd w:id="637"/>
      <w:bookmarkEnd w:id="638"/>
      <w:bookmarkEnd w:id="639"/>
      <w:bookmarkEnd w:id="640"/>
      <w:bookmarkEnd w:id="641"/>
      <w:bookmarkEnd w:id="642"/>
    </w:p>
    <w:p w14:paraId="485BEAE0" w14:textId="66405F5B" w:rsidR="5F1375E4" w:rsidRPr="001D419B" w:rsidRDefault="7C7B99F3">
      <w:pPr>
        <w:rPr>
          <w:rFonts w:eastAsia="Verdana" w:cs="Verdana"/>
          <w:sz w:val="22"/>
        </w:rPr>
      </w:pPr>
      <w:r w:rsidRPr="79A6475B">
        <w:rPr>
          <w:rFonts w:eastAsia="Verdana" w:cs="Verdana"/>
          <w:szCs w:val="20"/>
        </w:rPr>
        <w:t>Aboriginal and Torres Strait Islander children are supported by their families, their communities</w:t>
      </w:r>
      <w:r w:rsidR="00B572B2">
        <w:rPr>
          <w:rFonts w:eastAsia="Verdana" w:cs="Verdana"/>
          <w:szCs w:val="20"/>
        </w:rPr>
        <w:t>,</w:t>
      </w:r>
      <w:r w:rsidRPr="79A6475B">
        <w:rPr>
          <w:rFonts w:eastAsia="Verdana" w:cs="Verdana"/>
          <w:szCs w:val="20"/>
        </w:rPr>
        <w:t xml:space="preserve"> and their culture. Despite this support, Aboriginal and Torres Strait Islander children continue to face challenges arising from </w:t>
      </w:r>
      <w:proofErr w:type="spellStart"/>
      <w:r w:rsidRPr="79A6475B">
        <w:rPr>
          <w:rFonts w:eastAsia="Verdana" w:cs="Verdana"/>
          <w:szCs w:val="20"/>
        </w:rPr>
        <w:t>colonisation</w:t>
      </w:r>
      <w:proofErr w:type="spellEnd"/>
      <w:r w:rsidRPr="79A6475B">
        <w:rPr>
          <w:rFonts w:eastAsia="Verdana" w:cs="Verdana"/>
          <w:szCs w:val="20"/>
        </w:rPr>
        <w:t xml:space="preserve"> and its effects. Achieving equ</w:t>
      </w:r>
      <w:r w:rsidR="6783EFC8" w:rsidRPr="79A6475B">
        <w:rPr>
          <w:rFonts w:eastAsia="Verdana" w:cs="Verdana"/>
          <w:szCs w:val="20"/>
        </w:rPr>
        <w:t xml:space="preserve">ity </w:t>
      </w:r>
      <w:r w:rsidRPr="79A6475B">
        <w:rPr>
          <w:rFonts w:eastAsia="Verdana" w:cs="Verdana"/>
          <w:szCs w:val="20"/>
        </w:rPr>
        <w:t>means dismantl</w:t>
      </w:r>
      <w:r w:rsidR="2484749D" w:rsidRPr="79A6475B">
        <w:rPr>
          <w:rFonts w:eastAsia="Verdana" w:cs="Verdana"/>
          <w:szCs w:val="20"/>
        </w:rPr>
        <w:t>ing</w:t>
      </w:r>
      <w:r w:rsidRPr="79A6475B">
        <w:rPr>
          <w:rFonts w:eastAsia="Verdana" w:cs="Verdana"/>
          <w:szCs w:val="20"/>
        </w:rPr>
        <w:t xml:space="preserve"> the systems that perpetuate the ongoing trauma</w:t>
      </w:r>
      <w:r w:rsidR="7D72D67B" w:rsidRPr="79A6475B">
        <w:rPr>
          <w:rFonts w:eastAsia="Verdana" w:cs="Verdana"/>
          <w:szCs w:val="20"/>
        </w:rPr>
        <w:t xml:space="preserve">, disadvantage and </w:t>
      </w:r>
      <w:proofErr w:type="spellStart"/>
      <w:r w:rsidR="7D72D67B" w:rsidRPr="79A6475B">
        <w:rPr>
          <w:rFonts w:eastAsia="Verdana" w:cs="Verdana"/>
          <w:szCs w:val="20"/>
        </w:rPr>
        <w:t>marginalisation</w:t>
      </w:r>
      <w:proofErr w:type="spellEnd"/>
      <w:r w:rsidR="7D72D67B" w:rsidRPr="79A6475B">
        <w:rPr>
          <w:rFonts w:eastAsia="Verdana" w:cs="Verdana"/>
          <w:szCs w:val="20"/>
        </w:rPr>
        <w:t xml:space="preserve"> </w:t>
      </w:r>
      <w:r w:rsidRPr="79A6475B">
        <w:rPr>
          <w:rFonts w:eastAsia="Verdana" w:cs="Verdana"/>
          <w:szCs w:val="20"/>
        </w:rPr>
        <w:t>experienced by Aboriginal and Torres Strait Islander children.</w:t>
      </w:r>
      <w:r w:rsidR="280C9BAE" w:rsidRPr="280C9BAE">
        <w:rPr>
          <w:rFonts w:eastAsia="Verdana" w:cs="Verdana"/>
          <w:szCs w:val="20"/>
        </w:rPr>
        <w:t xml:space="preserve"> </w:t>
      </w:r>
      <w:r w:rsidR="0FF06030" w:rsidRPr="79A6475B">
        <w:rPr>
          <w:rFonts w:eastAsia="Verdana" w:cs="Verdana"/>
          <w:szCs w:val="20"/>
        </w:rPr>
        <w:t>W</w:t>
      </w:r>
      <w:r w:rsidR="68170732" w:rsidRPr="79A6475B">
        <w:rPr>
          <w:rFonts w:eastAsia="Verdana" w:cs="Verdana"/>
          <w:szCs w:val="20"/>
        </w:rPr>
        <w:t xml:space="preserve">hilst there have been </w:t>
      </w:r>
      <w:r w:rsidR="280C9BAE" w:rsidRPr="280C9BAE">
        <w:rPr>
          <w:rFonts w:eastAsia="Verdana" w:cs="Verdana"/>
          <w:szCs w:val="20"/>
        </w:rPr>
        <w:t>some</w:t>
      </w:r>
      <w:r w:rsidR="7CE9B66F" w:rsidRPr="79A6475B">
        <w:rPr>
          <w:rFonts w:eastAsia="Verdana" w:cs="Verdana"/>
          <w:szCs w:val="20"/>
        </w:rPr>
        <w:t xml:space="preserve"> </w:t>
      </w:r>
      <w:r w:rsidR="1D9743D7" w:rsidRPr="79A6475B">
        <w:rPr>
          <w:rFonts w:eastAsia="Verdana" w:cs="Verdana"/>
          <w:szCs w:val="20"/>
        </w:rPr>
        <w:t>additional</w:t>
      </w:r>
      <w:r w:rsidR="0FF06030" w:rsidRPr="79A6475B">
        <w:rPr>
          <w:rFonts w:eastAsia="Verdana" w:cs="Verdana"/>
          <w:szCs w:val="20"/>
        </w:rPr>
        <w:t xml:space="preserve"> investments in Aboriginal early childhood </w:t>
      </w:r>
      <w:r w:rsidR="5887847A" w:rsidRPr="79A6475B">
        <w:rPr>
          <w:rFonts w:eastAsia="Verdana" w:cs="Verdana"/>
          <w:szCs w:val="20"/>
        </w:rPr>
        <w:t>in the</w:t>
      </w:r>
      <w:r w:rsidR="0FF06030" w:rsidRPr="79A6475B">
        <w:rPr>
          <w:rFonts w:eastAsia="Verdana" w:cs="Verdana"/>
          <w:szCs w:val="20"/>
        </w:rPr>
        <w:t xml:space="preserve"> Closing the Gap</w:t>
      </w:r>
      <w:r w:rsidR="280A6635" w:rsidRPr="79A6475B">
        <w:rPr>
          <w:rFonts w:eastAsia="Verdana" w:cs="Verdana"/>
          <w:szCs w:val="20"/>
        </w:rPr>
        <w:t xml:space="preserve"> Implementation Plan</w:t>
      </w:r>
      <w:r w:rsidR="0FF06030" w:rsidRPr="79A6475B">
        <w:rPr>
          <w:rFonts w:eastAsia="Verdana" w:cs="Verdana"/>
          <w:szCs w:val="20"/>
        </w:rPr>
        <w:t>,</w:t>
      </w:r>
      <w:r w:rsidR="1B0A6572" w:rsidRPr="79A6475B">
        <w:rPr>
          <w:rFonts w:eastAsia="Verdana" w:cs="Verdana"/>
          <w:szCs w:val="20"/>
        </w:rPr>
        <w:t xml:space="preserve"> more </w:t>
      </w:r>
      <w:r w:rsidR="7A3380D2" w:rsidRPr="79A6475B">
        <w:rPr>
          <w:rFonts w:eastAsia="Verdana" w:cs="Verdana"/>
          <w:szCs w:val="20"/>
        </w:rPr>
        <w:t xml:space="preserve">comprehensive </w:t>
      </w:r>
      <w:r w:rsidR="1B0A6572" w:rsidRPr="79A6475B">
        <w:rPr>
          <w:rFonts w:eastAsia="Verdana" w:cs="Verdana"/>
          <w:szCs w:val="20"/>
        </w:rPr>
        <w:t>reform</w:t>
      </w:r>
      <w:r w:rsidR="2515E950" w:rsidRPr="79A6475B">
        <w:rPr>
          <w:rFonts w:eastAsia="Verdana" w:cs="Verdana"/>
          <w:szCs w:val="20"/>
        </w:rPr>
        <w:t xml:space="preserve"> is required</w:t>
      </w:r>
      <w:r w:rsidR="1B0A6572" w:rsidRPr="79A6475B">
        <w:rPr>
          <w:rFonts w:eastAsia="Verdana" w:cs="Verdana"/>
          <w:szCs w:val="20"/>
        </w:rPr>
        <w:t xml:space="preserve">, which includes a strengthened role for community-controlled </w:t>
      </w:r>
      <w:proofErr w:type="spellStart"/>
      <w:r w:rsidR="1B0A6572" w:rsidRPr="79A6475B">
        <w:rPr>
          <w:rFonts w:eastAsia="Verdana" w:cs="Verdana"/>
          <w:szCs w:val="20"/>
        </w:rPr>
        <w:t>organisations</w:t>
      </w:r>
      <w:proofErr w:type="spellEnd"/>
      <w:r w:rsidR="08317D30" w:rsidRPr="79A6475B">
        <w:rPr>
          <w:rFonts w:eastAsia="Verdana" w:cs="Verdana"/>
          <w:szCs w:val="20"/>
        </w:rPr>
        <w:t xml:space="preserve"> in the lives of Aboriginal and Torres Strait Islander children.</w:t>
      </w:r>
      <w:r w:rsidR="209902F0" w:rsidRPr="79A6475B">
        <w:rPr>
          <w:rFonts w:eastAsia="Verdana" w:cs="Verdana"/>
          <w:szCs w:val="20"/>
        </w:rPr>
        <w:t xml:space="preserve"> </w:t>
      </w:r>
      <w:r w:rsidR="0FF06030" w:rsidRPr="79A6475B">
        <w:rPr>
          <w:rFonts w:eastAsia="Verdana" w:cs="Verdana"/>
          <w:sz w:val="22"/>
        </w:rPr>
        <w:t xml:space="preserve"> </w:t>
      </w:r>
    </w:p>
    <w:p w14:paraId="7EDBA7CD" w14:textId="3C14E384" w:rsidR="00271068" w:rsidRPr="00EC1DF7" w:rsidRDefault="294F0AC8" w:rsidP="294F0AC8">
      <w:pPr>
        <w:keepNext/>
        <w:spacing w:line="276" w:lineRule="auto"/>
        <w:rPr>
          <w:rFonts w:eastAsia="Verdana" w:cs="Verdana"/>
          <w:b/>
          <w:bCs/>
          <w:color w:val="auto"/>
        </w:rPr>
      </w:pPr>
      <w:r w:rsidRPr="294F0AC8">
        <w:rPr>
          <w:rFonts w:eastAsia="Verdana" w:cs="Verdana"/>
          <w:b/>
          <w:bCs/>
          <w:color w:val="C00000"/>
        </w:rPr>
        <w:t>Recommendation 31:</w:t>
      </w:r>
      <w:r w:rsidRPr="294F0AC8">
        <w:rPr>
          <w:rFonts w:eastAsia="Verdana" w:cs="Verdana"/>
          <w:b/>
          <w:bCs/>
          <w:color w:val="auto"/>
        </w:rPr>
        <w:t xml:space="preserve"> To improve access to early childhood services by Aboriginal and Torres Strait Islander children, the following steps should be taken in line with the SNAICC and Early Childhood Australia position paper – </w:t>
      </w:r>
      <w:r w:rsidRPr="294F0AC8">
        <w:rPr>
          <w:rFonts w:eastAsia="Verdana" w:cs="Verdana"/>
          <w:b/>
          <w:bCs/>
          <w:i/>
          <w:iCs/>
          <w:color w:val="auto"/>
        </w:rPr>
        <w:t>Working Together to ensure equality for Aboriginal and Torres Strait Islander Children</w:t>
      </w:r>
      <w:r w:rsidRPr="294F0AC8">
        <w:rPr>
          <w:rFonts w:eastAsia="Verdana" w:cs="Verdana"/>
          <w:b/>
          <w:bCs/>
          <w:color w:val="auto"/>
        </w:rPr>
        <w:t>:</w:t>
      </w:r>
    </w:p>
    <w:p w14:paraId="4BC162DA" w14:textId="5006A828" w:rsidR="00271068" w:rsidRPr="001C35E2" w:rsidRDefault="294F0AC8" w:rsidP="00DD3DC0">
      <w:pPr>
        <w:pStyle w:val="ListParagraph"/>
        <w:numPr>
          <w:ilvl w:val="0"/>
          <w:numId w:val="32"/>
        </w:numPr>
        <w:rPr>
          <w:rFonts w:asciiTheme="minorHAnsi" w:eastAsiaTheme="minorEastAsia" w:hAnsiTheme="minorHAnsi"/>
          <w:b/>
        </w:rPr>
      </w:pPr>
      <w:r w:rsidRPr="294F0AC8">
        <w:rPr>
          <w:b/>
        </w:rPr>
        <w:t xml:space="preserve">Ensure Aboriginal and Torres Strait Islander </w:t>
      </w:r>
      <w:r w:rsidR="00B572B2" w:rsidRPr="294F0AC8">
        <w:rPr>
          <w:b/>
        </w:rPr>
        <w:t>three- and four-year-</w:t>
      </w:r>
      <w:proofErr w:type="spellStart"/>
      <w:r w:rsidR="00B572B2" w:rsidRPr="294F0AC8">
        <w:rPr>
          <w:b/>
        </w:rPr>
        <w:t>olds</w:t>
      </w:r>
      <w:proofErr w:type="spellEnd"/>
      <w:r w:rsidRPr="294F0AC8">
        <w:rPr>
          <w:b/>
        </w:rPr>
        <w:t xml:space="preserve"> have a minimum of three days per week of high-quality preschool with a bachelor-qualified teacher.</w:t>
      </w:r>
      <w:r w:rsidR="00271068">
        <w:br/>
      </w:r>
    </w:p>
    <w:p w14:paraId="54FA16F1" w14:textId="65DDEA3E" w:rsidR="00271068" w:rsidRPr="001C35E2" w:rsidRDefault="294F0AC8" w:rsidP="00DD3DC0">
      <w:pPr>
        <w:pStyle w:val="ListParagraph"/>
        <w:numPr>
          <w:ilvl w:val="0"/>
          <w:numId w:val="32"/>
        </w:numPr>
        <w:rPr>
          <w:rFonts w:asciiTheme="minorHAnsi" w:eastAsiaTheme="minorEastAsia" w:hAnsiTheme="minorHAnsi"/>
          <w:b/>
        </w:rPr>
      </w:pPr>
      <w:r w:rsidRPr="294F0AC8">
        <w:rPr>
          <w:b/>
        </w:rPr>
        <w:t xml:space="preserve">Provide a minimum entitlement of 30 hours of 95% </w:t>
      </w:r>
      <w:proofErr w:type="spellStart"/>
      <w:r w:rsidRPr="294F0AC8">
        <w:rPr>
          <w:b/>
        </w:rPr>
        <w:t>subsidised</w:t>
      </w:r>
      <w:proofErr w:type="spellEnd"/>
      <w:r w:rsidRPr="294F0AC8">
        <w:rPr>
          <w:b/>
        </w:rPr>
        <w:t xml:space="preserve"> care per week for all Aboriginal and Torres Strait Islander children as an ongoing measure to Close the Gap in early education and care attendance and Australian Early Development Census (AEDC) outcomes.</w:t>
      </w:r>
      <w:r w:rsidR="00271068">
        <w:br/>
      </w:r>
    </w:p>
    <w:p w14:paraId="194EFBE9" w14:textId="00DB0BD2" w:rsidR="00271068" w:rsidRPr="001C35E2" w:rsidRDefault="294F0AC8" w:rsidP="00DD3DC0">
      <w:pPr>
        <w:pStyle w:val="ListParagraph"/>
        <w:numPr>
          <w:ilvl w:val="0"/>
          <w:numId w:val="32"/>
        </w:numPr>
        <w:rPr>
          <w:rFonts w:asciiTheme="minorHAnsi" w:eastAsiaTheme="minorEastAsia" w:hAnsiTheme="minorHAnsi"/>
          <w:b/>
        </w:rPr>
      </w:pPr>
      <w:r w:rsidRPr="294F0AC8">
        <w:rPr>
          <w:b/>
        </w:rPr>
        <w:t xml:space="preserve">Invest to increase the coverage and capacity of Aboriginal and Torres Strait Islander community-controlled integrated early years services through a new specific funding model and program designed to meet the needs of Aboriginal and Torres Strait Islander children and families.  </w:t>
      </w:r>
      <w:r w:rsidR="00271068">
        <w:br/>
      </w:r>
    </w:p>
    <w:p w14:paraId="65E8A946" w14:textId="77777777" w:rsidR="003A1FEC" w:rsidRDefault="003A1FEC">
      <w:pPr>
        <w:rPr>
          <w:b/>
          <w:bCs/>
          <w:szCs w:val="20"/>
        </w:rPr>
      </w:pPr>
      <w:r>
        <w:rPr>
          <w:b/>
        </w:rPr>
        <w:br w:type="page"/>
      </w:r>
    </w:p>
    <w:p w14:paraId="0622E3C1" w14:textId="14A054FA" w:rsidR="00271068" w:rsidRPr="00EC1DF7" w:rsidRDefault="294F0AC8" w:rsidP="00DD3DC0">
      <w:pPr>
        <w:pStyle w:val="ListParagraph"/>
        <w:numPr>
          <w:ilvl w:val="0"/>
          <w:numId w:val="32"/>
        </w:numPr>
        <w:rPr>
          <w:rFonts w:asciiTheme="minorHAnsi" w:eastAsiaTheme="minorEastAsia" w:hAnsiTheme="minorHAnsi"/>
          <w:b/>
        </w:rPr>
      </w:pPr>
      <w:r w:rsidRPr="294F0AC8">
        <w:rPr>
          <w:b/>
        </w:rPr>
        <w:lastRenderedPageBreak/>
        <w:t>Fund a targeted program to support evidence informed, culturally safe, and well-integrated early childhood and family-</w:t>
      </w:r>
      <w:proofErr w:type="spellStart"/>
      <w:r w:rsidRPr="294F0AC8">
        <w:rPr>
          <w:b/>
        </w:rPr>
        <w:t>focussed</w:t>
      </w:r>
      <w:proofErr w:type="spellEnd"/>
      <w:r w:rsidRPr="294F0AC8">
        <w:rPr>
          <w:b/>
        </w:rPr>
        <w:t xml:space="preserve"> programs, across the nurturing care spectrum in early education and care services that work with high numbers of Aboriginal and Torres Strait Islander children.</w:t>
      </w:r>
    </w:p>
    <w:p w14:paraId="5FE990FD" w14:textId="06668897" w:rsidR="280C9BAE" w:rsidRDefault="280C9BAE" w:rsidP="280C9BAE">
      <w:pPr>
        <w:pStyle w:val="List3"/>
        <w:rPr>
          <w:rFonts w:eastAsia="Calibri" w:cs="Arial"/>
          <w:szCs w:val="20"/>
        </w:rPr>
      </w:pPr>
    </w:p>
    <w:p w14:paraId="038808E2" w14:textId="7EE6A506" w:rsidR="00271068" w:rsidRPr="00EC1DF7" w:rsidRDefault="294F0AC8" w:rsidP="294F0AC8">
      <w:pPr>
        <w:pStyle w:val="Recommendation"/>
        <w:rPr>
          <w:i/>
          <w:iCs/>
        </w:rPr>
      </w:pPr>
      <w:r w:rsidRPr="294F0AC8">
        <w:rPr>
          <w:color w:val="C00000"/>
        </w:rPr>
        <w:t>Budget impact:</w:t>
      </w:r>
      <w:r>
        <w:rPr>
          <w:b w:val="0"/>
        </w:rPr>
        <w:t xml:space="preserve"> </w:t>
      </w:r>
      <w:r w:rsidRPr="294F0AC8">
        <w:rPr>
          <w:rFonts w:eastAsiaTheme="minorEastAsia"/>
          <w:i/>
          <w:iCs/>
          <w:color w:val="000000" w:themeColor="text1"/>
        </w:rPr>
        <w:t>-$80 million (-$80 million in 2023-24)</w:t>
      </w:r>
    </w:p>
    <w:p w14:paraId="14C96832" w14:textId="77777777" w:rsidR="00271068" w:rsidRDefault="00271068" w:rsidP="00271068">
      <w:pPr>
        <w:pStyle w:val="ListNumber"/>
        <w:numPr>
          <w:ilvl w:val="0"/>
          <w:numId w:val="0"/>
        </w:numPr>
      </w:pPr>
    </w:p>
    <w:p w14:paraId="0DAF1272" w14:textId="173FDAF6" w:rsidR="00271068" w:rsidRPr="7B33A330" w:rsidRDefault="294F0AC8" w:rsidP="001D1B51">
      <w:pPr>
        <w:pStyle w:val="Heading2"/>
        <w:rPr>
          <w:rFonts w:eastAsia="Verdana" w:cs="Verdana"/>
        </w:rPr>
      </w:pPr>
      <w:bookmarkStart w:id="643" w:name="_Toc1469328263"/>
      <w:bookmarkStart w:id="644" w:name="_Toc511638206"/>
      <w:bookmarkStart w:id="645" w:name="_Toc1594716844"/>
      <w:bookmarkStart w:id="646" w:name="_Toc826687963"/>
      <w:bookmarkStart w:id="647" w:name="_Toc44454641"/>
      <w:bookmarkStart w:id="648" w:name="_Toc1511282148"/>
      <w:bookmarkStart w:id="649" w:name="_Toc1916350979"/>
      <w:bookmarkStart w:id="650" w:name="_Toc1478467611"/>
      <w:bookmarkStart w:id="651" w:name="_Toc1167242714"/>
      <w:bookmarkStart w:id="652" w:name="_Toc1910587379"/>
      <w:bookmarkStart w:id="653" w:name="_Toc90983382"/>
      <w:bookmarkStart w:id="654" w:name="_Toc90984645"/>
      <w:r>
        <w:t xml:space="preserve">Establish an Evaluator-General to oversee the evaluation and monitoring of policy, </w:t>
      </w:r>
      <w:proofErr w:type="gramStart"/>
      <w:r>
        <w:t>programs</w:t>
      </w:r>
      <w:proofErr w:type="gramEnd"/>
      <w:r>
        <w:t xml:space="preserve"> and initiatives</w:t>
      </w:r>
      <w:bookmarkEnd w:id="643"/>
      <w:bookmarkEnd w:id="644"/>
      <w:bookmarkEnd w:id="645"/>
      <w:bookmarkEnd w:id="646"/>
      <w:bookmarkEnd w:id="647"/>
      <w:bookmarkEnd w:id="648"/>
      <w:bookmarkEnd w:id="649"/>
      <w:bookmarkEnd w:id="650"/>
      <w:bookmarkEnd w:id="651"/>
      <w:bookmarkEnd w:id="652"/>
      <w:bookmarkEnd w:id="653"/>
      <w:bookmarkEnd w:id="654"/>
    </w:p>
    <w:p w14:paraId="4C79CBDF" w14:textId="3594ACFC" w:rsidR="003A1FEC" w:rsidRDefault="294F0AC8" w:rsidP="294F0AC8">
      <w:pPr>
        <w:spacing w:line="276" w:lineRule="auto"/>
        <w:rPr>
          <w:rFonts w:eastAsia="Verdana" w:cs="Verdana"/>
        </w:rPr>
      </w:pPr>
      <w:r w:rsidRPr="294F0AC8">
        <w:rPr>
          <w:rFonts w:eastAsia="Verdana" w:cs="Verdana"/>
        </w:rPr>
        <w:t xml:space="preserve">Ensuring that programs and initiatives delivered by government are effective is vital so that public money is invested well, and people receive quality services and essential supports to improve their quality of life. </w:t>
      </w:r>
      <w:r w:rsidR="006C7B68">
        <w:rPr>
          <w:rFonts w:eastAsia="Verdana" w:cs="Verdana"/>
        </w:rPr>
        <w:t>A</w:t>
      </w:r>
      <w:r w:rsidRPr="294F0AC8">
        <w:rPr>
          <w:rFonts w:eastAsia="Verdana" w:cs="Verdana"/>
        </w:rPr>
        <w:t xml:space="preserve">fter multiple independent reviews of the Australian Public Service, and various initiatives to improve the quality of proposed regulations, the evaluations of programs remain of inconsistent quality. </w:t>
      </w:r>
    </w:p>
    <w:p w14:paraId="00D8523E" w14:textId="23BD1C76" w:rsidR="00271068" w:rsidRDefault="294F0AC8" w:rsidP="294F0AC8">
      <w:pPr>
        <w:spacing w:line="276" w:lineRule="auto"/>
        <w:rPr>
          <w:rFonts w:eastAsia="Verdana" w:cs="Verdana"/>
        </w:rPr>
      </w:pPr>
      <w:r w:rsidRPr="294F0AC8">
        <w:rPr>
          <w:rFonts w:eastAsia="Verdana" w:cs="Verdana"/>
        </w:rPr>
        <w:t xml:space="preserve">Program reports and associated datasets are not always promptly released when needed; an absence of coordination remains in sharing data across government to improve programs; and lessons from evaluations in other portfolios are not exchanged regularly. This is exacerbated by a chronic overdependence on private sector consultants to bolster public sector policy capability. </w:t>
      </w:r>
    </w:p>
    <w:p w14:paraId="10634F72" w14:textId="3FC3D707" w:rsidR="00271068" w:rsidRDefault="00BB18AC" w:rsidP="5ABE344E">
      <w:pPr>
        <w:spacing w:line="276" w:lineRule="auto"/>
        <w:rPr>
          <w:rFonts w:eastAsia="Verdana" w:cs="Verdana"/>
        </w:rPr>
      </w:pPr>
      <w:r>
        <w:rPr>
          <w:rFonts w:eastAsia="Verdana" w:cs="Verdana"/>
        </w:rPr>
        <w:t>ACOSS calls for the</w:t>
      </w:r>
      <w:r w:rsidR="294F0AC8" w:rsidRPr="294F0AC8">
        <w:rPr>
          <w:rFonts w:eastAsia="Verdana" w:cs="Verdana"/>
        </w:rPr>
        <w:t xml:space="preserve"> establish</w:t>
      </w:r>
      <w:r>
        <w:rPr>
          <w:rFonts w:eastAsia="Verdana" w:cs="Verdana"/>
        </w:rPr>
        <w:t>ment of</w:t>
      </w:r>
      <w:r w:rsidR="294F0AC8" w:rsidRPr="294F0AC8">
        <w:rPr>
          <w:rFonts w:eastAsia="Verdana" w:cs="Verdana"/>
        </w:rPr>
        <w:t xml:space="preserve"> a central oversight agency to improve consistency and coordination in the evaluation of programs across different departments. Creating a </w:t>
      </w:r>
      <w:proofErr w:type="spellStart"/>
      <w:r w:rsidR="294F0AC8" w:rsidRPr="294F0AC8">
        <w:rPr>
          <w:rFonts w:eastAsia="Verdana" w:cs="Verdana"/>
        </w:rPr>
        <w:t>standardised</w:t>
      </w:r>
      <w:proofErr w:type="spellEnd"/>
      <w:r w:rsidR="294F0AC8" w:rsidRPr="294F0AC8">
        <w:rPr>
          <w:rFonts w:eastAsia="Verdana" w:cs="Verdana"/>
        </w:rPr>
        <w:t xml:space="preserve"> and rigorous evaluation framework via a trusted and credible public entity will ultimately improve service design, </w:t>
      </w:r>
      <w:r w:rsidRPr="294F0AC8">
        <w:rPr>
          <w:rFonts w:eastAsia="Verdana" w:cs="Verdana"/>
        </w:rPr>
        <w:t>development,</w:t>
      </w:r>
      <w:r w:rsidR="294F0AC8" w:rsidRPr="294F0AC8">
        <w:rPr>
          <w:rFonts w:eastAsia="Verdana" w:cs="Verdana"/>
        </w:rPr>
        <w:t xml:space="preserve"> and delivery, which in turn improves the institutional memory within the public service. Ultimately, this will go on to improve the lives of people across the country.</w:t>
      </w:r>
    </w:p>
    <w:p w14:paraId="1820BC7C" w14:textId="265AEFF2" w:rsidR="50C11D37" w:rsidRDefault="50C11D37" w:rsidP="50C11D37">
      <w:pPr>
        <w:spacing w:line="276" w:lineRule="auto"/>
        <w:rPr>
          <w:rFonts w:eastAsia="Calibri" w:cs="Arial"/>
          <w:szCs w:val="20"/>
        </w:rPr>
      </w:pPr>
    </w:p>
    <w:p w14:paraId="4CEB8C73" w14:textId="79E05FAF" w:rsidR="00271068" w:rsidRPr="00524C81" w:rsidRDefault="294F0AC8" w:rsidP="00271068">
      <w:pPr>
        <w:pStyle w:val="Recommendation"/>
        <w:rPr>
          <w:color w:val="auto"/>
        </w:rPr>
      </w:pPr>
      <w:r w:rsidRPr="294F0AC8">
        <w:rPr>
          <w:color w:val="C00000"/>
        </w:rPr>
        <w:t>Recommendation 32:</w:t>
      </w:r>
      <w:r>
        <w:t xml:space="preserve"> </w:t>
      </w:r>
      <w:r w:rsidRPr="294F0AC8">
        <w:rPr>
          <w:color w:val="auto"/>
        </w:rPr>
        <w:t xml:space="preserve">A high-level independent body should be established to oversee rigorous evaluation (quantitative and qualitative) of the impact of public policies, </w:t>
      </w:r>
      <w:r w:rsidR="00BB18AC" w:rsidRPr="294F0AC8">
        <w:rPr>
          <w:color w:val="auto"/>
        </w:rPr>
        <w:t>programs,</w:t>
      </w:r>
      <w:r w:rsidRPr="294F0AC8">
        <w:rPr>
          <w:color w:val="auto"/>
        </w:rPr>
        <w:t xml:space="preserve"> and initiatives with maximum input from people who use social services, and evaluations and data should be promptly released (subject to privacy rules).</w:t>
      </w:r>
    </w:p>
    <w:p w14:paraId="0377EEEC" w14:textId="77777777" w:rsidR="00271068" w:rsidRDefault="00271068" w:rsidP="00271068">
      <w:pPr>
        <w:pStyle w:val="Recommendation"/>
        <w:rPr>
          <w:color w:val="000000" w:themeColor="text1"/>
        </w:rPr>
      </w:pPr>
    </w:p>
    <w:p w14:paraId="2B1590BA" w14:textId="3F278A12" w:rsidR="00271068" w:rsidRDefault="294F0AC8" w:rsidP="294F0AC8">
      <w:pPr>
        <w:pStyle w:val="Recommendation"/>
        <w:rPr>
          <w:rFonts w:eastAsiaTheme="minorEastAsia"/>
          <w:color w:val="000000" w:themeColor="text1"/>
        </w:rPr>
      </w:pPr>
      <w:r w:rsidRPr="294F0AC8">
        <w:rPr>
          <w:color w:val="C00000"/>
        </w:rPr>
        <w:t>Budget impact:</w:t>
      </w:r>
      <w:r w:rsidRPr="294F0AC8">
        <w:rPr>
          <w:b w:val="0"/>
          <w:color w:val="C00000"/>
        </w:rPr>
        <w:t xml:space="preserve"> </w:t>
      </w:r>
      <w:r w:rsidRPr="294F0AC8">
        <w:rPr>
          <w:rFonts w:eastAsiaTheme="minorEastAsia"/>
          <w:i/>
          <w:iCs/>
          <w:color w:val="000000" w:themeColor="text1"/>
        </w:rPr>
        <w:t>-$5 million (-$5 million in 2023-24)</w:t>
      </w:r>
    </w:p>
    <w:p w14:paraId="755E03DD" w14:textId="77777777" w:rsidR="00271068" w:rsidRDefault="00271068" w:rsidP="00271068">
      <w:pPr>
        <w:pStyle w:val="ListNumber"/>
        <w:numPr>
          <w:ilvl w:val="0"/>
          <w:numId w:val="0"/>
        </w:numPr>
      </w:pPr>
    </w:p>
    <w:p w14:paraId="4AF29880" w14:textId="2FC3A600" w:rsidR="06C75BC8" w:rsidRDefault="294F0AC8" w:rsidP="001D1B51">
      <w:pPr>
        <w:pStyle w:val="Heading2"/>
        <w:rPr>
          <w:rFonts w:eastAsia="Verdana" w:cs="Verdana"/>
        </w:rPr>
      </w:pPr>
      <w:bookmarkStart w:id="655" w:name="_Toc309788964"/>
      <w:bookmarkStart w:id="656" w:name="_Toc1715718993"/>
      <w:bookmarkStart w:id="657" w:name="_Toc216595052"/>
      <w:bookmarkStart w:id="658" w:name="_Toc2107717683"/>
      <w:bookmarkStart w:id="659" w:name="_Toc992021148"/>
      <w:bookmarkStart w:id="660" w:name="_Toc1718952155"/>
      <w:bookmarkStart w:id="661" w:name="_Toc1494516436"/>
      <w:bookmarkStart w:id="662" w:name="_Toc1077290244"/>
      <w:bookmarkStart w:id="663" w:name="_Toc526774011"/>
      <w:bookmarkStart w:id="664" w:name="_Toc465487341"/>
      <w:bookmarkStart w:id="665" w:name="_Toc90983383"/>
      <w:bookmarkStart w:id="666" w:name="_Toc90984646"/>
      <w:r>
        <w:t xml:space="preserve">Conduct a service needs analysis to inform investment decisions </w:t>
      </w:r>
      <w:bookmarkEnd w:id="655"/>
      <w:bookmarkEnd w:id="656"/>
      <w:bookmarkEnd w:id="657"/>
      <w:bookmarkEnd w:id="658"/>
      <w:bookmarkEnd w:id="659"/>
      <w:bookmarkEnd w:id="660"/>
      <w:bookmarkEnd w:id="661"/>
      <w:bookmarkEnd w:id="662"/>
      <w:bookmarkEnd w:id="663"/>
      <w:bookmarkEnd w:id="664"/>
      <w:bookmarkEnd w:id="665"/>
      <w:bookmarkEnd w:id="666"/>
    </w:p>
    <w:p w14:paraId="15A8A890" w14:textId="03150A09" w:rsidR="2ABF7A19" w:rsidRDefault="2ABF7A19" w:rsidP="294F0AC8">
      <w:pPr>
        <w:rPr>
          <w:rFonts w:eastAsia="Verdana" w:cs="Verdana"/>
        </w:rPr>
      </w:pPr>
      <w:r w:rsidRPr="294F0AC8">
        <w:rPr>
          <w:rFonts w:eastAsia="Verdana" w:cs="Verdana"/>
        </w:rPr>
        <w:t xml:space="preserve">Our research has demonstrated that </w:t>
      </w:r>
      <w:r w:rsidR="6C1A94E7" w:rsidRPr="294F0AC8">
        <w:rPr>
          <w:rFonts w:eastAsia="Verdana" w:cs="Verdana"/>
        </w:rPr>
        <w:t xml:space="preserve">the pandemic has had a </w:t>
      </w:r>
      <w:r w:rsidR="720B3243" w:rsidRPr="294F0AC8">
        <w:rPr>
          <w:rFonts w:eastAsia="Verdana" w:cs="Verdana"/>
        </w:rPr>
        <w:t>significant</w:t>
      </w:r>
      <w:r w:rsidR="6C1A94E7" w:rsidRPr="294F0AC8">
        <w:rPr>
          <w:rFonts w:eastAsia="Verdana" w:cs="Verdana"/>
        </w:rPr>
        <w:t xml:space="preserve"> impact on people experiencing poverty and disadvantage. N</w:t>
      </w:r>
      <w:r w:rsidR="7ECA25F1" w:rsidRPr="294F0AC8">
        <w:rPr>
          <w:rFonts w:eastAsia="Verdana" w:cs="Verdana"/>
        </w:rPr>
        <w:t>ot only ha</w:t>
      </w:r>
      <w:r w:rsidR="4840D8DB" w:rsidRPr="294F0AC8">
        <w:rPr>
          <w:rFonts w:eastAsia="Verdana" w:cs="Verdana"/>
        </w:rPr>
        <w:t xml:space="preserve">ve </w:t>
      </w:r>
      <w:r w:rsidR="50D972BA" w:rsidRPr="294F0AC8">
        <w:rPr>
          <w:rFonts w:eastAsia="Verdana" w:cs="Verdana"/>
        </w:rPr>
        <w:t xml:space="preserve">community </w:t>
      </w:r>
      <w:r w:rsidR="4840D8DB" w:rsidRPr="294F0AC8">
        <w:rPr>
          <w:rFonts w:eastAsia="Verdana" w:cs="Verdana"/>
        </w:rPr>
        <w:t>service providers observed rising levels of poverty as well as increased demand</w:t>
      </w:r>
      <w:r w:rsidR="17E3E169" w:rsidRPr="294F0AC8">
        <w:rPr>
          <w:rFonts w:eastAsia="Verdana" w:cs="Verdana"/>
        </w:rPr>
        <w:t xml:space="preserve"> for </w:t>
      </w:r>
      <w:r w:rsidR="4250CD6A" w:rsidRPr="294F0AC8">
        <w:rPr>
          <w:rFonts w:eastAsia="Verdana" w:cs="Verdana"/>
        </w:rPr>
        <w:t xml:space="preserve">essential </w:t>
      </w:r>
      <w:r w:rsidR="17E3E169" w:rsidRPr="294F0AC8">
        <w:rPr>
          <w:rFonts w:eastAsia="Verdana" w:cs="Verdana"/>
        </w:rPr>
        <w:t>services</w:t>
      </w:r>
      <w:r w:rsidR="00247C7C" w:rsidRPr="294F0AC8">
        <w:rPr>
          <w:rFonts w:eastAsia="Verdana" w:cs="Verdana"/>
        </w:rPr>
        <w:t xml:space="preserve">, but the complexity of need </w:t>
      </w:r>
      <w:r w:rsidR="25300F15" w:rsidRPr="294F0AC8">
        <w:rPr>
          <w:rFonts w:eastAsia="Verdana" w:cs="Verdana"/>
        </w:rPr>
        <w:t>for</w:t>
      </w:r>
      <w:r w:rsidR="00247C7C" w:rsidRPr="294F0AC8">
        <w:rPr>
          <w:rFonts w:eastAsia="Verdana" w:cs="Verdana"/>
        </w:rPr>
        <w:t xml:space="preserve"> people</w:t>
      </w:r>
      <w:r w:rsidR="1104CC76" w:rsidRPr="294F0AC8">
        <w:rPr>
          <w:rFonts w:eastAsia="Verdana" w:cs="Verdana"/>
        </w:rPr>
        <w:t xml:space="preserve"> </w:t>
      </w:r>
      <w:r w:rsidR="00247C7C" w:rsidRPr="294F0AC8">
        <w:rPr>
          <w:rFonts w:eastAsia="Verdana" w:cs="Verdana"/>
        </w:rPr>
        <w:t xml:space="preserve">seeking assistance has </w:t>
      </w:r>
      <w:r w:rsidR="45BE45F1" w:rsidRPr="294F0AC8">
        <w:rPr>
          <w:rFonts w:eastAsia="Verdana" w:cs="Verdana"/>
        </w:rPr>
        <w:t xml:space="preserve">also </w:t>
      </w:r>
      <w:r w:rsidR="00247C7C" w:rsidRPr="294F0AC8">
        <w:rPr>
          <w:rFonts w:eastAsia="Verdana" w:cs="Verdana"/>
        </w:rPr>
        <w:t>increased.</w:t>
      </w:r>
      <w:r w:rsidR="777094C1" w:rsidRPr="294F0AC8">
        <w:rPr>
          <w:rFonts w:eastAsia="Verdana" w:cs="Verdana"/>
        </w:rPr>
        <w:t xml:space="preserve"> This has been most noticeable in housing and homelessness, child, family and youth and mental health services.</w:t>
      </w:r>
      <w:r w:rsidR="189B23ED" w:rsidRPr="294F0AC8">
        <w:rPr>
          <w:rFonts w:eastAsia="Verdana" w:cs="Verdana"/>
        </w:rPr>
        <w:t xml:space="preserve"> </w:t>
      </w:r>
    </w:p>
    <w:p w14:paraId="25E18BC9" w14:textId="2895E943" w:rsidR="2ABF7A19" w:rsidRDefault="189B23ED" w:rsidP="294F0AC8">
      <w:pPr>
        <w:rPr>
          <w:rFonts w:eastAsia="Verdana" w:cs="Verdana"/>
        </w:rPr>
      </w:pPr>
      <w:r w:rsidRPr="294F0AC8">
        <w:rPr>
          <w:rFonts w:eastAsia="Verdana" w:cs="Verdana"/>
        </w:rPr>
        <w:t xml:space="preserve">Part of our national recovery must be developing a more sophisticated understanding of how the need for community services has changed over the past two years, and how to </w:t>
      </w:r>
      <w:r w:rsidRPr="294F0AC8">
        <w:rPr>
          <w:rFonts w:eastAsia="Verdana" w:cs="Verdana"/>
        </w:rPr>
        <w:lastRenderedPageBreak/>
        <w:t>best address it.</w:t>
      </w:r>
      <w:r w:rsidR="3948B154" w:rsidRPr="294F0AC8">
        <w:rPr>
          <w:rFonts w:eastAsia="Verdana" w:cs="Verdana"/>
        </w:rPr>
        <w:t xml:space="preserve"> Developing this evidence base would greatly assist the government to target its investment in areas where the need</w:t>
      </w:r>
      <w:r w:rsidR="09603093" w:rsidRPr="294F0AC8">
        <w:rPr>
          <w:rFonts w:eastAsia="Verdana" w:cs="Verdana"/>
        </w:rPr>
        <w:t xml:space="preserve"> for assistance</w:t>
      </w:r>
      <w:r w:rsidR="3948B154" w:rsidRPr="294F0AC8">
        <w:rPr>
          <w:rFonts w:eastAsia="Verdana" w:cs="Verdana"/>
        </w:rPr>
        <w:t xml:space="preserve"> is more acute</w:t>
      </w:r>
      <w:r w:rsidR="42F22F66" w:rsidRPr="294F0AC8">
        <w:rPr>
          <w:rFonts w:eastAsia="Verdana" w:cs="Verdana"/>
        </w:rPr>
        <w:t xml:space="preserve"> both in terms of population cohorts and geography</w:t>
      </w:r>
      <w:r w:rsidR="3948B154" w:rsidRPr="294F0AC8">
        <w:rPr>
          <w:rFonts w:eastAsia="Verdana" w:cs="Verdana"/>
        </w:rPr>
        <w:t xml:space="preserve">. </w:t>
      </w:r>
      <w:r w:rsidR="748B0C64" w:rsidRPr="294F0AC8">
        <w:rPr>
          <w:rFonts w:eastAsia="Verdana" w:cs="Verdana"/>
        </w:rPr>
        <w:t>This would be of assistance to t</w:t>
      </w:r>
      <w:r w:rsidR="7A640A93" w:rsidRPr="294F0AC8">
        <w:rPr>
          <w:rFonts w:eastAsia="Verdana" w:cs="Verdana"/>
        </w:rPr>
        <w:t>he</w:t>
      </w:r>
      <w:r w:rsidR="21153D15" w:rsidRPr="294F0AC8">
        <w:rPr>
          <w:rFonts w:eastAsia="Verdana" w:cs="Verdana"/>
        </w:rPr>
        <w:t xml:space="preserve"> Federal Government and the</w:t>
      </w:r>
      <w:r w:rsidR="7A640A93" w:rsidRPr="294F0AC8">
        <w:rPr>
          <w:rFonts w:eastAsia="Verdana" w:cs="Verdana"/>
        </w:rPr>
        <w:t xml:space="preserve"> state</w:t>
      </w:r>
      <w:r w:rsidR="6136FDE5" w:rsidRPr="294F0AC8">
        <w:rPr>
          <w:rFonts w:eastAsia="Verdana" w:cs="Verdana"/>
        </w:rPr>
        <w:t>s</w:t>
      </w:r>
      <w:r w:rsidR="7A640A93" w:rsidRPr="294F0AC8">
        <w:rPr>
          <w:rFonts w:eastAsia="Verdana" w:cs="Verdana"/>
        </w:rPr>
        <w:t xml:space="preserve"> and territor</w:t>
      </w:r>
      <w:r w:rsidR="55737172" w:rsidRPr="294F0AC8">
        <w:rPr>
          <w:rFonts w:eastAsia="Verdana" w:cs="Verdana"/>
        </w:rPr>
        <w:t>ies</w:t>
      </w:r>
      <w:r w:rsidR="6378463A" w:rsidRPr="294F0AC8">
        <w:rPr>
          <w:rFonts w:eastAsia="Verdana" w:cs="Verdana"/>
        </w:rPr>
        <w:t xml:space="preserve">, given these combined levels of government </w:t>
      </w:r>
      <w:r w:rsidR="7A640A93" w:rsidRPr="294F0AC8">
        <w:rPr>
          <w:rFonts w:eastAsia="Verdana" w:cs="Verdana"/>
        </w:rPr>
        <w:t>spent $48 billion on community services in 2019-2</w:t>
      </w:r>
      <w:r w:rsidR="77E9A793" w:rsidRPr="294F0AC8">
        <w:rPr>
          <w:rFonts w:eastAsia="Verdana" w:cs="Verdana"/>
        </w:rPr>
        <w:t>0</w:t>
      </w:r>
      <w:r w:rsidR="656DB360" w:rsidRPr="294F0AC8">
        <w:rPr>
          <w:rFonts w:eastAsia="Verdana" w:cs="Verdana"/>
        </w:rPr>
        <w:t>.</w:t>
      </w:r>
      <w:r w:rsidR="2ABF7A19" w:rsidRPr="294F0AC8">
        <w:rPr>
          <w:rStyle w:val="FootnoteReference"/>
          <w:rFonts w:eastAsia="Verdana" w:cs="Verdana"/>
        </w:rPr>
        <w:footnoteReference w:id="29"/>
      </w:r>
      <w:r w:rsidR="14B6306D" w:rsidRPr="294F0AC8">
        <w:rPr>
          <w:rFonts w:eastAsia="Verdana" w:cs="Verdana"/>
        </w:rPr>
        <w:t xml:space="preserve"> </w:t>
      </w:r>
    </w:p>
    <w:p w14:paraId="713704FB" w14:textId="46A76282" w:rsidR="06C75BC8" w:rsidRDefault="294F0AC8" w:rsidP="79A6475B">
      <w:pPr>
        <w:spacing w:line="276" w:lineRule="auto"/>
        <w:rPr>
          <w:rFonts w:eastAsia="Verdana" w:cs="Verdana"/>
          <w:b/>
          <w:bCs/>
        </w:rPr>
      </w:pPr>
      <w:r w:rsidRPr="294F0AC8">
        <w:rPr>
          <w:rFonts w:eastAsia="Verdana" w:cs="Verdana"/>
          <w:b/>
          <w:bCs/>
          <w:color w:val="C00000"/>
        </w:rPr>
        <w:t xml:space="preserve">Recommendation 33: </w:t>
      </w:r>
      <w:r w:rsidRPr="294F0AC8">
        <w:rPr>
          <w:rFonts w:eastAsia="Verdana" w:cs="Verdana"/>
          <w:b/>
          <w:bCs/>
        </w:rPr>
        <w:t>Allocation of funding should be based on a comprehensive service needs analysis and demand mapping exercise, conducted in partnership with the community sector and communities across Australia.</w:t>
      </w:r>
    </w:p>
    <w:p w14:paraId="3AABB010" w14:textId="1B8AB657" w:rsidR="001D419B" w:rsidRDefault="06C75BC8" w:rsidP="001D419B">
      <w:pPr>
        <w:spacing w:line="276" w:lineRule="auto"/>
        <w:rPr>
          <w:b/>
          <w:color w:val="auto"/>
        </w:rPr>
      </w:pPr>
      <w:r w:rsidRPr="79A6475B">
        <w:rPr>
          <w:b/>
          <w:bCs/>
          <w:color w:val="C00000"/>
        </w:rPr>
        <w:t xml:space="preserve">Budget impact: </w:t>
      </w:r>
      <w:r w:rsidRPr="280C9BAE">
        <w:rPr>
          <w:b/>
          <w:i/>
          <w:color w:val="auto"/>
        </w:rPr>
        <w:t>-$10 million</w:t>
      </w:r>
      <w:r w:rsidRPr="280C9BAE">
        <w:rPr>
          <w:b/>
          <w:color w:val="auto"/>
        </w:rPr>
        <w:t xml:space="preserve"> </w:t>
      </w:r>
      <w:r w:rsidR="280C9BAE" w:rsidRPr="280C9BAE">
        <w:rPr>
          <w:b/>
          <w:bCs/>
          <w:color w:val="auto"/>
        </w:rPr>
        <w:t>($</w:t>
      </w:r>
      <w:r w:rsidRPr="280C9BAE">
        <w:rPr>
          <w:b/>
          <w:color w:val="auto"/>
        </w:rPr>
        <w:t>0 in 2023</w:t>
      </w:r>
      <w:r w:rsidR="280C9BAE" w:rsidRPr="280C9BAE">
        <w:rPr>
          <w:b/>
          <w:bCs/>
          <w:color w:val="auto"/>
        </w:rPr>
        <w:t>-</w:t>
      </w:r>
      <w:r w:rsidRPr="280C9BAE">
        <w:rPr>
          <w:b/>
          <w:color w:val="auto"/>
        </w:rPr>
        <w:t>24)</w:t>
      </w:r>
    </w:p>
    <w:p w14:paraId="1B98D969" w14:textId="4034B65A" w:rsidR="00271068" w:rsidRPr="7B33A330" w:rsidRDefault="294F0AC8" w:rsidP="001D1B51">
      <w:pPr>
        <w:pStyle w:val="Heading2"/>
        <w:rPr>
          <w:rFonts w:eastAsia="Verdana" w:cs="Verdana"/>
        </w:rPr>
      </w:pPr>
      <w:bookmarkStart w:id="667" w:name="_Toc203011495"/>
      <w:bookmarkStart w:id="668" w:name="_Toc1424119627"/>
      <w:bookmarkStart w:id="669" w:name="_Toc1183505475"/>
      <w:bookmarkStart w:id="670" w:name="_Toc596065859"/>
      <w:bookmarkStart w:id="671" w:name="_Toc1457794803"/>
      <w:bookmarkStart w:id="672" w:name="_Toc1099172755"/>
      <w:bookmarkStart w:id="673" w:name="_Toc1445250861"/>
      <w:bookmarkStart w:id="674" w:name="_Toc1546885092"/>
      <w:bookmarkStart w:id="675" w:name="_Toc1370970431"/>
      <w:bookmarkStart w:id="676" w:name="_Toc2136900056"/>
      <w:bookmarkStart w:id="677" w:name="_Toc90983384"/>
      <w:bookmarkStart w:id="678" w:name="_Toc90984647"/>
      <w:r>
        <w:t xml:space="preserve">Increase funding to peaks and advocacy </w:t>
      </w:r>
      <w:proofErr w:type="spellStart"/>
      <w:r>
        <w:t>organisations</w:t>
      </w:r>
      <w:proofErr w:type="spellEnd"/>
      <w:r>
        <w:t xml:space="preserve"> to ensure </w:t>
      </w:r>
      <w:proofErr w:type="spellStart"/>
      <w:r>
        <w:t>marginalised</w:t>
      </w:r>
      <w:proofErr w:type="spellEnd"/>
      <w:r>
        <w:t xml:space="preserve"> voices are heard in public and policy debates</w:t>
      </w:r>
      <w:bookmarkEnd w:id="667"/>
      <w:bookmarkEnd w:id="668"/>
      <w:bookmarkEnd w:id="669"/>
      <w:bookmarkEnd w:id="670"/>
      <w:bookmarkEnd w:id="671"/>
      <w:bookmarkEnd w:id="672"/>
      <w:bookmarkEnd w:id="673"/>
      <w:bookmarkEnd w:id="674"/>
      <w:bookmarkEnd w:id="675"/>
      <w:bookmarkEnd w:id="676"/>
      <w:bookmarkEnd w:id="677"/>
      <w:bookmarkEnd w:id="678"/>
    </w:p>
    <w:p w14:paraId="0BFA4DFF" w14:textId="5447D0AB" w:rsidR="5ABE344E" w:rsidRDefault="575E12F8" w:rsidP="79A6475B">
      <w:pPr>
        <w:spacing w:line="276" w:lineRule="auto"/>
        <w:rPr>
          <w:rFonts w:eastAsia="Verdana" w:cs="Verdana"/>
        </w:rPr>
      </w:pPr>
      <w:r w:rsidRPr="79A6475B">
        <w:rPr>
          <w:rFonts w:eastAsia="Verdana" w:cs="Verdana"/>
        </w:rPr>
        <w:t>The community sector makes a vital contribution to the development of</w:t>
      </w:r>
      <w:r w:rsidR="019E6569" w:rsidRPr="79A6475B">
        <w:rPr>
          <w:rFonts w:eastAsia="Verdana" w:cs="Verdana"/>
        </w:rPr>
        <w:t xml:space="preserve"> </w:t>
      </w:r>
      <w:r w:rsidRPr="79A6475B">
        <w:rPr>
          <w:rFonts w:eastAsia="Verdana" w:cs="Verdana"/>
        </w:rPr>
        <w:t>policy</w:t>
      </w:r>
      <w:r w:rsidR="562F21E1" w:rsidRPr="79A6475B">
        <w:rPr>
          <w:rFonts w:eastAsia="Verdana" w:cs="Verdana"/>
        </w:rPr>
        <w:t>, the improved performance of</w:t>
      </w:r>
      <w:r w:rsidR="4625AEDC" w:rsidRPr="79A6475B">
        <w:rPr>
          <w:rFonts w:eastAsia="Verdana" w:cs="Verdana"/>
        </w:rPr>
        <w:t xml:space="preserve"> public</w:t>
      </w:r>
      <w:r w:rsidR="562F21E1" w:rsidRPr="79A6475B">
        <w:rPr>
          <w:rFonts w:eastAsia="Verdana" w:cs="Verdana"/>
        </w:rPr>
        <w:t xml:space="preserve"> departments and</w:t>
      </w:r>
      <w:r w:rsidRPr="79A6475B">
        <w:rPr>
          <w:rFonts w:eastAsia="Verdana" w:cs="Verdana"/>
        </w:rPr>
        <w:t xml:space="preserve"> the </w:t>
      </w:r>
      <w:r w:rsidR="1BE55C6C" w:rsidRPr="79A6475B">
        <w:rPr>
          <w:rFonts w:eastAsia="Verdana" w:cs="Verdana"/>
        </w:rPr>
        <w:t>accountability of the Federal Government</w:t>
      </w:r>
      <w:r w:rsidRPr="79A6475B">
        <w:rPr>
          <w:rFonts w:eastAsia="Verdana" w:cs="Verdana"/>
        </w:rPr>
        <w:t xml:space="preserve"> via</w:t>
      </w:r>
      <w:r w:rsidR="05CE9E8B" w:rsidRPr="79A6475B">
        <w:rPr>
          <w:rFonts w:eastAsia="Verdana" w:cs="Verdana"/>
        </w:rPr>
        <w:t xml:space="preserve"> systemic advocacy on behalf of people who struggle </w:t>
      </w:r>
      <w:r w:rsidR="730DFDCF" w:rsidRPr="79A6475B">
        <w:rPr>
          <w:rFonts w:eastAsia="Verdana" w:cs="Verdana"/>
        </w:rPr>
        <w:t>to have their voices heard</w:t>
      </w:r>
      <w:r w:rsidR="05CE9E8B" w:rsidRPr="79A6475B">
        <w:rPr>
          <w:rFonts w:eastAsia="Verdana" w:cs="Verdana"/>
        </w:rPr>
        <w:t xml:space="preserve"> in Canberra.</w:t>
      </w:r>
      <w:r w:rsidR="196C27C2" w:rsidRPr="79A6475B">
        <w:rPr>
          <w:rFonts w:eastAsia="Verdana" w:cs="Verdana"/>
        </w:rPr>
        <w:t xml:space="preserve"> </w:t>
      </w:r>
      <w:r w:rsidR="00C36DDD">
        <w:rPr>
          <w:rFonts w:eastAsia="Verdana" w:cs="Verdana"/>
        </w:rPr>
        <w:t>This</w:t>
      </w:r>
      <w:r w:rsidR="6F64CD66" w:rsidRPr="79A6475B">
        <w:rPr>
          <w:rFonts w:eastAsia="Verdana" w:cs="Verdana"/>
        </w:rPr>
        <w:t xml:space="preserve"> is fundamental to a robust and vibrant civil society in Australia, </w:t>
      </w:r>
      <w:r w:rsidR="1F878419" w:rsidRPr="79A6475B">
        <w:rPr>
          <w:rFonts w:eastAsia="Verdana" w:cs="Verdana"/>
        </w:rPr>
        <w:t xml:space="preserve">ensuring issues important to people experiencing poverty, disadvantage and hardship are addressed as </w:t>
      </w:r>
      <w:r w:rsidR="6CAE97C9" w:rsidRPr="79A6475B">
        <w:rPr>
          <w:rFonts w:eastAsia="Verdana" w:cs="Verdana"/>
        </w:rPr>
        <w:t xml:space="preserve">policy </w:t>
      </w:r>
      <w:r w:rsidR="1F878419" w:rsidRPr="79A6475B">
        <w:rPr>
          <w:rFonts w:eastAsia="Verdana" w:cs="Verdana"/>
        </w:rPr>
        <w:t>priorit</w:t>
      </w:r>
      <w:r w:rsidR="1E59F383" w:rsidRPr="79A6475B">
        <w:rPr>
          <w:rFonts w:eastAsia="Verdana" w:cs="Verdana"/>
        </w:rPr>
        <w:t>ies</w:t>
      </w:r>
      <w:r w:rsidR="1F878419" w:rsidRPr="79A6475B">
        <w:rPr>
          <w:rFonts w:eastAsia="Verdana" w:cs="Verdana"/>
        </w:rPr>
        <w:t>.</w:t>
      </w:r>
    </w:p>
    <w:p w14:paraId="4B1BE067" w14:textId="1010E8A9" w:rsidR="5ABE344E" w:rsidRDefault="294F0AC8" w:rsidP="79A6475B">
      <w:pPr>
        <w:spacing w:line="276" w:lineRule="auto"/>
        <w:rPr>
          <w:rFonts w:eastAsia="Calibri" w:cs="Arial"/>
        </w:rPr>
      </w:pPr>
      <w:r w:rsidRPr="294F0AC8">
        <w:rPr>
          <w:rFonts w:eastAsia="Verdana" w:cs="Verdana"/>
        </w:rPr>
        <w:t xml:space="preserve">However, over the past eight years, we have seen funding cuts to </w:t>
      </w:r>
      <w:proofErr w:type="spellStart"/>
      <w:r w:rsidRPr="294F0AC8">
        <w:rPr>
          <w:rFonts w:eastAsia="Verdana" w:cs="Verdana"/>
        </w:rPr>
        <w:t>organisations</w:t>
      </w:r>
      <w:proofErr w:type="spellEnd"/>
      <w:r w:rsidRPr="294F0AC8">
        <w:rPr>
          <w:rFonts w:eastAsia="Verdana" w:cs="Verdana"/>
        </w:rPr>
        <w:t xml:space="preserve"> representing Aboriginal and Torres Strait Islander peoples, LGBTQI people, children and young people, refugees and migrants, people experiencing homelessness or struggling in the housing market to name some key groups. After a period of flexibility and support from funding bodies during COVID-19, we are concerned that the next parliamentary cycle will bring further, repeated cuts to peak bodies and other advocacy </w:t>
      </w:r>
      <w:proofErr w:type="spellStart"/>
      <w:r w:rsidRPr="294F0AC8">
        <w:rPr>
          <w:rFonts w:eastAsia="Verdana" w:cs="Verdana"/>
        </w:rPr>
        <w:t>organisations</w:t>
      </w:r>
      <w:proofErr w:type="spellEnd"/>
      <w:r w:rsidR="00C36DDD">
        <w:rPr>
          <w:rFonts w:eastAsia="Verdana" w:cs="Verdana"/>
        </w:rPr>
        <w:t>.</w:t>
      </w:r>
      <w:r w:rsidRPr="294F0AC8">
        <w:rPr>
          <w:rFonts w:eastAsia="Verdana" w:cs="Verdana"/>
        </w:rPr>
        <w:t xml:space="preserve"> Reduced funding combined with silencing the sector is a major concern for the good governance of Australia. </w:t>
      </w:r>
    </w:p>
    <w:p w14:paraId="6784FD1E" w14:textId="6A1FBDFF" w:rsidR="5ABE344E" w:rsidRDefault="5ABE344E" w:rsidP="79A6475B">
      <w:pPr>
        <w:spacing w:line="276" w:lineRule="auto"/>
        <w:rPr>
          <w:rFonts w:eastAsia="Calibri" w:cs="Arial"/>
          <w:szCs w:val="20"/>
        </w:rPr>
      </w:pPr>
      <w:r w:rsidRPr="79A6475B">
        <w:rPr>
          <w:rFonts w:eastAsia="Verdana" w:cs="Verdana"/>
        </w:rPr>
        <w:t>It is crucial that</w:t>
      </w:r>
      <w:r w:rsidR="6B6F8F1A" w:rsidRPr="79A6475B">
        <w:rPr>
          <w:rFonts w:eastAsia="Verdana" w:cs="Verdana"/>
        </w:rPr>
        <w:t xml:space="preserve"> the above trend is reversed, and that</w:t>
      </w:r>
      <w:r w:rsidRPr="79A6475B">
        <w:rPr>
          <w:rFonts w:eastAsia="Verdana" w:cs="Verdana"/>
        </w:rPr>
        <w:t xml:space="preserve"> the</w:t>
      </w:r>
      <w:r w:rsidR="75B4A35A" w:rsidRPr="79A6475B">
        <w:rPr>
          <w:rFonts w:eastAsia="Verdana" w:cs="Verdana"/>
        </w:rPr>
        <w:t xml:space="preserve"> community</w:t>
      </w:r>
      <w:r w:rsidRPr="79A6475B">
        <w:rPr>
          <w:rFonts w:eastAsia="Verdana" w:cs="Verdana"/>
        </w:rPr>
        <w:t xml:space="preserve"> sector's advocacy activities are</w:t>
      </w:r>
      <w:r w:rsidR="4795D30E" w:rsidRPr="79A6475B">
        <w:rPr>
          <w:rFonts w:eastAsia="Verdana" w:cs="Verdana"/>
        </w:rPr>
        <w:t xml:space="preserve"> funded,</w:t>
      </w:r>
      <w:r w:rsidRPr="79A6475B">
        <w:rPr>
          <w:rFonts w:eastAsia="Verdana" w:cs="Verdana"/>
        </w:rPr>
        <w:t xml:space="preserve"> </w:t>
      </w:r>
      <w:r w:rsidR="00C36DDD" w:rsidRPr="79A6475B">
        <w:rPr>
          <w:rFonts w:eastAsia="Verdana" w:cs="Verdana"/>
        </w:rPr>
        <w:t>safeguarded,</w:t>
      </w:r>
      <w:r w:rsidRPr="79A6475B">
        <w:rPr>
          <w:rFonts w:eastAsia="Verdana" w:cs="Verdana"/>
        </w:rPr>
        <w:t xml:space="preserve"> and guaranteed.</w:t>
      </w:r>
      <w:r w:rsidR="4FBE8847" w:rsidRPr="79A6475B">
        <w:rPr>
          <w:rFonts w:eastAsia="Verdana" w:cs="Verdana"/>
        </w:rPr>
        <w:t xml:space="preserve"> With only a modest financial investment,</w:t>
      </w:r>
      <w:r w:rsidR="178F355B" w:rsidRPr="79A6475B">
        <w:rPr>
          <w:rFonts w:eastAsia="Verdana" w:cs="Verdana"/>
        </w:rPr>
        <w:t xml:space="preserve"> peaks and other advocacy </w:t>
      </w:r>
      <w:proofErr w:type="spellStart"/>
      <w:r w:rsidR="178F355B" w:rsidRPr="79A6475B">
        <w:rPr>
          <w:rFonts w:eastAsia="Verdana" w:cs="Verdana"/>
        </w:rPr>
        <w:t>organisations</w:t>
      </w:r>
      <w:proofErr w:type="spellEnd"/>
      <w:r w:rsidR="4FBE8847" w:rsidRPr="79A6475B">
        <w:rPr>
          <w:rFonts w:eastAsia="Verdana" w:cs="Verdana"/>
        </w:rPr>
        <w:t xml:space="preserve"> can undertake highly effective</w:t>
      </w:r>
      <w:r w:rsidR="00C36DDD">
        <w:rPr>
          <w:rFonts w:eastAsia="Verdana" w:cs="Verdana"/>
        </w:rPr>
        <w:t xml:space="preserve"> </w:t>
      </w:r>
      <w:r w:rsidR="4FBE8847" w:rsidRPr="79A6475B">
        <w:rPr>
          <w:rFonts w:eastAsia="Verdana" w:cs="Verdana"/>
        </w:rPr>
        <w:t>and respected advocacy</w:t>
      </w:r>
      <w:r w:rsidR="40F8520F" w:rsidRPr="79A6475B">
        <w:rPr>
          <w:rFonts w:eastAsia="Verdana" w:cs="Verdana"/>
        </w:rPr>
        <w:t xml:space="preserve"> that </w:t>
      </w:r>
      <w:r w:rsidR="00C36DDD">
        <w:rPr>
          <w:rFonts w:eastAsia="Verdana" w:cs="Verdana"/>
        </w:rPr>
        <w:t>delivers</w:t>
      </w:r>
      <w:r w:rsidR="40F8520F" w:rsidRPr="79A6475B">
        <w:rPr>
          <w:rFonts w:eastAsia="Verdana" w:cs="Verdana"/>
        </w:rPr>
        <w:t xml:space="preserve"> a significant return on investment</w:t>
      </w:r>
      <w:r w:rsidR="4FBE8847" w:rsidRPr="79A6475B">
        <w:rPr>
          <w:rFonts w:eastAsia="Verdana" w:cs="Verdana"/>
        </w:rPr>
        <w:t>.</w:t>
      </w:r>
    </w:p>
    <w:p w14:paraId="1704FB1E" w14:textId="5655056C" w:rsidR="00271068" w:rsidRDefault="294F0AC8" w:rsidP="00271068">
      <w:pPr>
        <w:pStyle w:val="Recommendation"/>
        <w:rPr>
          <w:color w:val="auto"/>
        </w:rPr>
      </w:pPr>
      <w:r w:rsidRPr="294F0AC8">
        <w:rPr>
          <w:color w:val="C00000"/>
        </w:rPr>
        <w:t>Recommendation 34:</w:t>
      </w:r>
      <w:r w:rsidRPr="294F0AC8">
        <w:rPr>
          <w:color w:val="auto"/>
        </w:rPr>
        <w:t xml:space="preserve"> </w:t>
      </w:r>
      <w:r w:rsidR="00C36DDD" w:rsidRPr="294F0AC8">
        <w:rPr>
          <w:color w:val="auto"/>
        </w:rPr>
        <w:t>To</w:t>
      </w:r>
      <w:r w:rsidRPr="294F0AC8">
        <w:rPr>
          <w:color w:val="auto"/>
        </w:rPr>
        <w:t xml:space="preserve"> ensure that everyone’s voice is heard in our public debate, peak bodies and advocacy </w:t>
      </w:r>
      <w:proofErr w:type="spellStart"/>
      <w:r w:rsidRPr="294F0AC8">
        <w:rPr>
          <w:color w:val="auto"/>
        </w:rPr>
        <w:t>organisations</w:t>
      </w:r>
      <w:proofErr w:type="spellEnd"/>
      <w:r w:rsidRPr="294F0AC8">
        <w:rPr>
          <w:color w:val="auto"/>
        </w:rPr>
        <w:t xml:space="preserve"> representing people facing disadvantage should be adequately funded. </w:t>
      </w:r>
    </w:p>
    <w:p w14:paraId="35227023" w14:textId="77777777" w:rsidR="00271068" w:rsidRPr="00524C81" w:rsidRDefault="00271068" w:rsidP="00271068">
      <w:pPr>
        <w:pStyle w:val="Recommendation"/>
        <w:rPr>
          <w:rFonts w:eastAsia="Verdana" w:cs="Verdana"/>
          <w:bCs/>
          <w:color w:val="auto"/>
          <w:szCs w:val="20"/>
        </w:rPr>
      </w:pPr>
      <w:r w:rsidRPr="7B33A330">
        <w:rPr>
          <w:color w:val="auto"/>
        </w:rPr>
        <w:t xml:space="preserve"> </w:t>
      </w:r>
    </w:p>
    <w:p w14:paraId="4D8F5D05" w14:textId="16BD3C8A" w:rsidR="00E40FC5" w:rsidRPr="00271068" w:rsidRDefault="294F0AC8" w:rsidP="294F0AC8">
      <w:pPr>
        <w:pStyle w:val="Recommendation"/>
        <w:rPr>
          <w:rFonts w:eastAsiaTheme="minorEastAsia"/>
          <w:color w:val="000000" w:themeColor="text1"/>
        </w:rPr>
      </w:pPr>
      <w:r w:rsidRPr="294F0AC8">
        <w:rPr>
          <w:color w:val="C00000"/>
        </w:rPr>
        <w:t>Budget impact:</w:t>
      </w:r>
      <w:r>
        <w:rPr>
          <w:b w:val="0"/>
        </w:rPr>
        <w:t xml:space="preserve"> </w:t>
      </w:r>
      <w:r w:rsidRPr="294F0AC8">
        <w:rPr>
          <w:rFonts w:eastAsiaTheme="minorEastAsia"/>
          <w:i/>
          <w:iCs/>
          <w:color w:val="000000" w:themeColor="text1"/>
        </w:rPr>
        <w:t>-$10 million (-$11 million in 2023-24)</w:t>
      </w:r>
    </w:p>
    <w:p w14:paraId="77ABD882" w14:textId="175C2525" w:rsidR="280C9BAE" w:rsidRDefault="280C9BAE">
      <w:r>
        <w:br w:type="page"/>
      </w:r>
    </w:p>
    <w:p w14:paraId="47C3A6DE" w14:textId="0C38755C" w:rsidR="0068094C" w:rsidRDefault="294F0AC8" w:rsidP="280C9BAE">
      <w:pPr>
        <w:pStyle w:val="Heading1"/>
        <w:numPr>
          <w:ilvl w:val="0"/>
          <w:numId w:val="0"/>
        </w:numPr>
      </w:pPr>
      <w:bookmarkStart w:id="679" w:name="_Toc90983319"/>
      <w:bookmarkStart w:id="680" w:name="_Toc90983385"/>
      <w:bookmarkStart w:id="681" w:name="_Toc90984648"/>
      <w:bookmarkStart w:id="682" w:name="_Toc1125135972"/>
      <w:bookmarkStart w:id="683" w:name="_Toc1527517256"/>
      <w:bookmarkStart w:id="684" w:name="_Toc1982792233"/>
      <w:bookmarkStart w:id="685" w:name="_Toc1084118811"/>
      <w:bookmarkStart w:id="686" w:name="_Toc1601437770"/>
      <w:bookmarkStart w:id="687" w:name="_Toc619563912"/>
      <w:bookmarkStart w:id="688" w:name="_Toc1914919252"/>
      <w:bookmarkStart w:id="689" w:name="_Toc579671624"/>
      <w:bookmarkStart w:id="690" w:name="_Toc1437655432"/>
      <w:bookmarkStart w:id="691" w:name="_Toc1199226255"/>
      <w:r>
        <w:lastRenderedPageBreak/>
        <w:t>7. Strengthen preventive health care and public health services</w:t>
      </w:r>
      <w:bookmarkEnd w:id="679"/>
      <w:bookmarkEnd w:id="680"/>
      <w:bookmarkEnd w:id="681"/>
      <w:r>
        <w:t xml:space="preserve"> </w:t>
      </w:r>
      <w:bookmarkEnd w:id="682"/>
      <w:bookmarkEnd w:id="683"/>
      <w:bookmarkEnd w:id="684"/>
      <w:bookmarkEnd w:id="685"/>
      <w:bookmarkEnd w:id="686"/>
      <w:bookmarkEnd w:id="687"/>
      <w:bookmarkEnd w:id="688"/>
      <w:bookmarkEnd w:id="689"/>
      <w:bookmarkEnd w:id="690"/>
      <w:bookmarkEnd w:id="691"/>
    </w:p>
    <w:p w14:paraId="25FE3895" w14:textId="77777777" w:rsidR="003A1FEC" w:rsidRDefault="003A1FEC" w:rsidP="294F0AC8">
      <w:pPr>
        <w:rPr>
          <w:rFonts w:eastAsia="Verdana" w:cs="Verdana"/>
          <w:color w:val="auto"/>
        </w:rPr>
      </w:pPr>
    </w:p>
    <w:p w14:paraId="5FF8C151" w14:textId="32936071" w:rsidR="280C9BAE" w:rsidRDefault="00EF393A" w:rsidP="294F0AC8">
      <w:pPr>
        <w:rPr>
          <w:rFonts w:eastAsia="Calibri" w:cs="Arial"/>
          <w:color w:val="auto"/>
        </w:rPr>
      </w:pPr>
      <w:r>
        <w:rPr>
          <w:rFonts w:eastAsia="Verdana" w:cs="Verdana"/>
          <w:color w:val="auto"/>
        </w:rPr>
        <w:t>Under</w:t>
      </w:r>
      <w:r w:rsidR="294F0AC8" w:rsidRPr="294F0AC8">
        <w:rPr>
          <w:rFonts w:eastAsia="Verdana" w:cs="Verdana"/>
          <w:color w:val="auto"/>
        </w:rPr>
        <w:t xml:space="preserve"> present policy settings, the cost of health, disability services and aged care will rise by $21 billion a year by 2024. </w:t>
      </w:r>
      <w:r w:rsidRPr="294F0AC8">
        <w:rPr>
          <w:rFonts w:eastAsia="Verdana" w:cs="Verdana"/>
          <w:color w:val="auto"/>
        </w:rPr>
        <w:t>To</w:t>
      </w:r>
      <w:r w:rsidR="294F0AC8" w:rsidRPr="294F0AC8">
        <w:rPr>
          <w:rFonts w:eastAsia="Verdana" w:cs="Verdana"/>
          <w:color w:val="auto"/>
        </w:rPr>
        <w:t xml:space="preserve"> address this growth, we need</w:t>
      </w:r>
      <w:r>
        <w:rPr>
          <w:rFonts w:eastAsia="Verdana" w:cs="Verdana"/>
          <w:color w:val="auto"/>
        </w:rPr>
        <w:t xml:space="preserve"> to </w:t>
      </w:r>
      <w:r w:rsidR="294F0AC8" w:rsidRPr="294F0AC8">
        <w:rPr>
          <w:rFonts w:eastAsia="Verdana" w:cs="Verdana"/>
          <w:color w:val="auto"/>
        </w:rPr>
        <w:t xml:space="preserve">shift focus </w:t>
      </w:r>
      <w:r>
        <w:rPr>
          <w:rFonts w:eastAsia="Verdana" w:cs="Verdana"/>
          <w:color w:val="auto"/>
        </w:rPr>
        <w:t xml:space="preserve">to </w:t>
      </w:r>
      <w:r w:rsidR="294F0AC8" w:rsidRPr="294F0AC8">
        <w:rPr>
          <w:rFonts w:eastAsia="Verdana" w:cs="Verdana"/>
          <w:color w:val="auto"/>
        </w:rPr>
        <w:t>preventi</w:t>
      </w:r>
      <w:r>
        <w:rPr>
          <w:rFonts w:eastAsia="Verdana" w:cs="Verdana"/>
          <w:color w:val="auto"/>
        </w:rPr>
        <w:t>on</w:t>
      </w:r>
      <w:r w:rsidR="294F0AC8" w:rsidRPr="294F0AC8">
        <w:rPr>
          <w:rFonts w:eastAsia="Verdana" w:cs="Verdana"/>
          <w:color w:val="auto"/>
        </w:rPr>
        <w:t>, by lifting expenditure on preventive health to 5% of the Commonwealth health budget</w:t>
      </w:r>
      <w:r>
        <w:rPr>
          <w:rFonts w:eastAsia="Verdana" w:cs="Verdana"/>
          <w:color w:val="auto"/>
        </w:rPr>
        <w:t>. This must happen</w:t>
      </w:r>
      <w:r w:rsidR="294F0AC8" w:rsidRPr="294F0AC8">
        <w:rPr>
          <w:rFonts w:eastAsia="Verdana" w:cs="Verdana"/>
          <w:color w:val="auto"/>
        </w:rPr>
        <w:t xml:space="preserve"> well in advance of the current commitment (2030), so that we improve people’s health and wellbeing and reduce the burden on the health system. We also need to reduce wasteful spending in health like the Private Health Insurance Rebate and the Extended Medicare Safety Net, to reduce costs and </w:t>
      </w:r>
      <w:r>
        <w:rPr>
          <w:rFonts w:eastAsia="Verdana" w:cs="Verdana"/>
          <w:color w:val="auto"/>
        </w:rPr>
        <w:t xml:space="preserve">                     </w:t>
      </w:r>
      <w:r w:rsidR="294F0AC8" w:rsidRPr="294F0AC8">
        <w:rPr>
          <w:rFonts w:eastAsia="Verdana" w:cs="Verdana"/>
          <w:color w:val="auto"/>
        </w:rPr>
        <w:t>price inflation. For the duration of the COVID-19 pandemic, we need to invest in community-led health promotion to ensure that the vaccine rollout, along with ongoing prevention efforts, are successful. A key priority should also be to take steps to address one of the key gaps in our health system – the lack of a universal dental health scheme.</w:t>
      </w:r>
      <w:r w:rsidR="00842CB4">
        <w:rPr>
          <w:rFonts w:eastAsia="Verdana" w:cs="Verdana"/>
          <w:color w:val="auto"/>
        </w:rPr>
        <w:t xml:space="preserve"> Finally, reforms to tax policy settings should be undertaken to discourage consumption of sweetened beverages and tax alcoholic drinks more consistently to deliver public health benefits.  </w:t>
      </w:r>
    </w:p>
    <w:p w14:paraId="74E480E2" w14:textId="488005D1" w:rsidR="7B33A330" w:rsidRPr="003A1FEC" w:rsidRDefault="294F0AC8" w:rsidP="294F0AC8">
      <w:pPr>
        <w:rPr>
          <w:rFonts w:eastAsia="Verdana" w:cs="Verdana"/>
          <w:b/>
          <w:bCs/>
          <w:color w:val="201F1E"/>
          <w:szCs w:val="20"/>
        </w:rPr>
      </w:pPr>
      <w:r w:rsidRPr="003A1FEC">
        <w:rPr>
          <w:rFonts w:eastAsia="Verdana" w:cs="Verdana"/>
          <w:b/>
          <w:bCs/>
          <w:color w:val="201F1E"/>
          <w:szCs w:val="20"/>
        </w:rPr>
        <w:t>Major recommendations:</w:t>
      </w:r>
    </w:p>
    <w:p w14:paraId="3EFE6C18" w14:textId="544FB3DD" w:rsidR="280C9BAE" w:rsidRDefault="294F0AC8" w:rsidP="294F0AC8">
      <w:pPr>
        <w:pStyle w:val="ListParagraph"/>
        <w:rPr>
          <w:rFonts w:asciiTheme="minorHAnsi" w:eastAsiaTheme="minorEastAsia" w:hAnsiTheme="minorHAnsi"/>
          <w:b/>
        </w:rPr>
      </w:pPr>
      <w:r w:rsidRPr="294F0AC8">
        <w:rPr>
          <w:rFonts w:eastAsia="Verdana" w:cs="Verdana"/>
          <w:b/>
          <w:color w:val="201F1E"/>
        </w:rPr>
        <w:t>Lift investment in health promotion and prevention to 5% of total health expenditure by 2025 (well in advance of the current 2030 commitment).</w:t>
      </w:r>
    </w:p>
    <w:p w14:paraId="2965380A" w14:textId="42C5CE2A" w:rsidR="294F0AC8" w:rsidRDefault="294F0AC8" w:rsidP="294F0AC8">
      <w:pPr>
        <w:pStyle w:val="ListParagraph"/>
        <w:rPr>
          <w:rFonts w:asciiTheme="minorHAnsi" w:eastAsiaTheme="minorEastAsia" w:hAnsiTheme="minorHAnsi"/>
          <w:b/>
        </w:rPr>
      </w:pPr>
      <w:r w:rsidRPr="294F0AC8">
        <w:rPr>
          <w:rFonts w:eastAsia="Verdana" w:cs="Verdana"/>
          <w:b/>
          <w:color w:val="201F1E"/>
        </w:rPr>
        <w:t>Strengthen the oral health safety net through increased investment and a multi-year funding agreement.</w:t>
      </w:r>
    </w:p>
    <w:p w14:paraId="1DA6542E" w14:textId="2C0C1866" w:rsidR="0068094C" w:rsidRDefault="294F0AC8" w:rsidP="004C3C6A">
      <w:pPr>
        <w:pStyle w:val="ListParagraph"/>
        <w:rPr>
          <w:rFonts w:eastAsia="Verdana" w:cs="Verdana"/>
          <w:b/>
          <w:color w:val="201F1E"/>
        </w:rPr>
      </w:pPr>
      <w:r w:rsidRPr="294F0AC8">
        <w:rPr>
          <w:rFonts w:eastAsia="Verdana" w:cs="Verdana"/>
          <w:b/>
          <w:color w:val="201F1E"/>
        </w:rPr>
        <w:t>Abolish poorly targeted, wasteful health spending, including the Private Health Insurance Rebate and the Extended Medicare Safety Net.</w:t>
      </w:r>
    </w:p>
    <w:p w14:paraId="0B572421" w14:textId="77777777" w:rsidR="004C3C6A" w:rsidRPr="004C3C6A" w:rsidRDefault="004C3C6A" w:rsidP="004C3C6A">
      <w:pPr>
        <w:pStyle w:val="List3"/>
        <w:rPr>
          <w:sz w:val="2"/>
          <w:szCs w:val="2"/>
        </w:rPr>
      </w:pPr>
    </w:p>
    <w:p w14:paraId="284F55BE" w14:textId="6EA8B904" w:rsidR="00A1596B" w:rsidRPr="7B33A330" w:rsidRDefault="294F0AC8" w:rsidP="001D1B51">
      <w:pPr>
        <w:pStyle w:val="Heading2"/>
        <w:rPr>
          <w:rFonts w:eastAsia="Verdana" w:cs="Verdana"/>
        </w:rPr>
      </w:pPr>
      <w:bookmarkStart w:id="692" w:name="_Toc1929839870"/>
      <w:bookmarkStart w:id="693" w:name="_Toc1611346784"/>
      <w:bookmarkStart w:id="694" w:name="_Toc1764549526"/>
      <w:bookmarkStart w:id="695" w:name="_Toc985412643"/>
      <w:bookmarkStart w:id="696" w:name="_Toc479371886"/>
      <w:bookmarkStart w:id="697" w:name="_Toc2055138255"/>
      <w:bookmarkStart w:id="698" w:name="_Toc1851392250"/>
      <w:bookmarkStart w:id="699" w:name="_Toc560570130"/>
      <w:bookmarkStart w:id="700" w:name="_Toc362904921"/>
      <w:bookmarkStart w:id="701" w:name="_Toc854620617"/>
      <w:bookmarkStart w:id="702" w:name="_Toc90983386"/>
      <w:bookmarkStart w:id="703" w:name="_Toc90984649"/>
      <w:r>
        <w:t>Shift investment to health promotion and prevention</w:t>
      </w:r>
      <w:bookmarkEnd w:id="692"/>
      <w:bookmarkEnd w:id="693"/>
      <w:bookmarkEnd w:id="694"/>
      <w:bookmarkEnd w:id="695"/>
      <w:bookmarkEnd w:id="696"/>
      <w:bookmarkEnd w:id="697"/>
      <w:bookmarkEnd w:id="698"/>
      <w:bookmarkEnd w:id="699"/>
      <w:bookmarkEnd w:id="700"/>
      <w:bookmarkEnd w:id="701"/>
      <w:bookmarkEnd w:id="702"/>
      <w:bookmarkEnd w:id="703"/>
    </w:p>
    <w:p w14:paraId="302E4F85" w14:textId="20641B0B" w:rsidR="280C9BAE" w:rsidRDefault="280C9BAE" w:rsidP="280C9BAE">
      <w:pPr>
        <w:spacing w:line="276" w:lineRule="auto"/>
        <w:rPr>
          <w:rFonts w:eastAsia="Calibri" w:cs="Arial"/>
        </w:rPr>
      </w:pPr>
      <w:r w:rsidRPr="194D1029">
        <w:rPr>
          <w:rFonts w:eastAsia="Verdana" w:cs="Verdana"/>
          <w:color w:val="auto"/>
        </w:rPr>
        <w:t>Too much of our public health spend is directed towards tertiary or hospital services, with inadequate investment in preventive health initiatives. Stronger investment in preventive health care and supporting people to adopt healthier lifestyles would save significant future health care costs.</w:t>
      </w:r>
      <w:r w:rsidRPr="194D1029">
        <w:rPr>
          <w:rStyle w:val="FootnoteReference"/>
          <w:rFonts w:eastAsia="Verdana" w:cs="Verdana"/>
          <w:color w:val="auto"/>
        </w:rPr>
        <w:footnoteReference w:id="30"/>
      </w:r>
      <w:r w:rsidRPr="194D1029">
        <w:rPr>
          <w:rFonts w:eastAsia="Verdana" w:cs="Verdana"/>
          <w:color w:val="auto"/>
        </w:rPr>
        <w:t xml:space="preserve"> The new National Preventive Health Strategy takes some important steps in the right direction, including </w:t>
      </w:r>
      <w:r w:rsidR="00DB56E4">
        <w:rPr>
          <w:rFonts w:eastAsia="Verdana" w:cs="Verdana"/>
          <w:color w:val="auto"/>
        </w:rPr>
        <w:t>a</w:t>
      </w:r>
      <w:r w:rsidRPr="194D1029">
        <w:rPr>
          <w:rFonts w:eastAsia="Verdana" w:cs="Verdana"/>
          <w:color w:val="auto"/>
        </w:rPr>
        <w:t xml:space="preserve"> commitment to increase i</w:t>
      </w:r>
      <w:r w:rsidRPr="194D1029">
        <w:rPr>
          <w:rFonts w:eastAsia="Verdana" w:cs="Verdana"/>
        </w:rPr>
        <w:t xml:space="preserve">nvestment in preventive health to be 5% of total health expenditure across Commonwealth, </w:t>
      </w:r>
      <w:proofErr w:type="gramStart"/>
      <w:r w:rsidRPr="194D1029">
        <w:rPr>
          <w:rFonts w:eastAsia="Verdana" w:cs="Verdana"/>
        </w:rPr>
        <w:t>state</w:t>
      </w:r>
      <w:proofErr w:type="gramEnd"/>
      <w:r w:rsidRPr="194D1029">
        <w:rPr>
          <w:rFonts w:eastAsia="Verdana" w:cs="Verdana"/>
        </w:rPr>
        <w:t xml:space="preserve"> and territory governments by 2030 (up from 2% in 2018-19)</w:t>
      </w:r>
      <w:r w:rsidR="00DB56E4">
        <w:rPr>
          <w:rFonts w:eastAsia="Verdana" w:cs="Verdana"/>
        </w:rPr>
        <w:t>. However,</w:t>
      </w:r>
      <w:r w:rsidRPr="194D1029">
        <w:rPr>
          <w:rFonts w:eastAsia="Verdana" w:cs="Verdana"/>
        </w:rPr>
        <w:t xml:space="preserve"> we encourage the Government to be more ambitious and seek to achieve this goal sooner.</w:t>
      </w:r>
    </w:p>
    <w:p w14:paraId="1274A82A" w14:textId="77777777" w:rsidR="00842CB4" w:rsidRDefault="294F0AC8" w:rsidP="000B50DA">
      <w:pPr>
        <w:pStyle w:val="Recommendation"/>
        <w:rPr>
          <w:color w:val="000000" w:themeColor="text1"/>
        </w:rPr>
      </w:pPr>
      <w:r w:rsidRPr="294F0AC8">
        <w:rPr>
          <w:color w:val="C00000"/>
        </w:rPr>
        <w:t xml:space="preserve">Recommendation 35: </w:t>
      </w:r>
      <w:r w:rsidRPr="294F0AC8">
        <w:rPr>
          <w:color w:val="auto"/>
        </w:rPr>
        <w:t>Increase investment in health promotion and prevention (including nutrition, obesity, tobacco and alcohol use, mental health, diabetes</w:t>
      </w:r>
      <w:r w:rsidR="00DB56E4">
        <w:rPr>
          <w:color w:val="auto"/>
        </w:rPr>
        <w:t xml:space="preserve">, </w:t>
      </w:r>
      <w:r w:rsidRPr="294F0AC8">
        <w:rPr>
          <w:color w:val="auto"/>
        </w:rPr>
        <w:t>cancer, and communicable diseases prevention) to 5% of total Commonwealth health spending</w:t>
      </w:r>
    </w:p>
    <w:p w14:paraId="2FC5F6F7" w14:textId="01C8E137" w:rsidR="2AAA052F" w:rsidRPr="00842CB4" w:rsidRDefault="2AAA052F" w:rsidP="000B50DA">
      <w:pPr>
        <w:pStyle w:val="Recommendation"/>
        <w:rPr>
          <w:color w:val="000000" w:themeColor="text1"/>
        </w:rPr>
      </w:pPr>
      <w:r w:rsidRPr="004173A5">
        <w:rPr>
          <w:color w:val="C00000"/>
        </w:rPr>
        <w:t>Budget impact:</w:t>
      </w:r>
      <w:r w:rsidRPr="004173A5">
        <w:rPr>
          <w:b w:val="0"/>
          <w:color w:val="C00000"/>
        </w:rPr>
        <w:t xml:space="preserve"> </w:t>
      </w:r>
      <w:r w:rsidRPr="294F0AC8">
        <w:rPr>
          <w:rFonts w:eastAsiaTheme="minorEastAsia"/>
          <w:i/>
          <w:iCs/>
          <w:color w:val="000000" w:themeColor="text1"/>
        </w:rPr>
        <w:t>-$</w:t>
      </w:r>
      <w:r w:rsidR="280C9BAE" w:rsidRPr="294F0AC8">
        <w:rPr>
          <w:rFonts w:eastAsiaTheme="minorEastAsia"/>
          <w:i/>
          <w:iCs/>
          <w:color w:val="000000" w:themeColor="text1"/>
        </w:rPr>
        <w:t>1,500 million (-$3,000</w:t>
      </w:r>
      <w:r w:rsidRPr="294F0AC8">
        <w:rPr>
          <w:rFonts w:eastAsiaTheme="minorEastAsia"/>
          <w:i/>
          <w:iCs/>
          <w:color w:val="000000" w:themeColor="text1"/>
        </w:rPr>
        <w:t xml:space="preserve"> million in </w:t>
      </w:r>
      <w:r w:rsidR="280C9BAE" w:rsidRPr="294F0AC8">
        <w:rPr>
          <w:rFonts w:eastAsiaTheme="minorEastAsia"/>
          <w:i/>
          <w:iCs/>
          <w:color w:val="000000" w:themeColor="text1"/>
        </w:rPr>
        <w:t>2023-24</w:t>
      </w:r>
      <w:r w:rsidRPr="294F0AC8">
        <w:rPr>
          <w:rFonts w:eastAsiaTheme="minorEastAsia"/>
          <w:i/>
          <w:iCs/>
          <w:color w:val="000000" w:themeColor="text1"/>
        </w:rPr>
        <w:t>)</w:t>
      </w:r>
      <w:r w:rsidRPr="294F0AC8">
        <w:rPr>
          <w:rStyle w:val="FootnoteReference"/>
          <w:i/>
          <w:iCs/>
          <w:color w:val="auto"/>
        </w:rPr>
        <w:footnoteReference w:id="31"/>
      </w:r>
      <w:r w:rsidRPr="294F0AC8">
        <w:rPr>
          <w:i/>
          <w:iCs/>
        </w:rPr>
        <w:t xml:space="preserve"> </w:t>
      </w:r>
    </w:p>
    <w:p w14:paraId="54E11D2A" w14:textId="77777777" w:rsidR="0068094C" w:rsidRDefault="0068094C" w:rsidP="0068094C">
      <w:pPr>
        <w:pStyle w:val="Recommendation"/>
        <w:rPr>
          <w:b w:val="0"/>
        </w:rPr>
      </w:pPr>
    </w:p>
    <w:p w14:paraId="31126E5D" w14:textId="77777777" w:rsidR="0068094C" w:rsidRPr="00204C41" w:rsidRDefault="0068094C" w:rsidP="0068094C">
      <w:pPr>
        <w:pStyle w:val="ListNumber"/>
        <w:numPr>
          <w:ilvl w:val="0"/>
          <w:numId w:val="0"/>
        </w:numPr>
        <w:ind w:left="360" w:hanging="360"/>
      </w:pPr>
    </w:p>
    <w:p w14:paraId="1534A09A" w14:textId="77777777" w:rsidR="003A1FEC" w:rsidRDefault="003A1FEC" w:rsidP="001D1B51">
      <w:pPr>
        <w:pStyle w:val="Heading2"/>
      </w:pPr>
      <w:bookmarkStart w:id="704" w:name="_Toc1838702789"/>
      <w:bookmarkStart w:id="705" w:name="_Toc1814952983"/>
      <w:bookmarkStart w:id="706" w:name="_Toc2128413945"/>
      <w:bookmarkStart w:id="707" w:name="_Toc576161237"/>
      <w:bookmarkStart w:id="708" w:name="_Toc1303269507"/>
      <w:bookmarkStart w:id="709" w:name="_Toc751848321"/>
      <w:bookmarkStart w:id="710" w:name="_Toc1420980397"/>
      <w:bookmarkStart w:id="711" w:name="_Toc1566955533"/>
      <w:bookmarkStart w:id="712" w:name="_Toc642210279"/>
      <w:bookmarkStart w:id="713" w:name="_Toc1630200528"/>
      <w:bookmarkStart w:id="714" w:name="_Toc90983387"/>
      <w:bookmarkStart w:id="715" w:name="_Toc90984650"/>
    </w:p>
    <w:p w14:paraId="141350E5" w14:textId="2DCBFEF9" w:rsidR="207305B3" w:rsidRDefault="294F0AC8" w:rsidP="001D1B51">
      <w:pPr>
        <w:pStyle w:val="Heading2"/>
        <w:rPr>
          <w:rFonts w:eastAsia="Verdana" w:cs="Verdana"/>
        </w:rPr>
      </w:pPr>
      <w:r w:rsidRPr="294F0AC8">
        <w:t xml:space="preserve">Invest in community-led health promotion for COVID-19 </w:t>
      </w:r>
      <w:bookmarkEnd w:id="704"/>
      <w:bookmarkEnd w:id="705"/>
      <w:bookmarkEnd w:id="706"/>
      <w:bookmarkEnd w:id="707"/>
      <w:bookmarkEnd w:id="708"/>
      <w:bookmarkEnd w:id="709"/>
      <w:bookmarkEnd w:id="710"/>
      <w:bookmarkEnd w:id="711"/>
      <w:bookmarkEnd w:id="712"/>
      <w:bookmarkEnd w:id="713"/>
      <w:bookmarkEnd w:id="714"/>
      <w:bookmarkEnd w:id="715"/>
      <w:r w:rsidR="007E2A72">
        <w:t>public health response</w:t>
      </w:r>
    </w:p>
    <w:p w14:paraId="14378352" w14:textId="30B5ABCB" w:rsidR="003A1FEC" w:rsidRDefault="003A1FEC" w:rsidP="280C9BAE">
      <w:pPr>
        <w:jc w:val="both"/>
        <w:rPr>
          <w:rFonts w:eastAsia="Verdana" w:cs="Verdana"/>
          <w:szCs w:val="20"/>
        </w:rPr>
      </w:pPr>
    </w:p>
    <w:p w14:paraId="4E8DCD7C" w14:textId="38E59C33" w:rsidR="207305B3" w:rsidRDefault="280C9BAE" w:rsidP="280C9BAE">
      <w:pPr>
        <w:jc w:val="both"/>
        <w:rPr>
          <w:rFonts w:eastAsia="Verdana" w:cs="Verdana"/>
          <w:szCs w:val="20"/>
        </w:rPr>
      </w:pPr>
      <w:r w:rsidRPr="280C9BAE">
        <w:rPr>
          <w:rFonts w:eastAsia="Verdana" w:cs="Verdana"/>
          <w:szCs w:val="20"/>
        </w:rPr>
        <w:t xml:space="preserve">Australia’s COVID-19 </w:t>
      </w:r>
      <w:r w:rsidR="007E2A72">
        <w:rPr>
          <w:rFonts w:eastAsia="Verdana" w:cs="Verdana"/>
          <w:szCs w:val="20"/>
        </w:rPr>
        <w:t>public health response in</w:t>
      </w:r>
      <w:r w:rsidRPr="280C9BAE">
        <w:rPr>
          <w:rFonts w:eastAsia="Verdana" w:cs="Verdana"/>
          <w:szCs w:val="20"/>
        </w:rPr>
        <w:t xml:space="preserve"> 2021 was significantly improved by the work of community-led health initiatives assisting target populations. Local </w:t>
      </w:r>
      <w:proofErr w:type="spellStart"/>
      <w:proofErr w:type="gramStart"/>
      <w:r w:rsidRPr="280C9BAE">
        <w:rPr>
          <w:rFonts w:eastAsia="Verdana" w:cs="Verdana"/>
          <w:szCs w:val="20"/>
        </w:rPr>
        <w:t>organisations</w:t>
      </w:r>
      <w:proofErr w:type="spellEnd"/>
      <w:r w:rsidRPr="280C9BAE">
        <w:rPr>
          <w:rFonts w:eastAsia="Verdana" w:cs="Verdana"/>
          <w:szCs w:val="20"/>
        </w:rPr>
        <w:t xml:space="preserve"> built</w:t>
      </w:r>
      <w:proofErr w:type="gramEnd"/>
      <w:r w:rsidRPr="280C9BAE">
        <w:rPr>
          <w:rFonts w:eastAsia="Verdana" w:cs="Verdana"/>
          <w:szCs w:val="20"/>
        </w:rPr>
        <w:t xml:space="preserve"> trust with people by engaging with them to explain the benefits of the vaccine, and to address any hesitancy issues. They also provided rapid feedback to government and health decision-makers about how to improve the rollout as well as identif</w:t>
      </w:r>
      <w:r w:rsidR="002C7E7D">
        <w:rPr>
          <w:rFonts w:eastAsia="Verdana" w:cs="Verdana"/>
          <w:szCs w:val="20"/>
        </w:rPr>
        <w:t>ied</w:t>
      </w:r>
      <w:r w:rsidRPr="280C9BAE">
        <w:rPr>
          <w:rFonts w:eastAsia="Verdana" w:cs="Verdana"/>
          <w:szCs w:val="20"/>
        </w:rPr>
        <w:t xml:space="preserve"> ongoing health, economic and social risks in specific communities. Aboriginal and Torres Strait peoples turned to their ACCHOs for health promotion and education messages and guidance during this pandemic, and similar experiences were seen with other community-controlled </w:t>
      </w:r>
      <w:proofErr w:type="spellStart"/>
      <w:r w:rsidRPr="280C9BAE">
        <w:rPr>
          <w:rFonts w:eastAsia="Verdana" w:cs="Verdana"/>
          <w:szCs w:val="20"/>
        </w:rPr>
        <w:t>organisations</w:t>
      </w:r>
      <w:proofErr w:type="spellEnd"/>
      <w:r w:rsidRPr="280C9BAE">
        <w:rPr>
          <w:rFonts w:eastAsia="Verdana" w:cs="Verdana"/>
          <w:szCs w:val="20"/>
        </w:rPr>
        <w:t xml:space="preserve"> in CALD communities, LGBTIQ communities and communities of people with disability. </w:t>
      </w:r>
    </w:p>
    <w:p w14:paraId="52F0B8A4" w14:textId="1E6E1918" w:rsidR="207305B3" w:rsidRDefault="280C9BAE" w:rsidP="280C9BAE">
      <w:pPr>
        <w:jc w:val="both"/>
        <w:rPr>
          <w:rFonts w:eastAsia="Verdana" w:cs="Verdana"/>
          <w:szCs w:val="20"/>
        </w:rPr>
      </w:pPr>
      <w:r w:rsidRPr="280C9BAE">
        <w:rPr>
          <w:rFonts w:eastAsia="Verdana" w:cs="Verdana"/>
          <w:szCs w:val="20"/>
        </w:rPr>
        <w:t>The task of protecting everyone from the virus is far from over. With new variants already spreading, Australia is still trying to provide two doses to all eligible persons including those aged 12 to 16 years</w:t>
      </w:r>
      <w:r w:rsidR="002C7E7D">
        <w:rPr>
          <w:rFonts w:eastAsia="Verdana" w:cs="Verdana"/>
          <w:szCs w:val="20"/>
        </w:rPr>
        <w:t xml:space="preserve"> </w:t>
      </w:r>
      <w:r w:rsidRPr="280C9BAE">
        <w:rPr>
          <w:rFonts w:eastAsia="Verdana" w:cs="Verdana"/>
          <w:szCs w:val="20"/>
        </w:rPr>
        <w:t xml:space="preserve">and beginning to </w:t>
      </w:r>
      <w:proofErr w:type="spellStart"/>
      <w:r w:rsidRPr="280C9BAE">
        <w:rPr>
          <w:rFonts w:eastAsia="Verdana" w:cs="Verdana"/>
          <w:szCs w:val="20"/>
        </w:rPr>
        <w:t>immunise</w:t>
      </w:r>
      <w:proofErr w:type="spellEnd"/>
      <w:r w:rsidRPr="280C9BAE">
        <w:rPr>
          <w:rFonts w:eastAsia="Verdana" w:cs="Verdana"/>
          <w:szCs w:val="20"/>
        </w:rPr>
        <w:t xml:space="preserve"> children aged 5 to 11 years. Funding made available for Primary Health Networks to support local vaccine activities was only short-term, as were the small grants awarded to relevant peak bodies.</w:t>
      </w:r>
    </w:p>
    <w:p w14:paraId="2E165C3C" w14:textId="2F7B49C0" w:rsidR="207305B3" w:rsidRDefault="280C9BAE" w:rsidP="280C9BAE">
      <w:pPr>
        <w:jc w:val="both"/>
        <w:rPr>
          <w:rFonts w:eastAsia="Verdana" w:cs="Verdana"/>
        </w:rPr>
      </w:pPr>
      <w:r w:rsidRPr="194D1029">
        <w:rPr>
          <w:rFonts w:eastAsia="Verdana" w:cs="Verdana"/>
        </w:rPr>
        <w:t xml:space="preserve">If Australia does not want to endure further lockdowns and associated disruption, it is critical that we learn the lessons from the first phase of the rollout and better resource community-led health initiatives. This requires ongoing investment to continue their work into 2022. Such </w:t>
      </w:r>
      <w:proofErr w:type="spellStart"/>
      <w:r w:rsidRPr="194D1029">
        <w:rPr>
          <w:rFonts w:eastAsia="Verdana" w:cs="Verdana"/>
        </w:rPr>
        <w:t>organisations</w:t>
      </w:r>
      <w:proofErr w:type="spellEnd"/>
      <w:r w:rsidRPr="194D1029">
        <w:rPr>
          <w:rFonts w:eastAsia="Verdana" w:cs="Verdana"/>
        </w:rPr>
        <w:t xml:space="preserve"> must have financial security to continue to reach specific at-risk and hard to reach populations with messages about vaccination, prevention, testing and isolation. </w:t>
      </w:r>
    </w:p>
    <w:p w14:paraId="4F27CC1E" w14:textId="7D71CEF0" w:rsidR="207305B3" w:rsidRDefault="294F0AC8" w:rsidP="294F0AC8">
      <w:pPr>
        <w:jc w:val="both"/>
        <w:rPr>
          <w:rFonts w:eastAsia="Verdana" w:cs="Verdana"/>
          <w:b/>
          <w:bCs/>
        </w:rPr>
      </w:pPr>
      <w:r w:rsidRPr="294F0AC8">
        <w:rPr>
          <w:rFonts w:eastAsia="Verdana" w:cs="Verdana"/>
          <w:b/>
          <w:bCs/>
          <w:color w:val="C00000"/>
        </w:rPr>
        <w:t>Recommendation 36:</w:t>
      </w:r>
      <w:r w:rsidRPr="294F0AC8">
        <w:rPr>
          <w:rFonts w:eastAsia="Verdana" w:cs="Verdana"/>
          <w:b/>
          <w:bCs/>
        </w:rPr>
        <w:t xml:space="preserve"> Provide targeted funding for community </w:t>
      </w:r>
      <w:proofErr w:type="spellStart"/>
      <w:r w:rsidRPr="294F0AC8">
        <w:rPr>
          <w:rFonts w:eastAsia="Verdana" w:cs="Verdana"/>
          <w:b/>
          <w:bCs/>
        </w:rPr>
        <w:t>organisations</w:t>
      </w:r>
      <w:proofErr w:type="spellEnd"/>
      <w:r w:rsidRPr="294F0AC8">
        <w:rPr>
          <w:rFonts w:eastAsia="Verdana" w:cs="Verdana"/>
          <w:b/>
          <w:bCs/>
        </w:rPr>
        <w:t xml:space="preserve"> representing key population groups to continue to deliver peer-led health promotion and education to their own communities </w:t>
      </w:r>
      <w:proofErr w:type="gramStart"/>
      <w:r w:rsidRPr="294F0AC8">
        <w:rPr>
          <w:rFonts w:eastAsia="Verdana" w:cs="Verdana"/>
          <w:b/>
          <w:bCs/>
        </w:rPr>
        <w:t>in order to</w:t>
      </w:r>
      <w:proofErr w:type="gramEnd"/>
      <w:r w:rsidRPr="294F0AC8">
        <w:rPr>
          <w:rFonts w:eastAsia="Verdana" w:cs="Verdana"/>
          <w:b/>
          <w:bCs/>
        </w:rPr>
        <w:t xml:space="preserve"> ensure that health promotion and education messages about COVID-19 prevention, testing, vaccination and isolation are reaching hard to reach and at-risk populations.</w:t>
      </w:r>
    </w:p>
    <w:p w14:paraId="02B38BF0" w14:textId="66FEC2EE" w:rsidR="207305B3" w:rsidRDefault="280C9BAE" w:rsidP="294F0AC8">
      <w:pPr>
        <w:rPr>
          <w:rFonts w:eastAsia="Verdana" w:cs="Verdana"/>
          <w:b/>
          <w:bCs/>
        </w:rPr>
      </w:pPr>
      <w:r w:rsidRPr="294F0AC8">
        <w:rPr>
          <w:rFonts w:eastAsia="Verdana" w:cs="Verdana"/>
          <w:b/>
          <w:bCs/>
          <w:color w:val="C00000"/>
        </w:rPr>
        <w:t>Budget impact:</w:t>
      </w:r>
      <w:r w:rsidRPr="294F0AC8">
        <w:rPr>
          <w:rFonts w:eastAsia="Verdana" w:cs="Verdana"/>
          <w:i/>
          <w:iCs/>
          <w:color w:val="CE2028"/>
        </w:rPr>
        <w:t xml:space="preserve"> </w:t>
      </w:r>
      <w:r w:rsidRPr="294F0AC8">
        <w:rPr>
          <w:rFonts w:eastAsia="Verdana" w:cs="Verdana"/>
          <w:b/>
          <w:bCs/>
          <w:i/>
          <w:iCs/>
        </w:rPr>
        <w:t>-$</w:t>
      </w:r>
      <w:r w:rsidR="004F4244">
        <w:rPr>
          <w:rFonts w:eastAsia="Verdana" w:cs="Verdana"/>
          <w:b/>
          <w:bCs/>
          <w:i/>
          <w:iCs/>
        </w:rPr>
        <w:t>100</w:t>
      </w:r>
      <w:r w:rsidRPr="294F0AC8">
        <w:rPr>
          <w:rFonts w:eastAsia="Verdana" w:cs="Verdana"/>
          <w:b/>
          <w:bCs/>
          <w:i/>
          <w:iCs/>
        </w:rPr>
        <w:t xml:space="preserve"> million</w:t>
      </w:r>
      <w:r w:rsidRPr="194D1029">
        <w:rPr>
          <w:rStyle w:val="FootnoteReference"/>
          <w:rFonts w:eastAsia="Verdana" w:cs="Verdana"/>
          <w:b/>
          <w:bCs/>
        </w:rPr>
        <w:footnoteReference w:id="32"/>
      </w:r>
    </w:p>
    <w:p w14:paraId="503F113C" w14:textId="164185DF" w:rsidR="05A21A44" w:rsidRDefault="05A21A44">
      <w:r>
        <w:br w:type="page"/>
      </w:r>
    </w:p>
    <w:p w14:paraId="7854E73B" w14:textId="77777777" w:rsidR="003A1FEC" w:rsidRDefault="003A1FEC" w:rsidP="001D1B51">
      <w:pPr>
        <w:pStyle w:val="Heading2"/>
      </w:pPr>
      <w:bookmarkStart w:id="716" w:name="_Toc361696831"/>
      <w:bookmarkStart w:id="717" w:name="_Toc1791217482"/>
      <w:bookmarkStart w:id="718" w:name="_Toc67821085"/>
      <w:bookmarkStart w:id="719" w:name="_Toc551370190"/>
      <w:bookmarkStart w:id="720" w:name="_Toc1113569907"/>
      <w:bookmarkStart w:id="721" w:name="_Toc657513000"/>
      <w:bookmarkStart w:id="722" w:name="_Toc1165584969"/>
      <w:bookmarkStart w:id="723" w:name="_Toc2131698731"/>
      <w:bookmarkStart w:id="724" w:name="_Toc1935469429"/>
      <w:bookmarkStart w:id="725" w:name="_Toc94945491"/>
      <w:bookmarkStart w:id="726" w:name="_Toc90983388"/>
      <w:bookmarkStart w:id="727" w:name="_Toc90984651"/>
    </w:p>
    <w:p w14:paraId="4D08EBF1" w14:textId="37AF0F6D" w:rsidR="280C9BAE" w:rsidRDefault="294F0AC8" w:rsidP="001D1B51">
      <w:pPr>
        <w:pStyle w:val="Heading2"/>
      </w:pPr>
      <w:r w:rsidRPr="294F0AC8">
        <w:t>Strengthen the oral health safety net</w:t>
      </w:r>
      <w:bookmarkEnd w:id="716"/>
      <w:bookmarkEnd w:id="717"/>
      <w:bookmarkEnd w:id="718"/>
      <w:bookmarkEnd w:id="719"/>
      <w:bookmarkEnd w:id="720"/>
      <w:bookmarkEnd w:id="721"/>
      <w:bookmarkEnd w:id="722"/>
      <w:bookmarkEnd w:id="723"/>
      <w:bookmarkEnd w:id="724"/>
      <w:bookmarkEnd w:id="725"/>
      <w:bookmarkEnd w:id="726"/>
      <w:bookmarkEnd w:id="727"/>
    </w:p>
    <w:p w14:paraId="78D06CD6" w14:textId="77777777" w:rsidR="003A1FEC" w:rsidRDefault="003A1FEC" w:rsidP="3353694F">
      <w:pPr>
        <w:pStyle w:val="ListNumber"/>
        <w:numPr>
          <w:ilvl w:val="0"/>
          <w:numId w:val="0"/>
        </w:numPr>
        <w:rPr>
          <w:rFonts w:eastAsia="Verdana" w:cs="Verdana"/>
        </w:rPr>
      </w:pPr>
    </w:p>
    <w:p w14:paraId="1D36AB47" w14:textId="24CD7363" w:rsidR="3353694F" w:rsidRDefault="280C9BAE" w:rsidP="3353694F">
      <w:pPr>
        <w:pStyle w:val="ListNumber"/>
        <w:numPr>
          <w:ilvl w:val="0"/>
          <w:numId w:val="0"/>
        </w:numPr>
        <w:rPr>
          <w:rFonts w:eastAsia="Calibri" w:cs="Arial"/>
          <w:szCs w:val="20"/>
        </w:rPr>
      </w:pPr>
      <w:r w:rsidRPr="194D1029">
        <w:rPr>
          <w:rFonts w:eastAsia="Verdana" w:cs="Verdana"/>
        </w:rPr>
        <w:t>One of the most significant gaps in our public health system is the provision of affordable, accessible dental care for all. While seeing a GP usually results in Medicare bearing all or most of the cost, seeing a dentist often results in significant out-of-pocket costs, even for those with private health insurance. This makes dental care unaffordable for many people on low incomes, and many go without the treatment they need. This creates costs in our broader health system, but also impacts on people’s ability to live their lives, including to eat well, work and be engaged in their communities. Australia should begin the transition to a universal oral health scheme, funded by the Federal Government, by expanding existing public dental funding and access</w:t>
      </w:r>
      <w:r w:rsidR="194D1029" w:rsidRPr="194D1029">
        <w:rPr>
          <w:rFonts w:eastAsia="Verdana" w:cs="Verdana"/>
        </w:rPr>
        <w:t xml:space="preserve"> and committing to a new multi-year Commonwealth/State funding agreement to provide stability and certainty in the system. </w:t>
      </w:r>
    </w:p>
    <w:p w14:paraId="0EF138F1" w14:textId="3DFDF2AC" w:rsidR="280C9BAE" w:rsidRDefault="294F0AC8" w:rsidP="194D1029">
      <w:pPr>
        <w:rPr>
          <w:rFonts w:eastAsia="Calibri" w:cs="Arial"/>
          <w:b/>
          <w:bCs/>
        </w:rPr>
      </w:pPr>
      <w:r w:rsidRPr="294F0AC8">
        <w:rPr>
          <w:rFonts w:eastAsia="Verdana" w:cs="Verdana"/>
          <w:b/>
          <w:bCs/>
          <w:color w:val="C00000"/>
        </w:rPr>
        <w:t>Recommendation 37:</w:t>
      </w:r>
      <w:r w:rsidRPr="294F0AC8">
        <w:rPr>
          <w:rFonts w:eastAsia="Verdana" w:cs="Verdana"/>
          <w:b/>
          <w:bCs/>
          <w:color w:val="CE2028"/>
        </w:rPr>
        <w:t xml:space="preserve"> </w:t>
      </w:r>
      <w:r w:rsidRPr="294F0AC8">
        <w:rPr>
          <w:rFonts w:eastAsia="Verdana" w:cs="Verdana"/>
          <w:b/>
          <w:bCs/>
          <w:color w:val="auto"/>
        </w:rPr>
        <w:t xml:space="preserve">Begin the transition to a universal, federally funded dental care scheme: </w:t>
      </w:r>
    </w:p>
    <w:p w14:paraId="64954FA9" w14:textId="3EB077E6" w:rsidR="280C9BAE" w:rsidRDefault="294F0AC8" w:rsidP="00DD3DC0">
      <w:pPr>
        <w:pStyle w:val="ListParagraph"/>
        <w:numPr>
          <w:ilvl w:val="0"/>
          <w:numId w:val="31"/>
        </w:numPr>
        <w:rPr>
          <w:rFonts w:asciiTheme="minorHAnsi" w:eastAsiaTheme="minorEastAsia" w:hAnsiTheme="minorHAnsi"/>
          <w:b/>
        </w:rPr>
      </w:pPr>
      <w:r w:rsidRPr="294F0AC8">
        <w:rPr>
          <w:rFonts w:eastAsia="Verdana" w:cs="Verdana"/>
          <w:b/>
          <w:color w:val="auto"/>
        </w:rPr>
        <w:t xml:space="preserve">As a first step in the transition to a full scheme, public dental services investment and eligibility should expand and a new multi-year Commonwealth/State dental health funding agreement created. </w:t>
      </w:r>
    </w:p>
    <w:p w14:paraId="6EAA3C6C" w14:textId="7A8C5078" w:rsidR="280C9BAE" w:rsidRDefault="280C9BAE" w:rsidP="294F0AC8">
      <w:pPr>
        <w:rPr>
          <w:rFonts w:eastAsia="Calibri" w:cs="Arial"/>
          <w:b/>
          <w:bCs/>
          <w:i/>
          <w:iCs/>
        </w:rPr>
      </w:pPr>
      <w:r>
        <w:br/>
      </w:r>
      <w:r w:rsidR="294F0AC8" w:rsidRPr="294F0AC8">
        <w:rPr>
          <w:rFonts w:eastAsia="Verdana" w:cs="Verdana"/>
          <w:b/>
          <w:bCs/>
          <w:color w:val="C00000"/>
        </w:rPr>
        <w:t>Budget impact:</w:t>
      </w:r>
      <w:r w:rsidR="294F0AC8" w:rsidRPr="294F0AC8">
        <w:rPr>
          <w:rFonts w:eastAsia="Verdana" w:cs="Verdana"/>
          <w:i/>
          <w:iCs/>
          <w:color w:val="CE2028"/>
        </w:rPr>
        <w:t xml:space="preserve"> </w:t>
      </w:r>
      <w:r w:rsidR="294F0AC8" w:rsidRPr="294F0AC8">
        <w:rPr>
          <w:rFonts w:eastAsia="Verdana" w:cs="Verdana"/>
          <w:b/>
          <w:bCs/>
          <w:i/>
          <w:iCs/>
        </w:rPr>
        <w:t>-$500 million (-$1,000 million in 2023-24)</w:t>
      </w:r>
    </w:p>
    <w:p w14:paraId="6082E2A8" w14:textId="30121133" w:rsidR="000B50DA" w:rsidRDefault="000B50DA" w:rsidP="000B50DA">
      <w:pPr>
        <w:pStyle w:val="ListNumber"/>
        <w:numPr>
          <w:ilvl w:val="0"/>
          <w:numId w:val="0"/>
        </w:numPr>
      </w:pPr>
    </w:p>
    <w:p w14:paraId="402A9F27" w14:textId="77777777" w:rsidR="003A1FEC" w:rsidRDefault="003A1FEC" w:rsidP="000B50DA">
      <w:pPr>
        <w:pStyle w:val="ListNumber"/>
        <w:numPr>
          <w:ilvl w:val="0"/>
          <w:numId w:val="0"/>
        </w:numPr>
      </w:pPr>
    </w:p>
    <w:p w14:paraId="0EDFD89C" w14:textId="0DAB0009" w:rsidR="6FF35054" w:rsidRDefault="294F0AC8" w:rsidP="001D1B51">
      <w:pPr>
        <w:pStyle w:val="Heading2"/>
        <w:rPr>
          <w:rFonts w:eastAsia="Verdana" w:cs="Verdana"/>
        </w:rPr>
      </w:pPr>
      <w:bookmarkStart w:id="728" w:name="_Toc1793076947"/>
      <w:bookmarkStart w:id="729" w:name="_Toc1070247994"/>
      <w:bookmarkStart w:id="730" w:name="_Toc509387066"/>
      <w:bookmarkStart w:id="731" w:name="_Toc1089054627"/>
      <w:bookmarkStart w:id="732" w:name="_Toc1879840393"/>
      <w:bookmarkStart w:id="733" w:name="_Toc631440765"/>
      <w:bookmarkStart w:id="734" w:name="_Toc2038534968"/>
      <w:bookmarkStart w:id="735" w:name="_Toc1144629248"/>
      <w:bookmarkStart w:id="736" w:name="_Toc1211593536"/>
      <w:bookmarkStart w:id="737" w:name="_Toc591579883"/>
      <w:bookmarkStart w:id="738" w:name="_Toc90983389"/>
      <w:bookmarkStart w:id="739" w:name="_Toc90984652"/>
      <w:r>
        <w:t>Abolish the Private Health Insurance Rebate</w:t>
      </w:r>
      <w:bookmarkEnd w:id="728"/>
      <w:bookmarkEnd w:id="729"/>
      <w:bookmarkEnd w:id="730"/>
      <w:bookmarkEnd w:id="731"/>
      <w:bookmarkEnd w:id="732"/>
      <w:bookmarkEnd w:id="733"/>
      <w:bookmarkEnd w:id="734"/>
      <w:bookmarkEnd w:id="735"/>
      <w:bookmarkEnd w:id="736"/>
      <w:bookmarkEnd w:id="737"/>
      <w:bookmarkEnd w:id="738"/>
      <w:bookmarkEnd w:id="739"/>
    </w:p>
    <w:p w14:paraId="2FCB94A3" w14:textId="77777777" w:rsidR="003A1FEC" w:rsidRDefault="003A1FEC" w:rsidP="294F0AC8">
      <w:pPr>
        <w:spacing w:line="276" w:lineRule="auto"/>
        <w:rPr>
          <w:rFonts w:eastAsia="Verdana" w:cs="Verdana"/>
        </w:rPr>
      </w:pPr>
    </w:p>
    <w:p w14:paraId="638DADA4" w14:textId="6C37B299" w:rsidR="000B50DA" w:rsidRDefault="294F0AC8" w:rsidP="294F0AC8">
      <w:pPr>
        <w:spacing w:line="276" w:lineRule="auto"/>
        <w:rPr>
          <w:rFonts w:eastAsia="Verdana" w:cs="Verdana"/>
          <w:vertAlign w:val="superscript"/>
        </w:rPr>
      </w:pPr>
      <w:r w:rsidRPr="294F0AC8">
        <w:rPr>
          <w:rFonts w:eastAsia="Verdana" w:cs="Verdana"/>
        </w:rPr>
        <w:t>Despite being a significant component of health expenditure, the Private Health Insurance Rebate (PHIR) has failed in its promise to take pressure off public hospitals by increasing use of private health insurance. Total savings of $6.8 billion from abolishing the rebate in 2022-23 would be offset by a modest increase in demand for public hospital services.</w:t>
      </w:r>
    </w:p>
    <w:p w14:paraId="5A83F864" w14:textId="7DDEA885" w:rsidR="7B33A330" w:rsidRDefault="294F0AC8" w:rsidP="294F0AC8">
      <w:pPr>
        <w:rPr>
          <w:rFonts w:eastAsia="Verdana" w:cs="Verdana"/>
          <w:b/>
          <w:bCs/>
          <w:color w:val="auto"/>
        </w:rPr>
      </w:pPr>
      <w:r w:rsidRPr="294F0AC8">
        <w:rPr>
          <w:rFonts w:eastAsia="Verdana" w:cs="Verdana"/>
          <w:b/>
          <w:bCs/>
          <w:color w:val="C00000"/>
        </w:rPr>
        <w:t>Recommendation 38:</w:t>
      </w:r>
      <w:r w:rsidRPr="294F0AC8">
        <w:rPr>
          <w:rFonts w:eastAsia="Verdana" w:cs="Verdana"/>
          <w:b/>
          <w:bCs/>
          <w:color w:val="CE2028"/>
        </w:rPr>
        <w:t xml:space="preserve"> </w:t>
      </w:r>
      <w:r w:rsidRPr="294F0AC8">
        <w:rPr>
          <w:rFonts w:eastAsia="Verdana" w:cs="Verdana"/>
          <w:b/>
          <w:bCs/>
          <w:color w:val="auto"/>
        </w:rPr>
        <w:t>Abolish the Private Health Insurance Rebate and reinvest $2.8 billion in public hospitals.</w:t>
      </w:r>
    </w:p>
    <w:p w14:paraId="3C5FC5B5" w14:textId="0F5C4121" w:rsidR="000B50DA" w:rsidRDefault="6FF35054" w:rsidP="280C9BAE">
      <w:r w:rsidRPr="194D1029">
        <w:rPr>
          <w:rFonts w:eastAsia="Verdana" w:cs="Verdana"/>
          <w:b/>
          <w:color w:val="C00000"/>
        </w:rPr>
        <w:t>Budget impact:</w:t>
      </w:r>
      <w:r w:rsidRPr="194D1029">
        <w:rPr>
          <w:rFonts w:eastAsia="Verdana" w:cs="Verdana"/>
          <w:color w:val="C00000"/>
        </w:rPr>
        <w:t xml:space="preserve"> </w:t>
      </w:r>
      <w:r w:rsidRPr="194D1029">
        <w:rPr>
          <w:rFonts w:eastAsia="Verdana" w:cs="Verdana"/>
          <w:b/>
        </w:rPr>
        <w:t>$</w:t>
      </w:r>
      <w:r w:rsidR="6033E24F" w:rsidRPr="194D1029">
        <w:rPr>
          <w:rFonts w:eastAsia="Verdana" w:cs="Verdana"/>
          <w:b/>
        </w:rPr>
        <w:t>4,</w:t>
      </w:r>
      <w:r w:rsidR="194D1029" w:rsidRPr="194D1029">
        <w:rPr>
          <w:rFonts w:eastAsia="Verdana" w:cs="Verdana"/>
          <w:b/>
          <w:bCs/>
        </w:rPr>
        <w:t>000</w:t>
      </w:r>
      <w:r w:rsidRPr="194D1029">
        <w:rPr>
          <w:rFonts w:eastAsia="Verdana" w:cs="Verdana"/>
          <w:b/>
        </w:rPr>
        <w:t xml:space="preserve"> million ($</w:t>
      </w:r>
      <w:r w:rsidR="2B9DBF23" w:rsidRPr="194D1029">
        <w:rPr>
          <w:rFonts w:eastAsia="Verdana" w:cs="Verdana"/>
          <w:b/>
        </w:rPr>
        <w:t>4,2</w:t>
      </w:r>
      <w:r w:rsidRPr="194D1029">
        <w:rPr>
          <w:rFonts w:eastAsia="Verdana" w:cs="Verdana"/>
          <w:b/>
        </w:rPr>
        <w:t xml:space="preserve">00 million in </w:t>
      </w:r>
      <w:r w:rsidR="194D1029" w:rsidRPr="194D1029">
        <w:rPr>
          <w:rFonts w:eastAsia="Verdana" w:cs="Verdana"/>
          <w:b/>
          <w:bCs/>
        </w:rPr>
        <w:t>2023-24</w:t>
      </w:r>
      <w:r w:rsidRPr="194D1029">
        <w:rPr>
          <w:rFonts w:eastAsia="Verdana" w:cs="Verdana"/>
          <w:b/>
        </w:rPr>
        <w:t>)</w:t>
      </w:r>
    </w:p>
    <w:p w14:paraId="4F089D36" w14:textId="1522014F" w:rsidR="3353694F" w:rsidRDefault="3353694F">
      <w:r>
        <w:br w:type="page"/>
      </w:r>
    </w:p>
    <w:p w14:paraId="372310B2" w14:textId="79C6F362" w:rsidR="05A21A44" w:rsidRDefault="05A21A44" w:rsidP="001D1B51">
      <w:pPr>
        <w:pStyle w:val="Heading2"/>
      </w:pPr>
    </w:p>
    <w:p w14:paraId="6073E74B" w14:textId="77777777" w:rsidR="003A1FEC" w:rsidRPr="003A1FEC" w:rsidRDefault="003A1FEC" w:rsidP="003A1FEC"/>
    <w:p w14:paraId="7962BFB0" w14:textId="1D55FCD9" w:rsidR="00A1596B" w:rsidRPr="7B33A330" w:rsidRDefault="294F0AC8" w:rsidP="001D1B51">
      <w:pPr>
        <w:pStyle w:val="Heading2"/>
        <w:rPr>
          <w:rFonts w:eastAsia="Verdana" w:cs="Verdana"/>
          <w:color w:val="auto"/>
        </w:rPr>
      </w:pPr>
      <w:bookmarkStart w:id="740" w:name="_Toc1741356586"/>
      <w:bookmarkStart w:id="741" w:name="_Toc1666682473"/>
      <w:bookmarkStart w:id="742" w:name="_Toc1600038658"/>
      <w:bookmarkStart w:id="743" w:name="_Toc606021438"/>
      <w:bookmarkStart w:id="744" w:name="_Toc1896651288"/>
      <w:bookmarkStart w:id="745" w:name="_Toc305090892"/>
      <w:bookmarkStart w:id="746" w:name="_Toc253087476"/>
      <w:bookmarkStart w:id="747" w:name="_Toc1066684265"/>
      <w:bookmarkStart w:id="748" w:name="_Toc1333613250"/>
      <w:bookmarkStart w:id="749" w:name="_Toc1749737578"/>
      <w:bookmarkStart w:id="750" w:name="_Toc90983390"/>
      <w:bookmarkStart w:id="751" w:name="_Toc90984653"/>
      <w:r>
        <w:t>Abolish the Extended Medicare Safety Net</w:t>
      </w:r>
      <w:bookmarkEnd w:id="740"/>
      <w:bookmarkEnd w:id="741"/>
      <w:bookmarkEnd w:id="742"/>
      <w:bookmarkEnd w:id="743"/>
      <w:bookmarkEnd w:id="744"/>
      <w:bookmarkEnd w:id="745"/>
      <w:bookmarkEnd w:id="746"/>
      <w:bookmarkEnd w:id="747"/>
      <w:bookmarkEnd w:id="748"/>
      <w:bookmarkEnd w:id="749"/>
      <w:bookmarkEnd w:id="750"/>
      <w:bookmarkEnd w:id="751"/>
    </w:p>
    <w:p w14:paraId="32261380" w14:textId="77777777" w:rsidR="003A1FEC" w:rsidRDefault="003A1FEC" w:rsidP="294F0AC8">
      <w:pPr>
        <w:spacing w:line="276" w:lineRule="auto"/>
        <w:rPr>
          <w:rFonts w:eastAsia="Verdana" w:cs="Verdana"/>
          <w:color w:val="auto"/>
        </w:rPr>
      </w:pPr>
    </w:p>
    <w:p w14:paraId="70DEB74C" w14:textId="530F38EB" w:rsidR="280C9BAE" w:rsidRPr="00FA4504" w:rsidRDefault="280C9BAE" w:rsidP="294F0AC8">
      <w:pPr>
        <w:spacing w:line="276" w:lineRule="auto"/>
        <w:rPr>
          <w:rFonts w:eastAsia="Verdana" w:cs="Verdana"/>
          <w:color w:val="auto"/>
        </w:rPr>
      </w:pPr>
      <w:r w:rsidRPr="00FA4504">
        <w:rPr>
          <w:rFonts w:eastAsia="Verdana" w:cs="Verdana"/>
          <w:color w:val="auto"/>
        </w:rPr>
        <w:t>Poorly designed consumer subsidies such as the Extended Medicare Safety Net (EMSN) can exacerbate inflation in health costs and offer little benefit to</w:t>
      </w:r>
      <w:r w:rsidR="00833CFA">
        <w:rPr>
          <w:rFonts w:eastAsia="Verdana" w:cs="Verdana"/>
          <w:color w:val="auto"/>
        </w:rPr>
        <w:t xml:space="preserve"> people on</w:t>
      </w:r>
      <w:r w:rsidRPr="00FA4504">
        <w:rPr>
          <w:rFonts w:eastAsia="Verdana" w:cs="Verdana"/>
          <w:color w:val="auto"/>
        </w:rPr>
        <w:t xml:space="preserve"> lower incomes. An independent review of the EMSN found that less than 4 per cent of EMSN benefits go to the most socioeconomically disadvantaged 20 per cent of the population. This is because they struggle to afford the gap fees that enable them to reach the EMSN thresholds.</w:t>
      </w:r>
      <w:r w:rsidRPr="00FA4504">
        <w:rPr>
          <w:rStyle w:val="FootnoteReference"/>
          <w:rFonts w:eastAsia="Verdana" w:cs="Verdana"/>
          <w:color w:val="auto"/>
        </w:rPr>
        <w:footnoteReference w:id="33"/>
      </w:r>
      <w:r w:rsidRPr="00FA4504">
        <w:rPr>
          <w:rFonts w:eastAsia="Verdana" w:cs="Verdana"/>
          <w:color w:val="auto"/>
        </w:rPr>
        <w:t xml:space="preserve"> While EMSN benefit caps </w:t>
      </w:r>
      <w:r w:rsidR="6FD5D990" w:rsidRPr="00FA4504">
        <w:rPr>
          <w:rFonts w:eastAsia="Verdana" w:cs="Verdana"/>
          <w:color w:val="auto"/>
        </w:rPr>
        <w:t xml:space="preserve">have helped to </w:t>
      </w:r>
      <w:proofErr w:type="spellStart"/>
      <w:r w:rsidR="6FD5D990" w:rsidRPr="00FA4504">
        <w:rPr>
          <w:rFonts w:eastAsia="Verdana" w:cs="Verdana"/>
          <w:color w:val="auto"/>
        </w:rPr>
        <w:t>stabilise</w:t>
      </w:r>
      <w:proofErr w:type="spellEnd"/>
      <w:r w:rsidR="6FD5D990" w:rsidRPr="00FA4504">
        <w:rPr>
          <w:rFonts w:eastAsia="Verdana" w:cs="Verdana"/>
          <w:color w:val="auto"/>
        </w:rPr>
        <w:t xml:space="preserve"> fees charged for </w:t>
      </w:r>
      <w:r w:rsidRPr="00FA4504">
        <w:rPr>
          <w:rFonts w:eastAsia="Verdana" w:cs="Verdana"/>
          <w:color w:val="auto"/>
        </w:rPr>
        <w:t>specialist and allied health services</w:t>
      </w:r>
      <w:r w:rsidR="6FD5D990" w:rsidRPr="00FA4504">
        <w:rPr>
          <w:rFonts w:eastAsia="Verdana" w:cs="Verdana"/>
          <w:color w:val="auto"/>
        </w:rPr>
        <w:t>, there is no evidence that this has resulted in</w:t>
      </w:r>
      <w:r w:rsidRPr="00FA4504">
        <w:rPr>
          <w:rFonts w:eastAsia="Verdana" w:cs="Verdana"/>
          <w:color w:val="auto"/>
        </w:rPr>
        <w:t xml:space="preserve"> a more equitable distribution of EMSN benefits across the income distribution. More fundamental reform is needed, including greater transparency for </w:t>
      </w:r>
      <w:r w:rsidR="00833CFA">
        <w:rPr>
          <w:rFonts w:eastAsia="Verdana" w:cs="Verdana"/>
          <w:color w:val="auto"/>
        </w:rPr>
        <w:t>people</w:t>
      </w:r>
      <w:r w:rsidRPr="00FA4504">
        <w:rPr>
          <w:rFonts w:eastAsia="Verdana" w:cs="Verdana"/>
          <w:color w:val="auto"/>
        </w:rPr>
        <w:t xml:space="preserve"> on the outpatient fees charged by specialists and out-of-pocket costs to patients.</w:t>
      </w:r>
    </w:p>
    <w:p w14:paraId="76E7B929" w14:textId="2C88A9C0" w:rsidR="3677A23E" w:rsidRDefault="294F0AC8" w:rsidP="7B33A330">
      <w:pPr>
        <w:pStyle w:val="Recommendation"/>
        <w:rPr>
          <w:color w:val="auto"/>
        </w:rPr>
      </w:pPr>
      <w:r w:rsidRPr="294F0AC8">
        <w:rPr>
          <w:color w:val="C00000"/>
        </w:rPr>
        <w:t>Recommendation 39:</w:t>
      </w:r>
      <w:r>
        <w:t xml:space="preserve"> </w:t>
      </w:r>
      <w:r w:rsidRPr="294F0AC8">
        <w:rPr>
          <w:color w:val="auto"/>
        </w:rPr>
        <w:t>Abolish the Extended Medicare Safety Net, which costs $500 million a year and is driving up medical costs.</w:t>
      </w:r>
    </w:p>
    <w:p w14:paraId="016E9F80" w14:textId="38100353" w:rsidR="05A21A44" w:rsidRDefault="05A21A44" w:rsidP="05A21A44">
      <w:pPr>
        <w:pStyle w:val="ListNumber"/>
        <w:numPr>
          <w:ilvl w:val="0"/>
          <w:numId w:val="0"/>
        </w:numPr>
        <w:rPr>
          <w:rFonts w:eastAsia="Calibri" w:cs="Arial"/>
          <w:szCs w:val="20"/>
        </w:rPr>
      </w:pPr>
    </w:p>
    <w:p w14:paraId="7C663F2A" w14:textId="3432FF51" w:rsidR="3677A23E" w:rsidRDefault="294F0AC8" w:rsidP="294F0AC8">
      <w:pPr>
        <w:pStyle w:val="Recommendation"/>
        <w:rPr>
          <w:rFonts w:eastAsiaTheme="minorEastAsia"/>
          <w:color w:val="000000" w:themeColor="text1"/>
        </w:rPr>
      </w:pPr>
      <w:r w:rsidRPr="294F0AC8">
        <w:rPr>
          <w:color w:val="C00000"/>
        </w:rPr>
        <w:t>Budget impact:</w:t>
      </w:r>
      <w:r w:rsidRPr="294F0AC8">
        <w:rPr>
          <w:b w:val="0"/>
          <w:color w:val="C00000"/>
        </w:rPr>
        <w:t xml:space="preserve"> </w:t>
      </w:r>
      <w:r w:rsidRPr="294F0AC8">
        <w:rPr>
          <w:rFonts w:eastAsiaTheme="minorEastAsia"/>
          <w:color w:val="000000" w:themeColor="text1"/>
        </w:rPr>
        <w:t>$500 million ($510 million in 2022-23)</w:t>
      </w:r>
    </w:p>
    <w:p w14:paraId="66C46BD1" w14:textId="4B6CDF16" w:rsidR="05A21A44" w:rsidRDefault="05A21A44" w:rsidP="05A21A44">
      <w:pPr>
        <w:pStyle w:val="ListNumber"/>
        <w:numPr>
          <w:ilvl w:val="0"/>
          <w:numId w:val="0"/>
        </w:numPr>
        <w:rPr>
          <w:rFonts w:eastAsia="Calibri" w:cs="Arial"/>
          <w:szCs w:val="20"/>
        </w:rPr>
      </w:pPr>
    </w:p>
    <w:p w14:paraId="47834B75" w14:textId="27ECF135" w:rsidR="05A21A44" w:rsidRDefault="05A21A44" w:rsidP="05A21A44">
      <w:pPr>
        <w:pStyle w:val="ListNumber"/>
        <w:numPr>
          <w:ilvl w:val="0"/>
          <w:numId w:val="0"/>
        </w:numPr>
        <w:rPr>
          <w:rFonts w:eastAsia="Calibri" w:cs="Arial"/>
          <w:szCs w:val="20"/>
        </w:rPr>
      </w:pPr>
    </w:p>
    <w:p w14:paraId="11070F4C" w14:textId="266A77C9" w:rsidR="05A21A44" w:rsidRDefault="05A21A44">
      <w:r>
        <w:br w:type="page"/>
      </w:r>
    </w:p>
    <w:p w14:paraId="270FAF18" w14:textId="37A10587" w:rsidR="05A21A44" w:rsidRDefault="05A21A44" w:rsidP="05A21A44">
      <w:pPr>
        <w:rPr>
          <w:rFonts w:eastAsia="Calibri" w:cs="Arial"/>
          <w:szCs w:val="20"/>
        </w:rPr>
      </w:pPr>
    </w:p>
    <w:p w14:paraId="3FA4A867" w14:textId="77C35F2A" w:rsidR="00374E9D" w:rsidRDefault="294F0AC8" w:rsidP="280C9BAE">
      <w:pPr>
        <w:pStyle w:val="Heading1"/>
        <w:numPr>
          <w:ilvl w:val="0"/>
          <w:numId w:val="0"/>
        </w:numPr>
      </w:pPr>
      <w:bookmarkStart w:id="752" w:name="_Toc130735837"/>
      <w:bookmarkStart w:id="753" w:name="_Toc1650717126"/>
      <w:bookmarkStart w:id="754" w:name="_Toc1266584257"/>
      <w:bookmarkStart w:id="755" w:name="_Toc611367930"/>
      <w:bookmarkStart w:id="756" w:name="_Toc825754298"/>
      <w:bookmarkStart w:id="757" w:name="_Toc521135223"/>
      <w:bookmarkStart w:id="758" w:name="_Toc815585837"/>
      <w:bookmarkStart w:id="759" w:name="_Toc1818609076"/>
      <w:bookmarkStart w:id="760" w:name="_Toc123474917"/>
      <w:bookmarkStart w:id="761" w:name="_Toc90983320"/>
      <w:bookmarkStart w:id="762" w:name="_Toc90983391"/>
      <w:bookmarkStart w:id="763" w:name="_Toc90984654"/>
      <w:r>
        <w:t>8. First Nations communities</w:t>
      </w:r>
      <w:bookmarkEnd w:id="752"/>
      <w:bookmarkEnd w:id="753"/>
      <w:bookmarkEnd w:id="754"/>
      <w:bookmarkEnd w:id="755"/>
      <w:bookmarkEnd w:id="756"/>
      <w:bookmarkEnd w:id="757"/>
      <w:bookmarkEnd w:id="758"/>
      <w:bookmarkEnd w:id="759"/>
      <w:bookmarkEnd w:id="760"/>
      <w:bookmarkEnd w:id="761"/>
      <w:bookmarkEnd w:id="762"/>
      <w:bookmarkEnd w:id="763"/>
    </w:p>
    <w:p w14:paraId="47D849B1" w14:textId="77777777" w:rsidR="003A1FEC" w:rsidRDefault="003A1FEC" w:rsidP="294F0AC8">
      <w:pPr>
        <w:rPr>
          <w:rFonts w:eastAsia="Verdana" w:cs="Verdana"/>
        </w:rPr>
      </w:pPr>
    </w:p>
    <w:p w14:paraId="1F8617F0" w14:textId="5EBE5BE5" w:rsidR="280C9BAE" w:rsidRDefault="294F0AC8" w:rsidP="294F0AC8">
      <w:pPr>
        <w:rPr>
          <w:rFonts w:eastAsia="Calibri" w:cs="Arial"/>
        </w:rPr>
      </w:pPr>
      <w:r w:rsidRPr="294F0AC8">
        <w:rPr>
          <w:rFonts w:eastAsia="Verdana" w:cs="Verdana"/>
        </w:rPr>
        <w:t xml:space="preserve">If governments are serious about improving outcomes for First Nations People, they must support local, community driven solutions. The recommendations relating to First Nations communities in this submission are designed to support community-led reform. Building capacity in communities is critical to improve the quality of life and wellbeing. </w:t>
      </w:r>
    </w:p>
    <w:p w14:paraId="04FB514A" w14:textId="77C35F2A" w:rsidR="280C9BAE" w:rsidRDefault="280C9BAE" w:rsidP="280C9BAE">
      <w:pPr>
        <w:rPr>
          <w:rFonts w:eastAsia="Calibri" w:cs="Arial"/>
        </w:rPr>
      </w:pPr>
      <w:r w:rsidRPr="5B039771">
        <w:rPr>
          <w:rFonts w:eastAsia="Verdana" w:cs="Verdana"/>
        </w:rPr>
        <w:t>ACOSS strongly supports the ‘Uluru Statement from the Heart’ to give First Nations People a say in the decisions that affect their lives with a constitutional voice to Parliament. This will help ensure that we do things differently and more productively and allow Aboriginal and Torres Strait Islander people to claim their rightful place in the nation.</w:t>
      </w:r>
    </w:p>
    <w:p w14:paraId="1C0ABB93" w14:textId="77C35F2A" w:rsidR="00374E9D" w:rsidRPr="003A1FEC" w:rsidRDefault="294F0AC8" w:rsidP="294F0AC8">
      <w:pPr>
        <w:rPr>
          <w:rFonts w:eastAsia="Verdana" w:cs="Verdana"/>
          <w:b/>
          <w:bCs/>
          <w:color w:val="201F1E"/>
          <w:szCs w:val="20"/>
        </w:rPr>
      </w:pPr>
      <w:r w:rsidRPr="003A1FEC">
        <w:rPr>
          <w:rFonts w:eastAsia="Verdana" w:cs="Verdana"/>
          <w:b/>
          <w:bCs/>
          <w:color w:val="201F1E"/>
          <w:szCs w:val="20"/>
        </w:rPr>
        <w:t>Major recommendations:</w:t>
      </w:r>
    </w:p>
    <w:p w14:paraId="5914D6D8" w14:textId="77C35F2A" w:rsidR="280C9BAE" w:rsidRDefault="294F0AC8" w:rsidP="00DD3DC0">
      <w:pPr>
        <w:pStyle w:val="ListParagraph"/>
        <w:numPr>
          <w:ilvl w:val="0"/>
          <w:numId w:val="11"/>
        </w:numPr>
        <w:rPr>
          <w:rFonts w:asciiTheme="minorEastAsia" w:eastAsiaTheme="minorEastAsia" w:hAnsiTheme="minorEastAsia" w:cstheme="minorEastAsia"/>
          <w:b/>
          <w:color w:val="auto"/>
        </w:rPr>
      </w:pPr>
      <w:r w:rsidRPr="294F0AC8">
        <w:rPr>
          <w:rFonts w:eastAsiaTheme="minorEastAsia"/>
          <w:b/>
          <w:color w:val="auto"/>
        </w:rPr>
        <w:t>Implement Uluru Statement from the Heart, including by holding a referendum on a First Nations Voice to Parliament enshrined in the Constitution.</w:t>
      </w:r>
    </w:p>
    <w:p w14:paraId="413ED3F2" w14:textId="77C35F2A" w:rsidR="280C9BAE" w:rsidRDefault="294F0AC8" w:rsidP="00DD3DC0">
      <w:pPr>
        <w:pStyle w:val="List3"/>
        <w:numPr>
          <w:ilvl w:val="0"/>
          <w:numId w:val="11"/>
        </w:numPr>
        <w:rPr>
          <w:rFonts w:asciiTheme="minorEastAsia" w:eastAsiaTheme="minorEastAsia" w:hAnsiTheme="minorEastAsia" w:cstheme="minorEastAsia"/>
          <w:b/>
          <w:color w:val="auto"/>
        </w:rPr>
      </w:pPr>
      <w:r w:rsidRPr="5B039771">
        <w:rPr>
          <w:rFonts w:eastAsiaTheme="minorEastAsia"/>
          <w:b/>
          <w:color w:val="auto"/>
        </w:rPr>
        <w:t xml:space="preserve">Abolish discriminatory social security policies including mandatory income management and cashless debit. </w:t>
      </w:r>
    </w:p>
    <w:p w14:paraId="240C87D8" w14:textId="5D251BC0" w:rsidR="280C9BAE" w:rsidRDefault="280C9BAE" w:rsidP="280C9BAE">
      <w:pPr>
        <w:pStyle w:val="List3"/>
        <w:spacing w:after="0"/>
        <w:ind w:left="0" w:firstLine="0"/>
      </w:pPr>
    </w:p>
    <w:p w14:paraId="6130134F" w14:textId="77777777" w:rsidR="003A1FEC" w:rsidRDefault="003A1FEC" w:rsidP="280C9BAE">
      <w:pPr>
        <w:pStyle w:val="List3"/>
        <w:spacing w:after="0"/>
        <w:ind w:left="0" w:firstLine="0"/>
      </w:pPr>
    </w:p>
    <w:p w14:paraId="20FFDA89" w14:textId="40142DDB" w:rsidR="00374E9D" w:rsidRPr="00504429" w:rsidRDefault="280C9BAE" w:rsidP="280C9BAE">
      <w:pPr>
        <w:pStyle w:val="List3"/>
        <w:spacing w:after="0"/>
        <w:ind w:left="0" w:firstLine="0"/>
        <w:rPr>
          <w:highlight w:val="yellow"/>
        </w:rPr>
      </w:pPr>
      <w:r>
        <w:t>The following recommendations – featured elsewhere in the submission – are priorities for reform with respect to policies, programs and services that affect First Nations People:</w:t>
      </w:r>
    </w:p>
    <w:p w14:paraId="783CC2C8" w14:textId="304C685F" w:rsidR="280C9BAE" w:rsidRDefault="280C9BAE" w:rsidP="00DD3DC0">
      <w:pPr>
        <w:pStyle w:val="List3"/>
        <w:numPr>
          <w:ilvl w:val="0"/>
          <w:numId w:val="19"/>
        </w:numPr>
        <w:rPr>
          <w:rFonts w:asciiTheme="minorHAnsi" w:eastAsiaTheme="minorEastAsia" w:hAnsiTheme="minorHAnsi"/>
          <w:szCs w:val="20"/>
        </w:rPr>
      </w:pPr>
      <w:r w:rsidRPr="280C9BAE">
        <w:t>Ensure Aboriginal and Torres Strait Islander children get access to high quality early education that is culturally safe, delivered by appropriately skilled teachers (see Chapter 6).</w:t>
      </w:r>
    </w:p>
    <w:p w14:paraId="141B43AE" w14:textId="70D7FD02" w:rsidR="280C9BAE" w:rsidRDefault="280C9BAE" w:rsidP="00DD3DC0">
      <w:pPr>
        <w:pStyle w:val="List3"/>
        <w:numPr>
          <w:ilvl w:val="0"/>
          <w:numId w:val="19"/>
        </w:numPr>
        <w:rPr>
          <w:szCs w:val="20"/>
        </w:rPr>
      </w:pPr>
      <w:r w:rsidRPr="280C9BAE">
        <w:t xml:space="preserve">Abolish compulsory income management and the cashless debit card in all states and territories, putting in place both transition arrangements for individuals and communities wishing to retain voluntary income management and cashless card schemes; and opt-in schemes which have been co-designed with communities and to include supports and services as elected by communities, which could include financial counselling, drug and alcohol services, mental health and social support services (see Chapter 1). </w:t>
      </w:r>
    </w:p>
    <w:p w14:paraId="4CB306FB" w14:textId="60878C7F" w:rsidR="280C9BAE" w:rsidRDefault="280C9BAE" w:rsidP="00DD3DC0">
      <w:pPr>
        <w:pStyle w:val="List3"/>
        <w:numPr>
          <w:ilvl w:val="0"/>
          <w:numId w:val="19"/>
        </w:numPr>
        <w:rPr>
          <w:szCs w:val="20"/>
        </w:rPr>
      </w:pPr>
      <w:r w:rsidRPr="280C9BAE">
        <w:t xml:space="preserve">Develop a new national Aboriginal and Torres Strait Islander housing strategy for urban, rural, </w:t>
      </w:r>
      <w:proofErr w:type="gramStart"/>
      <w:r w:rsidRPr="280C9BAE">
        <w:t>regional</w:t>
      </w:r>
      <w:proofErr w:type="gramEnd"/>
      <w:r w:rsidRPr="280C9BAE">
        <w:t xml:space="preserve"> and remote areas, and a new remote housing agreement (see Chapter 5).</w:t>
      </w:r>
    </w:p>
    <w:p w14:paraId="4BE5ED2F" w14:textId="29676CC9" w:rsidR="280C9BAE" w:rsidRDefault="280C9BAE" w:rsidP="00DD3DC0">
      <w:pPr>
        <w:pStyle w:val="List3"/>
        <w:numPr>
          <w:ilvl w:val="0"/>
          <w:numId w:val="19"/>
        </w:numPr>
        <w:rPr>
          <w:rFonts w:asciiTheme="minorHAnsi" w:eastAsiaTheme="minorEastAsia" w:hAnsiTheme="minorHAnsi"/>
          <w:szCs w:val="20"/>
        </w:rPr>
      </w:pPr>
      <w:r w:rsidRPr="280C9BAE">
        <w:t>Establish an Aboriginal and Torres Strait Islander Communities Clean Energy Fund to invest in clean energy and energy efficiency for remote communities, including solar and other subsidies for Aboriginal and Torres Strait Islander householders (see Chapter 3).</w:t>
      </w:r>
    </w:p>
    <w:p w14:paraId="0413D604" w14:textId="06D40CE9" w:rsidR="280C9BAE" w:rsidRDefault="280C9BAE" w:rsidP="00DD3DC0">
      <w:pPr>
        <w:pStyle w:val="List3"/>
        <w:numPr>
          <w:ilvl w:val="0"/>
          <w:numId w:val="19"/>
        </w:numPr>
        <w:rPr>
          <w:szCs w:val="20"/>
        </w:rPr>
      </w:pPr>
      <w:r w:rsidRPr="280C9BAE">
        <w:t>Support Aboriginal and Torres Strait Islander peoples and communities to participate in whole-of community response to building climate resilience and to better prepare for, respond and recover from natural disasters that build on traditional and local knowledge (see Chapter 4).</w:t>
      </w:r>
    </w:p>
    <w:p w14:paraId="2CE10D71" w14:textId="751C8819" w:rsidR="280C9BAE" w:rsidRDefault="280C9BAE" w:rsidP="280C9BAE">
      <w:pPr>
        <w:pStyle w:val="List3"/>
        <w:rPr>
          <w:rFonts w:eastAsia="Calibri" w:cs="Arial"/>
          <w:szCs w:val="20"/>
          <w:highlight w:val="yellow"/>
        </w:rPr>
      </w:pPr>
    </w:p>
    <w:p w14:paraId="2C6E418E" w14:textId="751C8819" w:rsidR="280C9BAE" w:rsidRDefault="280C9BAE" w:rsidP="280C9BAE">
      <w:pPr>
        <w:pStyle w:val="List3"/>
        <w:rPr>
          <w:rFonts w:eastAsia="Calibri" w:cs="Arial"/>
          <w:szCs w:val="20"/>
          <w:highlight w:val="yellow"/>
        </w:rPr>
      </w:pPr>
    </w:p>
    <w:p w14:paraId="580F880E" w14:textId="4282E423" w:rsidR="05A21A44" w:rsidRDefault="05A21A44">
      <w:r>
        <w:br w:type="page"/>
      </w:r>
    </w:p>
    <w:p w14:paraId="5AC26E51" w14:textId="0976A9BD" w:rsidR="095B6043" w:rsidRDefault="095B6043" w:rsidP="280C9BAE">
      <w:pPr>
        <w:pStyle w:val="List3"/>
        <w:rPr>
          <w:rFonts w:eastAsia="Calibri" w:cs="Arial"/>
          <w:szCs w:val="20"/>
          <w:highlight w:val="yellow"/>
        </w:rPr>
      </w:pPr>
    </w:p>
    <w:p w14:paraId="3CB48B1A" w14:textId="77C35F2A" w:rsidR="095B6043" w:rsidRDefault="294F0AC8" w:rsidP="221BCE3A">
      <w:pPr>
        <w:pStyle w:val="Heading1"/>
        <w:numPr>
          <w:ilvl w:val="0"/>
          <w:numId w:val="0"/>
        </w:numPr>
      </w:pPr>
      <w:bookmarkStart w:id="764" w:name="_Toc90983321"/>
      <w:bookmarkStart w:id="765" w:name="_Toc90983392"/>
      <w:bookmarkStart w:id="766" w:name="_Toc90984655"/>
      <w:bookmarkStart w:id="767" w:name="_Toc1677976674"/>
      <w:bookmarkStart w:id="768" w:name="_Toc1063449289"/>
      <w:bookmarkStart w:id="769" w:name="_Toc1438899819"/>
      <w:bookmarkStart w:id="770" w:name="_Toc13875667"/>
      <w:bookmarkStart w:id="771" w:name="_Toc1186910240"/>
      <w:bookmarkStart w:id="772" w:name="_Toc165715562"/>
      <w:bookmarkStart w:id="773" w:name="_Toc1399892934"/>
      <w:bookmarkStart w:id="774" w:name="_Toc446743293"/>
      <w:r>
        <w:t>9. Decent retirement incomes and services</w:t>
      </w:r>
      <w:bookmarkEnd w:id="764"/>
      <w:bookmarkEnd w:id="765"/>
      <w:bookmarkEnd w:id="766"/>
      <w:r>
        <w:t xml:space="preserve"> </w:t>
      </w:r>
      <w:bookmarkEnd w:id="767"/>
      <w:bookmarkEnd w:id="768"/>
      <w:bookmarkEnd w:id="769"/>
      <w:bookmarkEnd w:id="770"/>
      <w:bookmarkEnd w:id="771"/>
      <w:bookmarkEnd w:id="772"/>
      <w:bookmarkEnd w:id="773"/>
      <w:bookmarkEnd w:id="774"/>
    </w:p>
    <w:p w14:paraId="169D9F34" w14:textId="77777777" w:rsidR="003A1FEC" w:rsidRDefault="003A1FEC" w:rsidP="221BCE3A">
      <w:pPr>
        <w:rPr>
          <w:rFonts w:eastAsiaTheme="minorEastAsia"/>
          <w:szCs w:val="20"/>
        </w:rPr>
      </w:pPr>
    </w:p>
    <w:p w14:paraId="6D9483B6" w14:textId="0A076611" w:rsidR="7B33A330" w:rsidRDefault="4A8FE9A1" w:rsidP="221BCE3A">
      <w:r w:rsidRPr="79A6475B">
        <w:rPr>
          <w:rFonts w:eastAsiaTheme="minorEastAsia"/>
          <w:szCs w:val="20"/>
        </w:rPr>
        <w:t>Security in retirement depends on pensions that prevent poverty, fair superannuation that cushions the loss of income from employment, affordable housing, and universal access to quality health and aged care services. The tax treatment of superannuation is parsimonious for people on low incomes and most women</w:t>
      </w:r>
      <w:r w:rsidR="00833CFA">
        <w:rPr>
          <w:rFonts w:eastAsiaTheme="minorEastAsia"/>
          <w:szCs w:val="20"/>
        </w:rPr>
        <w:t>,</w:t>
      </w:r>
      <w:r w:rsidRPr="79A6475B">
        <w:rPr>
          <w:rFonts w:eastAsiaTheme="minorEastAsia"/>
          <w:szCs w:val="20"/>
        </w:rPr>
        <w:t xml:space="preserve"> and too generous for people with high incomes, mainly men. This entrenches inequality in retirement and deprives governments of the revenue they need to fund decent health and aged care for an ageing population. Tax concessions for contributions should be replaced with an annual rebate that is simpler and fairer. To guarantee quality aged care for all, a levy should apply to superannuation fund investment incomes after retirement, and the Medicare Levy should be strengthened to fund essential health services.  </w:t>
      </w:r>
      <w:r w:rsidRPr="79A6475B">
        <w:rPr>
          <w:rFonts w:ascii="Calibri" w:eastAsia="Calibri" w:hAnsi="Calibri" w:cs="Calibri"/>
          <w:color w:val="201F1E"/>
          <w:sz w:val="22"/>
        </w:rPr>
        <w:t xml:space="preserve">    </w:t>
      </w:r>
    </w:p>
    <w:p w14:paraId="6F60D4DA" w14:textId="513E10A5" w:rsidR="7B33A330" w:rsidRDefault="221BCE3A" w:rsidP="221BCE3A">
      <w:pPr>
        <w:rPr>
          <w:rFonts w:eastAsia="Verdana" w:cs="Verdana"/>
          <w:b/>
          <w:color w:val="201F1E"/>
          <w:sz w:val="22"/>
        </w:rPr>
      </w:pPr>
      <w:r w:rsidRPr="280C9BAE">
        <w:rPr>
          <w:rFonts w:eastAsia="Verdana" w:cs="Verdana"/>
          <w:b/>
          <w:color w:val="201F1E"/>
          <w:sz w:val="22"/>
        </w:rPr>
        <w:t>Major recommendations:</w:t>
      </w:r>
    </w:p>
    <w:p w14:paraId="07157428" w14:textId="0712984A" w:rsidR="7B33A330" w:rsidRDefault="00833CFA" w:rsidP="00DD3DC0">
      <w:pPr>
        <w:pStyle w:val="Recommendation"/>
        <w:numPr>
          <w:ilvl w:val="0"/>
          <w:numId w:val="1"/>
        </w:numPr>
        <w:rPr>
          <w:rFonts w:asciiTheme="minorEastAsia" w:eastAsiaTheme="minorEastAsia" w:hAnsiTheme="minorEastAsia" w:cstheme="minorEastAsia"/>
          <w:color w:val="000000" w:themeColor="text1"/>
        </w:rPr>
      </w:pPr>
      <w:r>
        <w:rPr>
          <w:rFonts w:eastAsiaTheme="minorEastAsia"/>
          <w:color w:val="auto"/>
        </w:rPr>
        <w:t xml:space="preserve">  </w:t>
      </w:r>
      <w:r w:rsidR="294F0AC8" w:rsidRPr="294F0AC8">
        <w:rPr>
          <w:rFonts w:eastAsiaTheme="minorEastAsia"/>
          <w:color w:val="auto"/>
        </w:rPr>
        <w:t>Replace tax concessions for superannuation contributions with a fairer and simpler annual rebate</w:t>
      </w:r>
      <w:r w:rsidR="294F0AC8" w:rsidRPr="294F0AC8">
        <w:rPr>
          <w:color w:val="auto"/>
        </w:rPr>
        <w:t>.</w:t>
      </w:r>
    </w:p>
    <w:p w14:paraId="506E2C4D" w14:textId="35B70EC0" w:rsidR="7B33A330" w:rsidRDefault="294F0AC8" w:rsidP="00DD3DC0">
      <w:pPr>
        <w:pStyle w:val="List3"/>
        <w:numPr>
          <w:ilvl w:val="0"/>
          <w:numId w:val="2"/>
        </w:numPr>
        <w:rPr>
          <w:rFonts w:asciiTheme="minorEastAsia" w:eastAsiaTheme="minorEastAsia" w:hAnsiTheme="minorEastAsia" w:cstheme="minorEastAsia"/>
          <w:b/>
          <w:bCs/>
        </w:rPr>
      </w:pPr>
      <w:r w:rsidRPr="294F0AC8">
        <w:rPr>
          <w:rFonts w:eastAsiaTheme="minorEastAsia"/>
          <w:b/>
          <w:bCs/>
          <w:color w:val="auto"/>
        </w:rPr>
        <w:t xml:space="preserve">A 15% levy on superannuation fund earnings after retirement to guarantee universal access to quality aged care services. </w:t>
      </w:r>
    </w:p>
    <w:p w14:paraId="33E358B7" w14:textId="76BD6897" w:rsidR="7B33A330" w:rsidRDefault="294F0AC8" w:rsidP="00DD3DC0">
      <w:pPr>
        <w:pStyle w:val="List3"/>
        <w:numPr>
          <w:ilvl w:val="0"/>
          <w:numId w:val="2"/>
        </w:numPr>
        <w:rPr>
          <w:b/>
          <w:bCs/>
        </w:rPr>
      </w:pPr>
      <w:r w:rsidRPr="294F0AC8">
        <w:rPr>
          <w:rFonts w:eastAsiaTheme="minorEastAsia"/>
          <w:b/>
          <w:bCs/>
          <w:color w:val="auto"/>
        </w:rPr>
        <w:t>Prevent avoidance of the Medicare Levy to strengthen funding for health services.</w:t>
      </w:r>
    </w:p>
    <w:p w14:paraId="10502AA0" w14:textId="5E334567" w:rsidR="13AEF3D9" w:rsidRDefault="13AEF3D9" w:rsidP="79A6475B">
      <w:pPr>
        <w:rPr>
          <w:rFonts w:eastAsia="Verdana" w:cs="Verdana"/>
          <w:sz w:val="19"/>
          <w:szCs w:val="19"/>
        </w:rPr>
      </w:pPr>
    </w:p>
    <w:p w14:paraId="51AD659C" w14:textId="77C35F2A" w:rsidR="000B50DA" w:rsidRDefault="294F0AC8" w:rsidP="001D1B51">
      <w:pPr>
        <w:pStyle w:val="Heading2"/>
      </w:pPr>
      <w:bookmarkStart w:id="775" w:name="_Toc897080705"/>
      <w:bookmarkStart w:id="776" w:name="_Toc1978899640"/>
      <w:bookmarkStart w:id="777" w:name="_Toc1260428767"/>
      <w:bookmarkStart w:id="778" w:name="_Toc290909527"/>
      <w:bookmarkStart w:id="779" w:name="_Toc1139432114"/>
      <w:bookmarkStart w:id="780" w:name="_Toc1550088355"/>
      <w:bookmarkStart w:id="781" w:name="_Toc1579540410"/>
      <w:bookmarkStart w:id="782" w:name="_Toc1853819717"/>
      <w:bookmarkStart w:id="783" w:name="_Toc90983393"/>
      <w:bookmarkStart w:id="784" w:name="_Toc90984656"/>
      <w:r w:rsidRPr="294F0AC8">
        <w:t>Compulsory superannuation that's fit for purpose</w:t>
      </w:r>
      <w:bookmarkEnd w:id="775"/>
      <w:bookmarkEnd w:id="776"/>
      <w:bookmarkEnd w:id="777"/>
      <w:bookmarkEnd w:id="778"/>
      <w:bookmarkEnd w:id="779"/>
      <w:bookmarkEnd w:id="780"/>
      <w:bookmarkEnd w:id="781"/>
      <w:bookmarkEnd w:id="782"/>
      <w:bookmarkEnd w:id="783"/>
      <w:bookmarkEnd w:id="784"/>
    </w:p>
    <w:p w14:paraId="41145A67" w14:textId="77777777" w:rsidR="003A1FEC" w:rsidRDefault="003A1FEC" w:rsidP="4A8FE9A1">
      <w:pPr>
        <w:rPr>
          <w:rFonts w:eastAsia="Verdana" w:cs="Verdana"/>
          <w:szCs w:val="20"/>
        </w:rPr>
      </w:pPr>
    </w:p>
    <w:p w14:paraId="406A7283" w14:textId="7EE449D6" w:rsidR="000B50DA" w:rsidRDefault="4A8FE9A1" w:rsidP="4A8FE9A1">
      <w:pPr>
        <w:rPr>
          <w:szCs w:val="20"/>
        </w:rPr>
      </w:pPr>
      <w:r w:rsidRPr="4A8FE9A1">
        <w:rPr>
          <w:rFonts w:eastAsia="Verdana" w:cs="Verdana"/>
          <w:szCs w:val="20"/>
        </w:rPr>
        <w:t>Compulsory superannuation has improved retirement incomes and living standards for many who would otherwise rely on the Age Pension alone.</w:t>
      </w:r>
      <w:r w:rsidRPr="4A8FE9A1">
        <w:rPr>
          <w:szCs w:val="20"/>
        </w:rPr>
        <w:t xml:space="preserve"> Since compulsory super is forced saving, the system should take account of greater financial pressures people (especially those with low incomes) face during working life, including higher housing costs, raising children, and the financial risks of unemployment and unstable employment, </w:t>
      </w:r>
      <w:r w:rsidR="00AD6323" w:rsidRPr="4A8FE9A1">
        <w:rPr>
          <w:szCs w:val="20"/>
        </w:rPr>
        <w:t>separation,</w:t>
      </w:r>
      <w:r w:rsidRPr="4A8FE9A1">
        <w:rPr>
          <w:szCs w:val="20"/>
        </w:rPr>
        <w:t xml:space="preserve"> and illness.</w:t>
      </w:r>
    </w:p>
    <w:p w14:paraId="7A8717E4" w14:textId="16F18AA9" w:rsidR="000B50DA" w:rsidRDefault="4A8FE9A1" w:rsidP="4A8FE9A1">
      <w:pPr>
        <w:spacing w:line="257" w:lineRule="auto"/>
        <w:rPr>
          <w:rFonts w:eastAsia="Verdana" w:cs="Verdana"/>
          <w:szCs w:val="20"/>
          <w:vertAlign w:val="superscript"/>
        </w:rPr>
      </w:pPr>
      <w:r w:rsidRPr="194D1029">
        <w:t xml:space="preserve">A sensible goal for compulsory retirement saving is to ensure that a worker on a median wage can come within reach of their average living standard during working life after they retire (taking account of pension entitlements). </w:t>
      </w:r>
      <w:r w:rsidRPr="194D1029">
        <w:rPr>
          <w:rFonts w:eastAsia="Verdana" w:cs="Verdana"/>
        </w:rPr>
        <w:t>Research by the Retirement Income Review indicates that most wage earners will achieve this goal through a combination of the Age Pension and superannuation contributions of around 10% of earnings throughout typical working lives</w:t>
      </w:r>
      <w:r w:rsidR="280C9BAE" w:rsidRPr="194D1029">
        <w:rPr>
          <w:rFonts w:eastAsia="Verdana" w:cs="Verdana"/>
        </w:rPr>
        <w:t>.</w:t>
      </w:r>
      <w:r w:rsidR="000B50DA" w:rsidRPr="194D1029">
        <w:rPr>
          <w:rStyle w:val="FootnoteReference"/>
          <w:rFonts w:eastAsia="Verdana" w:cs="Verdana"/>
        </w:rPr>
        <w:footnoteReference w:id="34"/>
      </w:r>
    </w:p>
    <w:p w14:paraId="25B30775" w14:textId="6969C4AE" w:rsidR="000B50DA" w:rsidRDefault="4A8FE9A1" w:rsidP="4A8FE9A1">
      <w:pPr>
        <w:spacing w:line="257" w:lineRule="auto"/>
      </w:pPr>
      <w:r w:rsidRPr="4A8FE9A1">
        <w:rPr>
          <w:rFonts w:eastAsia="Verdana" w:cs="Verdana"/>
          <w:sz w:val="19"/>
          <w:szCs w:val="19"/>
        </w:rPr>
        <w:t>The Superannuation Guarantee</w:t>
      </w:r>
      <w:r w:rsidR="00AD6323">
        <w:rPr>
          <w:rFonts w:eastAsia="Verdana" w:cs="Verdana"/>
          <w:sz w:val="19"/>
          <w:szCs w:val="19"/>
        </w:rPr>
        <w:t>,</w:t>
      </w:r>
      <w:r w:rsidRPr="5B039771">
        <w:rPr>
          <w:rFonts w:eastAsia="Verdana" w:cs="Verdana"/>
        </w:rPr>
        <w:t xml:space="preserve"> which regulates compulsory retirement saving</w:t>
      </w:r>
      <w:r w:rsidR="00AD6323">
        <w:rPr>
          <w:rFonts w:eastAsia="Verdana" w:cs="Verdana"/>
        </w:rPr>
        <w:t>,</w:t>
      </w:r>
      <w:r w:rsidRPr="5B039771">
        <w:rPr>
          <w:rFonts w:eastAsia="Verdana" w:cs="Verdana"/>
        </w:rPr>
        <w:t xml:space="preserve"> is currently set at 10% of earnings. It should only be increased above that level if the benefits of higher compulsory contributions for the median wage-earner and those with lower incomes are clearly demonstrated, and tax concessions for contributions are reformed so that compulsory saving is worthwhile for people with low and modest incomes.</w:t>
      </w:r>
    </w:p>
    <w:p w14:paraId="43371F7C" w14:textId="5669CC1B" w:rsidR="4F4A8FA3" w:rsidRDefault="4F4A8FA3">
      <w:r>
        <w:br w:type="page"/>
      </w:r>
    </w:p>
    <w:p w14:paraId="3C359A83" w14:textId="7F79ECB4" w:rsidR="14E685DB" w:rsidRDefault="294F0AC8" w:rsidP="294F0AC8">
      <w:pPr>
        <w:pStyle w:val="Recommendation"/>
        <w:rPr>
          <w:rFonts w:eastAsiaTheme="minorEastAsia"/>
          <w:color w:val="000000" w:themeColor="text1"/>
        </w:rPr>
      </w:pPr>
      <w:r w:rsidRPr="294F0AC8">
        <w:rPr>
          <w:rFonts w:eastAsiaTheme="minorEastAsia"/>
          <w:color w:val="C00000"/>
        </w:rPr>
        <w:lastRenderedPageBreak/>
        <w:t xml:space="preserve">Recommendation 40: </w:t>
      </w:r>
      <w:r w:rsidRPr="294F0AC8">
        <w:rPr>
          <w:rFonts w:eastAsiaTheme="minorEastAsia"/>
          <w:color w:val="000000" w:themeColor="text1"/>
        </w:rPr>
        <w:t>Universal compulsory super contributions should remain at 10% unless it is demonstrated that higher contributions would benefit people on low and modest incomes across</w:t>
      </w:r>
      <w:r w:rsidRPr="294F0AC8">
        <w:rPr>
          <w:rFonts w:eastAsiaTheme="minorEastAsia"/>
        </w:rPr>
        <w:t xml:space="preserve"> </w:t>
      </w:r>
      <w:r w:rsidRPr="294F0AC8">
        <w:rPr>
          <w:rFonts w:eastAsiaTheme="minorEastAsia"/>
          <w:color w:val="000000" w:themeColor="text1"/>
        </w:rPr>
        <w:t>their lifetimes.</w:t>
      </w:r>
    </w:p>
    <w:p w14:paraId="4683DC2E" w14:textId="291A8F06" w:rsidR="280C9BAE" w:rsidRDefault="280C9BAE" w:rsidP="280C9BAE">
      <w:pPr>
        <w:pStyle w:val="ListNumber"/>
        <w:numPr>
          <w:ilvl w:val="0"/>
          <w:numId w:val="0"/>
        </w:numPr>
        <w:rPr>
          <w:b/>
          <w:bCs/>
        </w:rPr>
      </w:pPr>
    </w:p>
    <w:p w14:paraId="1C10BB96" w14:textId="2456F8FA" w:rsidR="618E9110" w:rsidRDefault="294F0AC8" w:rsidP="00DD3DC0">
      <w:pPr>
        <w:pStyle w:val="ListNumber"/>
        <w:numPr>
          <w:ilvl w:val="0"/>
          <w:numId w:val="30"/>
        </w:numPr>
        <w:rPr>
          <w:rFonts w:asciiTheme="minorHAnsi" w:eastAsiaTheme="minorEastAsia" w:hAnsiTheme="minorHAnsi"/>
          <w:b/>
          <w:bCs/>
          <w:szCs w:val="20"/>
        </w:rPr>
      </w:pPr>
      <w:r w:rsidRPr="294F0AC8">
        <w:rPr>
          <w:b/>
          <w:bCs/>
        </w:rPr>
        <w:t xml:space="preserve">Compulsory superannuation should remain universal, with the same compulsory saving requirements and conditions applying as far as practicable to all employees. </w:t>
      </w:r>
    </w:p>
    <w:p w14:paraId="4A8F66B3" w14:textId="0280B4BA" w:rsidR="294F0AC8" w:rsidRDefault="294F0AC8" w:rsidP="294F0AC8">
      <w:pPr>
        <w:pStyle w:val="ListNumber"/>
        <w:numPr>
          <w:ilvl w:val="0"/>
          <w:numId w:val="0"/>
        </w:numPr>
        <w:rPr>
          <w:rFonts w:eastAsia="Calibri" w:cs="Arial"/>
          <w:b/>
          <w:bCs/>
          <w:szCs w:val="20"/>
        </w:rPr>
      </w:pPr>
    </w:p>
    <w:p w14:paraId="7DAD0A7C" w14:textId="755934A9" w:rsidR="618E9110" w:rsidRDefault="294F0AC8" w:rsidP="00DD3DC0">
      <w:pPr>
        <w:pStyle w:val="ListNumber"/>
        <w:numPr>
          <w:ilvl w:val="0"/>
          <w:numId w:val="30"/>
        </w:numPr>
        <w:rPr>
          <w:rFonts w:asciiTheme="minorHAnsi" w:eastAsiaTheme="minorEastAsia" w:hAnsiTheme="minorHAnsi"/>
          <w:b/>
          <w:bCs/>
          <w:szCs w:val="20"/>
        </w:rPr>
      </w:pPr>
      <w:r w:rsidRPr="294F0AC8">
        <w:rPr>
          <w:b/>
          <w:bCs/>
        </w:rPr>
        <w:t>The Superannuation Guarantee should only increase above 10% where:</w:t>
      </w:r>
    </w:p>
    <w:p w14:paraId="1BF6E402" w14:textId="51C4F7CF" w:rsidR="618E9110" w:rsidRDefault="221BCE3A" w:rsidP="00DD3DC0">
      <w:pPr>
        <w:pStyle w:val="ListNumber"/>
        <w:numPr>
          <w:ilvl w:val="0"/>
          <w:numId w:val="3"/>
        </w:numPr>
        <w:rPr>
          <w:rFonts w:asciiTheme="minorHAnsi" w:eastAsiaTheme="minorEastAsia" w:hAnsiTheme="minorHAnsi"/>
          <w:b/>
          <w:bCs/>
        </w:rPr>
      </w:pPr>
      <w:r w:rsidRPr="221BCE3A">
        <w:rPr>
          <w:b/>
          <w:bCs/>
        </w:rPr>
        <w:t xml:space="preserve">The tax treatment of superannuation contributions is reformed in a revenue neutral way so that people with low incomes receive at least the same benefit per dollar contributed as those with high </w:t>
      </w:r>
      <w:proofErr w:type="gramStart"/>
      <w:r w:rsidRPr="221BCE3A">
        <w:rPr>
          <w:b/>
          <w:bCs/>
        </w:rPr>
        <w:t>incomes;</w:t>
      </w:r>
      <w:proofErr w:type="gramEnd"/>
    </w:p>
    <w:p w14:paraId="0581663C" w14:textId="01691BAB" w:rsidR="202C45E4" w:rsidRDefault="294F0AC8" w:rsidP="00DD3DC0">
      <w:pPr>
        <w:pStyle w:val="ListNumber"/>
        <w:numPr>
          <w:ilvl w:val="0"/>
          <w:numId w:val="3"/>
        </w:numPr>
        <w:rPr>
          <w:b/>
          <w:bCs/>
        </w:rPr>
      </w:pPr>
      <w:r w:rsidRPr="294F0AC8">
        <w:rPr>
          <w:b/>
          <w:bCs/>
        </w:rPr>
        <w:t xml:space="preserve">Higher compulsory contributions are of demonstrated benefit to people with low and modest incomes, taking account of their typical living standards before and after retirement and the impact of higher contributions on wage increases.  </w:t>
      </w:r>
    </w:p>
    <w:p w14:paraId="5AF068EB" w14:textId="48E41A20" w:rsidR="280C9BAE" w:rsidRDefault="280C9BAE" w:rsidP="280C9BAE">
      <w:pPr>
        <w:pStyle w:val="ListNumber"/>
        <w:numPr>
          <w:ilvl w:val="0"/>
          <w:numId w:val="0"/>
        </w:numPr>
        <w:rPr>
          <w:rFonts w:ascii="Palatino Linotype" w:eastAsia="Palatino Linotype" w:hAnsi="Palatino Linotype" w:cs="Palatino Linotype"/>
          <w:color w:val="143156"/>
          <w:sz w:val="40"/>
          <w:szCs w:val="40"/>
        </w:rPr>
      </w:pPr>
    </w:p>
    <w:p w14:paraId="08C638FC" w14:textId="77C35F2A" w:rsidR="202C45E4" w:rsidRDefault="221BCE3A" w:rsidP="221BCE3A">
      <w:pPr>
        <w:pStyle w:val="ListNumber"/>
        <w:numPr>
          <w:ilvl w:val="0"/>
          <w:numId w:val="0"/>
        </w:numPr>
        <w:rPr>
          <w:b/>
          <w:bCs/>
        </w:rPr>
      </w:pPr>
      <w:r w:rsidRPr="221BCE3A">
        <w:rPr>
          <w:rFonts w:ascii="Palatino Linotype" w:eastAsia="Palatino Linotype" w:hAnsi="Palatino Linotype" w:cs="Palatino Linotype"/>
          <w:color w:val="143156"/>
          <w:sz w:val="40"/>
          <w:szCs w:val="40"/>
        </w:rPr>
        <w:t>Make superannuation fairer for women and people with low incomes</w:t>
      </w:r>
    </w:p>
    <w:p w14:paraId="15976D83" w14:textId="0F477D2D" w:rsidR="202C45E4" w:rsidRDefault="4A8FE9A1" w:rsidP="4A8FE9A1">
      <w:pPr>
        <w:spacing w:line="257" w:lineRule="auto"/>
      </w:pPr>
      <w:r w:rsidRPr="4A8FE9A1">
        <w:rPr>
          <w:rFonts w:eastAsia="Verdana" w:cs="Verdana"/>
          <w:szCs w:val="20"/>
        </w:rPr>
        <w:t>People on low and modest incomes presently receive little or no support from tax concessions for superannuation contributions that cost the budget $25 billion annually. A worker earning $20,000 (more likely to be a woman) receives no tax support for employer contributions while another worker on $200,000 (more likely to be a man) saves 32 cents in tax per dollar contributed. This is due to the way their marginal tax rates interact with the inequitable flat 15% tax on employer contributions.</w:t>
      </w:r>
    </w:p>
    <w:p w14:paraId="7F4B2BB8" w14:textId="00D71F77" w:rsidR="202C45E4" w:rsidRDefault="4A8FE9A1" w:rsidP="4A8FE9A1">
      <w:pPr>
        <w:spacing w:line="257" w:lineRule="auto"/>
      </w:pPr>
      <w:r w:rsidRPr="4A8FE9A1">
        <w:rPr>
          <w:rFonts w:eastAsia="Verdana" w:cs="Verdana"/>
          <w:szCs w:val="20"/>
        </w:rPr>
        <w:t xml:space="preserve">The system particularly disadvantages women. In 2017, 11% of female taxpayers earned less than $30,000 compared with 9% of men. At those income levels, people generally receive no tax benefit from super contributions since the </w:t>
      </w:r>
      <w:proofErr w:type="gramStart"/>
      <w:r w:rsidRPr="4A8FE9A1">
        <w:rPr>
          <w:rFonts w:eastAsia="Verdana" w:cs="Verdana"/>
          <w:szCs w:val="20"/>
        </w:rPr>
        <w:t>Low Income</w:t>
      </w:r>
      <w:proofErr w:type="gramEnd"/>
      <w:r w:rsidRPr="4A8FE9A1">
        <w:rPr>
          <w:rFonts w:eastAsia="Verdana" w:cs="Verdana"/>
          <w:szCs w:val="20"/>
        </w:rPr>
        <w:t xml:space="preserve"> Superannuation Tax Offset merely offsets the 15% tax deducted from their employer contributions. </w:t>
      </w:r>
    </w:p>
    <w:p w14:paraId="3A9D36D5" w14:textId="57326674" w:rsidR="202C45E4" w:rsidRDefault="4A8FE9A1" w:rsidP="4A8FE9A1">
      <w:pPr>
        <w:spacing w:line="257" w:lineRule="auto"/>
      </w:pPr>
      <w:r w:rsidRPr="4A8FE9A1">
        <w:rPr>
          <w:rFonts w:eastAsia="Verdana" w:cs="Verdana"/>
          <w:szCs w:val="20"/>
        </w:rPr>
        <w:t>This flat superannuation tax should be replaced with a rebate (for example, 20% of contributions from all sources) that provides the same or greater support for each dollar of contributions for people with low incomes as that provided to middle and high income-earners. This would be paid for by reducing tax breaks for people with high incomes. In addition, to make super worthwhile for people with very low incomes, a higher rebate (for example equal to 100% of contributions) could be paid for, say, the first $500 a year contributed to super accounts.</w:t>
      </w:r>
    </w:p>
    <w:p w14:paraId="0D8037DE" w14:textId="52B63AD2" w:rsidR="202C45E4" w:rsidRDefault="4A8FE9A1" w:rsidP="4A8FE9A1">
      <w:pPr>
        <w:spacing w:line="257" w:lineRule="auto"/>
      </w:pPr>
      <w:r w:rsidRPr="4A8FE9A1">
        <w:rPr>
          <w:rFonts w:eastAsia="Verdana" w:cs="Verdana"/>
          <w:szCs w:val="20"/>
        </w:rPr>
        <w:t xml:space="preserve">Tax breaks on contributions should be capped at a much lower level than the present $25,000 a year (for example, $15,000) so that average wage earners are not </w:t>
      </w:r>
      <w:proofErr w:type="spellStart"/>
      <w:r w:rsidRPr="4A8FE9A1">
        <w:rPr>
          <w:rFonts w:eastAsia="Verdana" w:cs="Verdana"/>
          <w:szCs w:val="20"/>
        </w:rPr>
        <w:t>subsidising</w:t>
      </w:r>
      <w:proofErr w:type="spellEnd"/>
      <w:r w:rsidRPr="4A8FE9A1">
        <w:rPr>
          <w:rFonts w:eastAsia="Verdana" w:cs="Verdana"/>
          <w:szCs w:val="20"/>
        </w:rPr>
        <w:t xml:space="preserve"> luxurious retirement living standards.</w:t>
      </w:r>
    </w:p>
    <w:p w14:paraId="40B623C8" w14:textId="147D878A" w:rsidR="202C45E4" w:rsidRDefault="4A8FE9A1" w:rsidP="4A8FE9A1">
      <w:pPr>
        <w:spacing w:line="257" w:lineRule="auto"/>
      </w:pPr>
      <w:r w:rsidRPr="4A8FE9A1">
        <w:rPr>
          <w:rFonts w:eastAsia="Verdana" w:cs="Verdana"/>
          <w:szCs w:val="20"/>
        </w:rPr>
        <w:t xml:space="preserve">The impact of this reform on the marginal tax rate applied to contributions just above the Superannuation Guarantee is illustrated in Figure 3. </w:t>
      </w:r>
    </w:p>
    <w:p w14:paraId="6B35B4F1" w14:textId="77777777" w:rsidR="003A1FEC" w:rsidRDefault="003A1FEC" w:rsidP="294F0AC8">
      <w:pPr>
        <w:pStyle w:val="Heading3"/>
        <w:rPr>
          <w:rFonts w:asciiTheme="minorHAnsi" w:eastAsiaTheme="minorEastAsia" w:hAnsiTheme="minorHAnsi" w:cstheme="minorBidi"/>
          <w:bCs/>
          <w:color w:val="CE2028"/>
          <w:sz w:val="24"/>
        </w:rPr>
      </w:pPr>
      <w:bookmarkStart w:id="785" w:name="_Toc1410644274"/>
      <w:bookmarkStart w:id="786" w:name="_Toc1255874620"/>
      <w:bookmarkStart w:id="787" w:name="_Toc429113247"/>
      <w:bookmarkStart w:id="788" w:name="_Toc84957116"/>
      <w:bookmarkStart w:id="789" w:name="_Toc731349724"/>
    </w:p>
    <w:p w14:paraId="62A03A6A" w14:textId="77777777" w:rsidR="003A1FEC" w:rsidRDefault="003A1FEC" w:rsidP="294F0AC8">
      <w:pPr>
        <w:pStyle w:val="Heading3"/>
        <w:rPr>
          <w:rFonts w:asciiTheme="minorHAnsi" w:eastAsiaTheme="minorEastAsia" w:hAnsiTheme="minorHAnsi" w:cstheme="minorBidi"/>
          <w:bCs/>
          <w:color w:val="CE2028"/>
          <w:sz w:val="24"/>
        </w:rPr>
      </w:pPr>
    </w:p>
    <w:p w14:paraId="435C325E" w14:textId="066B6F79" w:rsidR="202C45E4" w:rsidRDefault="294F0AC8" w:rsidP="294F0AC8">
      <w:pPr>
        <w:pStyle w:val="Heading3"/>
        <w:rPr>
          <w:rFonts w:asciiTheme="minorHAnsi" w:eastAsiaTheme="minorEastAsia" w:hAnsiTheme="minorHAnsi" w:cstheme="minorBidi"/>
          <w:bCs/>
          <w:color w:val="CE2028"/>
          <w:sz w:val="24"/>
        </w:rPr>
      </w:pPr>
      <w:r w:rsidRPr="294F0AC8">
        <w:rPr>
          <w:rFonts w:asciiTheme="minorHAnsi" w:eastAsiaTheme="minorEastAsia" w:hAnsiTheme="minorHAnsi" w:cstheme="minorBidi"/>
          <w:bCs/>
          <w:color w:val="CE2028"/>
          <w:sz w:val="24"/>
        </w:rPr>
        <w:t>Figure 3: Tax saved, in cents per dollar contributed above the Super Guarantee, at different income levels (existing system compared with ACOSS rebate)</w:t>
      </w:r>
      <w:bookmarkEnd w:id="785"/>
      <w:bookmarkEnd w:id="786"/>
      <w:bookmarkEnd w:id="787"/>
      <w:bookmarkEnd w:id="788"/>
      <w:bookmarkEnd w:id="789"/>
    </w:p>
    <w:p w14:paraId="50B3C177" w14:textId="66171364" w:rsidR="202C45E4" w:rsidRDefault="202C45E4" w:rsidP="4A8FE9A1">
      <w:pPr>
        <w:pStyle w:val="ListParagraph"/>
        <w:rPr>
          <w:rFonts w:asciiTheme="minorHAnsi" w:eastAsiaTheme="minorEastAsia" w:hAnsiTheme="minorHAnsi"/>
        </w:rPr>
      </w:pPr>
      <w:r>
        <w:rPr>
          <w:noProof/>
        </w:rPr>
        <w:drawing>
          <wp:inline distT="0" distB="0" distL="0" distR="0" wp14:anchorId="4B57BCAD" wp14:editId="091281FA">
            <wp:extent cx="4572000" cy="3248025"/>
            <wp:effectExtent l="0" t="0" r="0" b="0"/>
            <wp:docPr id="321595534" name="Picture 321595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595534"/>
                    <pic:cNvPicPr/>
                  </pic:nvPicPr>
                  <pic:blipFill>
                    <a:blip r:embed="rId22">
                      <a:extLst>
                        <a:ext uri="{28A0092B-C50C-407E-A947-70E740481C1C}">
                          <a14:useLocalDpi xmlns:a14="http://schemas.microsoft.com/office/drawing/2010/main" val="0"/>
                        </a:ext>
                      </a:extLst>
                    </a:blip>
                    <a:stretch>
                      <a:fillRect/>
                    </a:stretch>
                  </pic:blipFill>
                  <pic:spPr>
                    <a:xfrm>
                      <a:off x="0" y="0"/>
                      <a:ext cx="4572000" cy="3248025"/>
                    </a:xfrm>
                    <a:prstGeom prst="rect">
                      <a:avLst/>
                    </a:prstGeom>
                  </pic:spPr>
                </pic:pic>
              </a:graphicData>
            </a:graphic>
          </wp:inline>
        </w:drawing>
      </w:r>
    </w:p>
    <w:p w14:paraId="5FF6698F" w14:textId="2E1255CA" w:rsidR="202C45E4" w:rsidRDefault="202C45E4" w:rsidP="221BCE3A">
      <w:pPr>
        <w:pStyle w:val="ListNumber"/>
        <w:numPr>
          <w:ilvl w:val="0"/>
          <w:numId w:val="0"/>
        </w:numPr>
      </w:pPr>
    </w:p>
    <w:p w14:paraId="1B8138D6" w14:textId="058953CB" w:rsidR="202C45E4" w:rsidRDefault="294F0AC8" w:rsidP="294F0AC8">
      <w:pPr>
        <w:spacing w:line="257" w:lineRule="auto"/>
      </w:pPr>
      <w:r w:rsidRPr="294F0AC8">
        <w:rPr>
          <w:rFonts w:eastAsia="Verdana" w:cs="Verdana"/>
          <w:sz w:val="18"/>
          <w:szCs w:val="18"/>
        </w:rPr>
        <w:t>Note: Marginal tax rate of additional employer contributions above the superannuation guarantee. The existing 15% tax is offset by a rebate for those below the tax-free threshold, so that the tax concession in those cases is effectively zero.</w:t>
      </w:r>
      <w:r w:rsidR="202C45E4">
        <w:br/>
      </w:r>
      <w:r w:rsidRPr="294F0AC8">
        <w:rPr>
          <w:rFonts w:eastAsia="Verdana" w:cs="Verdana"/>
          <w:sz w:val="18"/>
          <w:szCs w:val="18"/>
        </w:rPr>
        <w:t xml:space="preserve">  The proposed rebate is more generous for SG contributions for middle income earners than the present 15% tax rate, so most middle income-earners would be financially better off.</w:t>
      </w:r>
    </w:p>
    <w:p w14:paraId="17955202" w14:textId="23CEB811" w:rsidR="294F0AC8" w:rsidRDefault="294F0AC8" w:rsidP="294F0AC8">
      <w:pPr>
        <w:spacing w:line="257" w:lineRule="auto"/>
        <w:rPr>
          <w:rFonts w:eastAsia="Calibri" w:cs="Arial"/>
          <w:szCs w:val="20"/>
        </w:rPr>
      </w:pPr>
    </w:p>
    <w:p w14:paraId="1DE52903" w14:textId="5416D3FA" w:rsidR="35FB2B2A" w:rsidRDefault="294F0AC8" w:rsidP="294F0AC8">
      <w:pPr>
        <w:pStyle w:val="Recommendation"/>
        <w:rPr>
          <w:color w:val="000000" w:themeColor="text1"/>
        </w:rPr>
      </w:pPr>
      <w:r w:rsidRPr="294F0AC8">
        <w:rPr>
          <w:rFonts w:eastAsiaTheme="minorEastAsia"/>
          <w:color w:val="C00000"/>
        </w:rPr>
        <w:t>Recommendation 41:</w:t>
      </w:r>
      <w:r w:rsidRPr="294F0AC8">
        <w:rPr>
          <w:rFonts w:eastAsiaTheme="minorEastAsia"/>
        </w:rPr>
        <w:t xml:space="preserve"> </w:t>
      </w:r>
      <w:r w:rsidRPr="294F0AC8">
        <w:rPr>
          <w:rFonts w:eastAsiaTheme="minorEastAsia"/>
          <w:color w:val="auto"/>
        </w:rPr>
        <w:t>Fair and simple tax concessions for superannuation contributions:</w:t>
      </w:r>
      <w:r w:rsidR="00F64995">
        <w:br/>
      </w:r>
    </w:p>
    <w:p w14:paraId="2EF2D781" w14:textId="167038D0" w:rsidR="7B33A330" w:rsidRDefault="294F0AC8" w:rsidP="00DD3DC0">
      <w:pPr>
        <w:pStyle w:val="ListNumber"/>
        <w:numPr>
          <w:ilvl w:val="0"/>
          <w:numId w:val="29"/>
        </w:numPr>
        <w:rPr>
          <w:rFonts w:asciiTheme="minorHAnsi" w:eastAsiaTheme="minorEastAsia" w:hAnsiTheme="minorHAnsi"/>
          <w:b/>
          <w:bCs/>
          <w:szCs w:val="20"/>
        </w:rPr>
      </w:pPr>
      <w:r w:rsidRPr="294F0AC8">
        <w:rPr>
          <w:b/>
          <w:bCs/>
        </w:rPr>
        <w:t xml:space="preserve"> All tax concessions for superannuation contributions (including the 15% employer contributions tax rate, deductions for contributions, and rebates for contributions by low-income earners and for spouses) should be replaced in a revenue-neutral way by an annual two-tier refundable rebate paid into the fund, capped at a contribution level sufficient to support (along with the Age Pension) an acceptable retirement income for a typical worker.</w:t>
      </w:r>
    </w:p>
    <w:p w14:paraId="16498289" w14:textId="5669CC1B" w:rsidR="4F4A8FA3" w:rsidRDefault="4F4A8FA3">
      <w:r>
        <w:br w:type="page"/>
      </w:r>
    </w:p>
    <w:p w14:paraId="6E4ED2DE" w14:textId="0925B4C4" w:rsidR="20A39D9D" w:rsidRDefault="294F0AC8" w:rsidP="00DD3DC0">
      <w:pPr>
        <w:pStyle w:val="ListParagraph"/>
        <w:numPr>
          <w:ilvl w:val="0"/>
          <w:numId w:val="29"/>
        </w:numPr>
        <w:rPr>
          <w:rFonts w:asciiTheme="minorHAnsi" w:eastAsiaTheme="minorEastAsia" w:hAnsiTheme="minorHAnsi"/>
          <w:b/>
        </w:rPr>
      </w:pPr>
      <w:r w:rsidRPr="294F0AC8">
        <w:rPr>
          <w:b/>
        </w:rPr>
        <w:lastRenderedPageBreak/>
        <w:t>The rebate for concessional contributions would be structured as follows:</w:t>
      </w:r>
      <w:r w:rsidR="20A39D9D">
        <w:br/>
      </w:r>
    </w:p>
    <w:p w14:paraId="3BB3B3E7" w14:textId="523BF571" w:rsidR="20A39D9D" w:rsidRPr="00D56259" w:rsidRDefault="20A39D9D" w:rsidP="00DD3DC0">
      <w:pPr>
        <w:pStyle w:val="ListParagraph"/>
        <w:numPr>
          <w:ilvl w:val="0"/>
          <w:numId w:val="4"/>
        </w:numPr>
        <w:rPr>
          <w:rFonts w:asciiTheme="minorHAnsi" w:eastAsiaTheme="minorEastAsia" w:hAnsiTheme="minorHAnsi"/>
          <w:b/>
        </w:rPr>
      </w:pPr>
      <w:r w:rsidRPr="00D56259">
        <w:rPr>
          <w:b/>
        </w:rPr>
        <w:t xml:space="preserve">100 cents per dollar contributed from any source up to $500 per year (not income-tested, indexed to movements in average full-time earnings), to support retirement saving by low paid part-time workers and replace the </w:t>
      </w:r>
      <w:proofErr w:type="gramStart"/>
      <w:r w:rsidRPr="00D56259">
        <w:rPr>
          <w:b/>
        </w:rPr>
        <w:t>Low Income</w:t>
      </w:r>
      <w:proofErr w:type="gramEnd"/>
      <w:r w:rsidRPr="00D56259">
        <w:rPr>
          <w:b/>
        </w:rPr>
        <w:t xml:space="preserve"> Super</w:t>
      </w:r>
      <w:r w:rsidR="5C9955ED" w:rsidRPr="00D56259">
        <w:rPr>
          <w:b/>
        </w:rPr>
        <w:t>annuation</w:t>
      </w:r>
      <w:r w:rsidRPr="00D56259">
        <w:rPr>
          <w:b/>
        </w:rPr>
        <w:t xml:space="preserve"> Tax Offset;</w:t>
      </w:r>
    </w:p>
    <w:p w14:paraId="67552338" w14:textId="35D5A3EC" w:rsidR="20A39D9D" w:rsidRPr="00D56259" w:rsidRDefault="20A39D9D" w:rsidP="00DD3DC0">
      <w:pPr>
        <w:pStyle w:val="ListParagraph"/>
        <w:numPr>
          <w:ilvl w:val="0"/>
          <w:numId w:val="4"/>
        </w:numPr>
        <w:rPr>
          <w:rFonts w:asciiTheme="minorHAnsi" w:eastAsiaTheme="minorEastAsia" w:hAnsiTheme="minorHAnsi"/>
          <w:b/>
        </w:rPr>
      </w:pPr>
      <w:r w:rsidRPr="00D56259">
        <w:rPr>
          <w:b/>
        </w:rPr>
        <w:t xml:space="preserve">Plus 20 cents per additional dollar contributed from any source up to $15,000 (indexed to movements in average full-time earnings), with no higher cap for ‘catch-up’ </w:t>
      </w:r>
      <w:proofErr w:type="gramStart"/>
      <w:r w:rsidRPr="00D56259">
        <w:rPr>
          <w:b/>
        </w:rPr>
        <w:t>contributions;</w:t>
      </w:r>
      <w:proofErr w:type="gramEnd"/>
    </w:p>
    <w:p w14:paraId="6BF37D47" w14:textId="5DE11D31" w:rsidR="20A39D9D" w:rsidRPr="00D56259" w:rsidRDefault="221BCE3A" w:rsidP="00DD3DC0">
      <w:pPr>
        <w:pStyle w:val="ListParagraph"/>
        <w:numPr>
          <w:ilvl w:val="0"/>
          <w:numId w:val="4"/>
        </w:numPr>
        <w:rPr>
          <w:rFonts w:asciiTheme="minorHAnsi" w:eastAsiaTheme="minorEastAsia" w:hAnsiTheme="minorHAnsi"/>
          <w:b/>
        </w:rPr>
      </w:pPr>
      <w:r w:rsidRPr="221BCE3A">
        <w:rPr>
          <w:b/>
        </w:rPr>
        <w:t xml:space="preserve">For this purpose, contributions would be calculated as net contributions, that is all contributions made to a person’s superannuation accounts </w:t>
      </w:r>
      <w:proofErr w:type="gramStart"/>
      <w:r w:rsidRPr="221BCE3A">
        <w:rPr>
          <w:b/>
        </w:rPr>
        <w:t>in a given year</w:t>
      </w:r>
      <w:proofErr w:type="gramEnd"/>
      <w:r w:rsidRPr="221BCE3A">
        <w:rPr>
          <w:b/>
        </w:rPr>
        <w:t xml:space="preserve"> minus any benefits paid, in order to curb tax avoidance through re-contribution strategies.</w:t>
      </w:r>
    </w:p>
    <w:p w14:paraId="2640C5C7" w14:textId="40A44FC6" w:rsidR="7B33A330" w:rsidRDefault="7B33A330" w:rsidP="7B33A330">
      <w:pPr>
        <w:spacing w:after="0" w:line="240" w:lineRule="auto"/>
        <w:jc w:val="both"/>
        <w:rPr>
          <w:b/>
          <w:bCs/>
        </w:rPr>
      </w:pPr>
    </w:p>
    <w:p w14:paraId="710712AF" w14:textId="31EE1BBF" w:rsidR="5B7A39B8" w:rsidRDefault="294F0AC8" w:rsidP="00DD3DC0">
      <w:pPr>
        <w:pStyle w:val="ListParagraph"/>
        <w:numPr>
          <w:ilvl w:val="0"/>
          <w:numId w:val="29"/>
        </w:numPr>
        <w:rPr>
          <w:rFonts w:asciiTheme="minorHAnsi" w:eastAsiaTheme="minorEastAsia" w:hAnsiTheme="minorHAnsi"/>
          <w:b/>
        </w:rPr>
      </w:pPr>
      <w:r w:rsidRPr="294F0AC8">
        <w:rPr>
          <w:b/>
        </w:rPr>
        <w:t>The annual non-concessional contributions cap should be reduced to three times the new concessional cap ($45,000), and people should no longer be able to contribute up to three years’ contributions within the cap in a single year.</w:t>
      </w:r>
      <w:r w:rsidR="280C9BAE">
        <w:br/>
      </w:r>
    </w:p>
    <w:p w14:paraId="34869220" w14:textId="3213D273" w:rsidR="5B7A39B8" w:rsidRDefault="294F0AC8" w:rsidP="00DD3DC0">
      <w:pPr>
        <w:pStyle w:val="ListParagraph"/>
        <w:numPr>
          <w:ilvl w:val="0"/>
          <w:numId w:val="29"/>
        </w:numPr>
        <w:rPr>
          <w:rFonts w:asciiTheme="minorHAnsi" w:eastAsiaTheme="minorEastAsia" w:hAnsiTheme="minorHAnsi"/>
          <w:b/>
        </w:rPr>
      </w:pPr>
      <w:r w:rsidRPr="294F0AC8">
        <w:rPr>
          <w:b/>
        </w:rPr>
        <w:t>The exception to the general prohibition on direct borrowing by super funds for limited recourse borrowing by self-managed funds should be removed.</w:t>
      </w:r>
      <w:r w:rsidR="221BCE3A">
        <w:br/>
      </w:r>
    </w:p>
    <w:p w14:paraId="489BA1FB" w14:textId="262CDF06" w:rsidR="797AB9C7" w:rsidRDefault="797AB9C7" w:rsidP="000B50DA">
      <w:pPr>
        <w:pStyle w:val="Recommendation"/>
      </w:pPr>
      <w:r w:rsidRPr="007376C2">
        <w:rPr>
          <w:color w:val="C00000"/>
        </w:rPr>
        <w:t>Budget impact:</w:t>
      </w:r>
      <w:r>
        <w:rPr>
          <w:b w:val="0"/>
        </w:rPr>
        <w:t xml:space="preserve"> </w:t>
      </w:r>
      <w:r w:rsidRPr="280C9BAE">
        <w:rPr>
          <w:rFonts w:eastAsiaTheme="minorEastAsia"/>
          <w:color w:val="000000" w:themeColor="text1"/>
        </w:rPr>
        <w:t>$</w:t>
      </w:r>
      <w:r w:rsidR="01975722" w:rsidRPr="280C9BAE">
        <w:rPr>
          <w:rFonts w:eastAsiaTheme="minorEastAsia"/>
          <w:color w:val="000000" w:themeColor="text1"/>
        </w:rPr>
        <w:t>0</w:t>
      </w:r>
    </w:p>
    <w:p w14:paraId="24E080F3" w14:textId="77777777" w:rsidR="006B1312" w:rsidRPr="006B1312" w:rsidRDefault="006B1312" w:rsidP="002227D8">
      <w:pPr>
        <w:pStyle w:val="ListNumber"/>
        <w:numPr>
          <w:ilvl w:val="0"/>
          <w:numId w:val="0"/>
        </w:numPr>
      </w:pPr>
    </w:p>
    <w:p w14:paraId="1BF4158C" w14:textId="77C35F2A" w:rsidR="00775FC7" w:rsidRDefault="294F0AC8" w:rsidP="001D1B51">
      <w:pPr>
        <w:pStyle w:val="Heading2"/>
      </w:pPr>
      <w:bookmarkStart w:id="790" w:name="_Toc1337780864"/>
      <w:bookmarkStart w:id="791" w:name="_Toc1636210838"/>
      <w:bookmarkStart w:id="792" w:name="_Toc1763160991"/>
      <w:bookmarkStart w:id="793" w:name="_Toc1526041549"/>
      <w:bookmarkStart w:id="794" w:name="_Toc2114568325"/>
      <w:bookmarkStart w:id="795" w:name="_Toc206688545"/>
      <w:bookmarkStart w:id="796" w:name="_Toc538422708"/>
      <w:bookmarkStart w:id="797" w:name="_Toc1065566729"/>
      <w:bookmarkStart w:id="798" w:name="_Toc90983394"/>
      <w:bookmarkStart w:id="799" w:name="_Toc90984657"/>
      <w:r>
        <w:t>A levy on superannuation fund income post-retirement to help pay for aged care</w:t>
      </w:r>
      <w:bookmarkEnd w:id="790"/>
      <w:bookmarkEnd w:id="791"/>
      <w:bookmarkEnd w:id="792"/>
      <w:bookmarkEnd w:id="793"/>
      <w:bookmarkEnd w:id="794"/>
      <w:bookmarkEnd w:id="795"/>
      <w:bookmarkEnd w:id="796"/>
      <w:bookmarkEnd w:id="797"/>
      <w:bookmarkEnd w:id="798"/>
      <w:bookmarkEnd w:id="799"/>
    </w:p>
    <w:p w14:paraId="35CF768D" w14:textId="37EDDCF5" w:rsidR="4A8FE9A1" w:rsidRDefault="4A8FE9A1" w:rsidP="4A8FE9A1">
      <w:pPr>
        <w:spacing w:line="257" w:lineRule="auto"/>
      </w:pPr>
      <w:r w:rsidRPr="194D1029">
        <w:rPr>
          <w:rFonts w:eastAsia="Verdana" w:cs="Verdana"/>
        </w:rPr>
        <w:t xml:space="preserve">It will not be possible for future governments to properly fund aged care and health services for an ageing population </w:t>
      </w:r>
      <w:proofErr w:type="gramStart"/>
      <w:r w:rsidRPr="194D1029">
        <w:rPr>
          <w:rFonts w:eastAsia="Verdana" w:cs="Verdana"/>
        </w:rPr>
        <w:t>as long as</w:t>
      </w:r>
      <w:proofErr w:type="gramEnd"/>
      <w:r w:rsidRPr="194D1029">
        <w:rPr>
          <w:rFonts w:eastAsia="Verdana" w:cs="Verdana"/>
        </w:rPr>
        <w:t xml:space="preserve"> only 16% of older people pays income tax</w:t>
      </w:r>
      <w:r w:rsidR="280C9BAE" w:rsidRPr="194D1029">
        <w:rPr>
          <w:rFonts w:eastAsia="Verdana" w:cs="Verdana"/>
        </w:rPr>
        <w:t>.</w:t>
      </w:r>
      <w:r w:rsidRPr="194D1029">
        <w:rPr>
          <w:rStyle w:val="FootnoteReference"/>
          <w:rFonts w:eastAsia="Verdana" w:cs="Verdana"/>
        </w:rPr>
        <w:footnoteReference w:id="35"/>
      </w:r>
      <w:r w:rsidRPr="194D1029">
        <w:rPr>
          <w:rFonts w:eastAsia="Verdana" w:cs="Verdana"/>
        </w:rPr>
        <w:t xml:space="preserve"> We </w:t>
      </w:r>
      <w:r w:rsidR="280C9BAE" w:rsidRPr="194D1029">
        <w:rPr>
          <w:rFonts w:eastAsia="Verdana" w:cs="Verdana"/>
        </w:rPr>
        <w:t>must</w:t>
      </w:r>
      <w:r w:rsidRPr="194D1029">
        <w:rPr>
          <w:rFonts w:eastAsia="Verdana" w:cs="Verdana"/>
        </w:rPr>
        <w:t xml:space="preserve"> choose between over-generous tax breaks for retirement, decent services, or a steep rise in out-of-pocket costs for health and aged care. Older people are rightly concerned about the deficiencies in aged care revealed in the recent Royal Commission and increases in out-of-pocket costs for those services including large up-front deposits for residential care. </w:t>
      </w:r>
    </w:p>
    <w:p w14:paraId="13ECC0F3" w14:textId="7742C10C" w:rsidR="4A8FE9A1" w:rsidRDefault="294F0AC8" w:rsidP="294F0AC8">
      <w:pPr>
        <w:spacing w:line="257" w:lineRule="auto"/>
        <w:rPr>
          <w:rFonts w:eastAsia="Verdana" w:cs="Verdana"/>
        </w:rPr>
      </w:pPr>
      <w:r w:rsidRPr="294F0AC8">
        <w:rPr>
          <w:rFonts w:eastAsia="Verdana" w:cs="Verdana"/>
        </w:rPr>
        <w:t>These concerns have led many people to avoid drawing down their retirement savings, reducing their enjoyment of retirement while they are still healthy, in case they need the money for health and aged care services later in life. The outcome is larger bequests instead of improved living standards in retirement.</w:t>
      </w:r>
      <w:r w:rsidR="4A8FE9A1" w:rsidRPr="294F0AC8">
        <w:rPr>
          <w:rStyle w:val="FootnoteReference"/>
          <w:rFonts w:eastAsia="Verdana" w:cs="Verdana"/>
        </w:rPr>
        <w:footnoteReference w:id="36"/>
      </w:r>
    </w:p>
    <w:p w14:paraId="146A966B" w14:textId="2321CE8B" w:rsidR="28B8C416" w:rsidRDefault="4A8FE9A1" w:rsidP="0099084D">
      <w:pPr>
        <w:spacing w:line="257" w:lineRule="auto"/>
      </w:pPr>
      <w:r w:rsidRPr="4A8FE9A1">
        <w:rPr>
          <w:rFonts w:eastAsia="Verdana" w:cs="Verdana"/>
          <w:szCs w:val="20"/>
        </w:rPr>
        <w:t>The fiscal cost of tax concessions for superannuation, especially post-retirement tax concessions, is projected to rise substantially as the population ages and the superannuation system matures, from 2.1% of GDP in 2020 to 2.6% in 2060 (Figure 4). Over the same period, growing public expenditures on health and aged care will put more pressure on Commonwealth budgets.</w:t>
      </w:r>
      <w:r w:rsidR="28B8C416">
        <w:br w:type="page"/>
      </w:r>
    </w:p>
    <w:p w14:paraId="6D2BCEB5" w14:textId="4658C4EC" w:rsidR="4A8FE9A1" w:rsidRDefault="294F0AC8" w:rsidP="294F0AC8">
      <w:pPr>
        <w:spacing w:line="257" w:lineRule="auto"/>
        <w:rPr>
          <w:rFonts w:asciiTheme="minorHAnsi" w:eastAsiaTheme="minorEastAsia" w:hAnsiTheme="minorHAnsi"/>
          <w:b/>
          <w:bCs/>
          <w:color w:val="CE2028"/>
          <w:sz w:val="24"/>
          <w:szCs w:val="24"/>
        </w:rPr>
      </w:pPr>
      <w:r w:rsidRPr="294F0AC8">
        <w:rPr>
          <w:rFonts w:asciiTheme="minorHAnsi" w:eastAsiaTheme="minorEastAsia" w:hAnsiTheme="minorHAnsi"/>
          <w:b/>
          <w:bCs/>
          <w:color w:val="CE2028"/>
          <w:sz w:val="24"/>
          <w:szCs w:val="24"/>
        </w:rPr>
        <w:lastRenderedPageBreak/>
        <w:t>Figure 4: Projected cost of superannuation tax concessions (% of GDP)</w:t>
      </w:r>
    </w:p>
    <w:p w14:paraId="6871E5D6" w14:textId="7BBA9AB6" w:rsidR="4A8FE9A1" w:rsidRDefault="4A8FE9A1" w:rsidP="4A8FE9A1">
      <w:pPr>
        <w:spacing w:line="257" w:lineRule="auto"/>
        <w:rPr>
          <w:rFonts w:eastAsia="Calibri" w:cs="Arial"/>
          <w:szCs w:val="20"/>
        </w:rPr>
      </w:pPr>
      <w:r>
        <w:rPr>
          <w:noProof/>
          <w:color w:val="2B579A"/>
          <w:shd w:val="clear" w:color="auto" w:fill="E6E6E6"/>
        </w:rPr>
        <w:drawing>
          <wp:inline distT="0" distB="0" distL="0" distR="0" wp14:anchorId="77949050" wp14:editId="08F78A62">
            <wp:extent cx="4572000" cy="2066925"/>
            <wp:effectExtent l="0" t="0" r="0" b="0"/>
            <wp:docPr id="1509947250" name="Picture 1509947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4572000" cy="2066925"/>
                    </a:xfrm>
                    <a:prstGeom prst="rect">
                      <a:avLst/>
                    </a:prstGeom>
                  </pic:spPr>
                </pic:pic>
              </a:graphicData>
            </a:graphic>
          </wp:inline>
        </w:drawing>
      </w:r>
    </w:p>
    <w:p w14:paraId="40FF24A7" w14:textId="4CE11EC4" w:rsidR="4A8FE9A1" w:rsidRDefault="4A8FE9A1" w:rsidP="4A8FE9A1">
      <w:pPr>
        <w:spacing w:line="257" w:lineRule="auto"/>
      </w:pPr>
      <w:r w:rsidRPr="4A8FE9A1">
        <w:rPr>
          <w:rFonts w:eastAsia="Verdana" w:cs="Verdana"/>
          <w:sz w:val="18"/>
          <w:szCs w:val="18"/>
        </w:rPr>
        <w:t>Source: Retirement Income Review (2020), op cit.</w:t>
      </w:r>
    </w:p>
    <w:p w14:paraId="68DEF5F5" w14:textId="1A075D4D" w:rsidR="4A8FE9A1" w:rsidRDefault="4A8FE9A1" w:rsidP="4A8FE9A1">
      <w:pPr>
        <w:spacing w:line="257" w:lineRule="auto"/>
      </w:pPr>
      <w:r w:rsidRPr="785CF3EC">
        <w:rPr>
          <w:rFonts w:eastAsia="Verdana" w:cs="Verdana"/>
        </w:rPr>
        <w:t xml:space="preserve">The tax treatment of superannuation after retirement is extraordinarily generous, especially for people with substantial wealth. It is not widely understood that in addition to the exemption from income tax of superannuation benefits (lump sums and pensions), the investment income of a superannuation fund is no longer taxed once it pays a pension to a fund member. In contrast, during the so-called ‘accumulation phase’ interest, dividends and capital gains off super funds are taxed at 15% (10% for capital gains).  </w:t>
      </w:r>
    </w:p>
    <w:p w14:paraId="0251A90E" w14:textId="17DC99F1" w:rsidR="4A8FE9A1" w:rsidRDefault="4A8FE9A1" w:rsidP="4A8FE9A1">
      <w:pPr>
        <w:spacing w:line="257" w:lineRule="auto"/>
        <w:rPr>
          <w:rFonts w:eastAsia="Verdana" w:cs="Verdana"/>
          <w:szCs w:val="20"/>
          <w:vertAlign w:val="superscript"/>
        </w:rPr>
      </w:pPr>
      <w:r w:rsidRPr="194D1029">
        <w:rPr>
          <w:rFonts w:eastAsia="Verdana" w:cs="Verdana"/>
        </w:rPr>
        <w:t>Re-contribution strategies (where a fund member who receives a superannuation payment makes contributions in the same year, churning their income through super) have blurred the artificial distinction between accumulation and pension phases of superannuation. As the Henry Report recommended in 2009, that distinction should be removed</w:t>
      </w:r>
      <w:r w:rsidR="280C9BAE" w:rsidRPr="194D1029">
        <w:rPr>
          <w:rFonts w:eastAsia="Verdana" w:cs="Verdana"/>
        </w:rPr>
        <w:t>,</w:t>
      </w:r>
      <w:r w:rsidRPr="194D1029">
        <w:rPr>
          <w:rFonts w:eastAsia="Verdana" w:cs="Verdana"/>
        </w:rPr>
        <w:t xml:space="preserve"> and the same tax rate should apply to super fund earnings before and after retirement</w:t>
      </w:r>
      <w:r w:rsidR="280C9BAE" w:rsidRPr="194D1029">
        <w:rPr>
          <w:rFonts w:eastAsia="Verdana" w:cs="Verdana"/>
        </w:rPr>
        <w:t>.</w:t>
      </w:r>
      <w:r w:rsidRPr="194D1029">
        <w:rPr>
          <w:rStyle w:val="FootnoteReference"/>
          <w:rFonts w:eastAsia="Verdana" w:cs="Verdana"/>
        </w:rPr>
        <w:footnoteReference w:id="37"/>
      </w:r>
    </w:p>
    <w:p w14:paraId="2A987D16" w14:textId="50B9780E" w:rsidR="4A8FE9A1" w:rsidRDefault="4A8FE9A1" w:rsidP="4A8FE9A1">
      <w:pPr>
        <w:spacing w:line="257" w:lineRule="auto"/>
      </w:pPr>
      <w:r w:rsidRPr="06F5CC88">
        <w:rPr>
          <w:rFonts w:eastAsia="Verdana" w:cs="Verdana"/>
        </w:rPr>
        <w:t xml:space="preserve">The tax exemption for the investment income of super funds in the so-called pension phase </w:t>
      </w:r>
      <w:proofErr w:type="gramStart"/>
      <w:r w:rsidRPr="06F5CC88">
        <w:rPr>
          <w:rFonts w:eastAsia="Verdana" w:cs="Verdana"/>
        </w:rPr>
        <w:t>opens up</w:t>
      </w:r>
      <w:proofErr w:type="gramEnd"/>
      <w:r w:rsidRPr="06F5CC88">
        <w:rPr>
          <w:rFonts w:eastAsia="Verdana" w:cs="Verdana"/>
        </w:rPr>
        <w:t xml:space="preserve"> tax avoidance opportunities. People can avoid paying tax on capital gains accrued through working life by transferring or retaining assets in a self-managed superannuation fund until they reach the age of 60 and the fund pays them a pension, at which point the fund’s earnings, including capital gains, are tax free. Small business owners can transfer assets into their super fund tax free, taking advantage of the CGT rollover for small business assets used for retirement. Further, the 17% tax on superannuation assets transferred to a deceased estate can be avoided by shifting savings from pension to accumulation accounts. This undermines the purpose of superannuation, which is to support a decent retirement rather than bequests to adult children.</w:t>
      </w:r>
    </w:p>
    <w:p w14:paraId="63040790" w14:textId="7D7C21FA" w:rsidR="4A8FE9A1" w:rsidRDefault="4A8FE9A1" w:rsidP="4A8FE9A1">
      <w:pPr>
        <w:spacing w:line="257" w:lineRule="auto"/>
      </w:pPr>
      <w:r w:rsidRPr="194D1029">
        <w:rPr>
          <w:rFonts w:eastAsia="Verdana" w:cs="Verdana"/>
        </w:rPr>
        <w:t xml:space="preserve">To guarantee universal, good quality aged care, a 15% aged care levy should apply to the investment income of superannuation funds after retirement. As well as simplifying the tax treatment of superannuation, this would ease concerns among retired people over </w:t>
      </w:r>
      <w:proofErr w:type="gramStart"/>
      <w:r w:rsidRPr="194D1029">
        <w:rPr>
          <w:rFonts w:eastAsia="Verdana" w:cs="Verdana"/>
        </w:rPr>
        <w:t>whether or not</w:t>
      </w:r>
      <w:proofErr w:type="gramEnd"/>
      <w:r w:rsidRPr="194D1029">
        <w:rPr>
          <w:rFonts w:eastAsia="Verdana" w:cs="Verdana"/>
        </w:rPr>
        <w:t xml:space="preserve"> they can 'afford' decent in home and residential care when they need it later in life. In return for this contribution from retired people who can afford to </w:t>
      </w:r>
      <w:r w:rsidRPr="194D1029">
        <w:rPr>
          <w:rFonts w:eastAsia="Verdana" w:cs="Verdana"/>
        </w:rPr>
        <w:lastRenderedPageBreak/>
        <w:t>pay, the government should guarantee a decent standard of aged care for all who need it, free of charge.</w:t>
      </w:r>
      <w:r w:rsidRPr="194D1029">
        <w:rPr>
          <w:rStyle w:val="FootnoteReference"/>
          <w:rFonts w:eastAsia="Verdana" w:cs="Verdana"/>
        </w:rPr>
        <w:footnoteReference w:id="38"/>
      </w:r>
      <w:r w:rsidRPr="194D1029">
        <w:rPr>
          <w:rFonts w:eastAsia="Verdana" w:cs="Verdana"/>
        </w:rPr>
        <w:t xml:space="preserve"> </w:t>
      </w:r>
    </w:p>
    <w:p w14:paraId="1D2CF419" w14:textId="57B00A99" w:rsidR="30B1BE2D" w:rsidRDefault="294F0AC8" w:rsidP="294F0AC8">
      <w:pPr>
        <w:pStyle w:val="Recommendation"/>
      </w:pPr>
      <w:r w:rsidRPr="294F0AC8">
        <w:rPr>
          <w:rFonts w:eastAsiaTheme="minorEastAsia"/>
          <w:color w:val="C00000"/>
        </w:rPr>
        <w:t xml:space="preserve">Recommendation 42: </w:t>
      </w:r>
      <w:r w:rsidRPr="294F0AC8">
        <w:rPr>
          <w:rFonts w:eastAsiaTheme="minorEastAsia"/>
          <w:color w:val="000000" w:themeColor="text1"/>
        </w:rPr>
        <w:t xml:space="preserve">Introduce a 15% levy on superannuation fund earnings after retirement to help pay for aged care services: </w:t>
      </w:r>
      <w:r w:rsidR="221BCE3A">
        <w:br/>
      </w:r>
    </w:p>
    <w:p w14:paraId="4CDC26D6" w14:textId="53950A24" w:rsidR="30B1BE2D" w:rsidRDefault="294F0AC8" w:rsidP="00DD3DC0">
      <w:pPr>
        <w:pStyle w:val="Recommendation"/>
        <w:numPr>
          <w:ilvl w:val="0"/>
          <w:numId w:val="28"/>
        </w:numPr>
        <w:rPr>
          <w:rFonts w:asciiTheme="minorHAnsi" w:eastAsiaTheme="minorEastAsia" w:hAnsiTheme="minorHAnsi"/>
          <w:bCs/>
          <w:color w:val="000000" w:themeColor="text1"/>
          <w:szCs w:val="20"/>
        </w:rPr>
      </w:pPr>
      <w:r w:rsidRPr="294F0AC8">
        <w:rPr>
          <w:color w:val="000000" w:themeColor="text1"/>
        </w:rPr>
        <w:t xml:space="preserve">The 15% tax on fund earnings in the accumulation phase should be progressively extended to the pension phase over a three-year period from July 2023 (with a 5% increase each year). </w:t>
      </w:r>
    </w:p>
    <w:p w14:paraId="3BE81EBF" w14:textId="12F02161" w:rsidR="30B1BE2D" w:rsidRDefault="30B1BE2D" w:rsidP="221BCE3A">
      <w:pPr>
        <w:pStyle w:val="Recommendation"/>
        <w:rPr>
          <w:color w:val="000000" w:themeColor="text1"/>
        </w:rPr>
      </w:pPr>
    </w:p>
    <w:p w14:paraId="29FBF93A" w14:textId="29E1A8C2" w:rsidR="30B1BE2D" w:rsidRDefault="294F0AC8" w:rsidP="00DD3DC0">
      <w:pPr>
        <w:pStyle w:val="Recommendation"/>
        <w:numPr>
          <w:ilvl w:val="0"/>
          <w:numId w:val="28"/>
        </w:numPr>
        <w:rPr>
          <w:rFonts w:asciiTheme="minorHAnsi" w:eastAsiaTheme="minorEastAsia" w:hAnsiTheme="minorHAnsi"/>
          <w:bCs/>
          <w:color w:val="000000" w:themeColor="text1"/>
          <w:szCs w:val="20"/>
        </w:rPr>
      </w:pPr>
      <w:r w:rsidRPr="294F0AC8">
        <w:rPr>
          <w:color w:val="000000" w:themeColor="text1"/>
        </w:rPr>
        <w:t>To simply the system, the distinction between accumulation and pension phases should be phased out.</w:t>
      </w:r>
      <w:r w:rsidR="221BCE3A">
        <w:br/>
      </w:r>
    </w:p>
    <w:p w14:paraId="3B0A679D" w14:textId="0C7CCD88" w:rsidR="30B1BE2D" w:rsidRPr="00D56259" w:rsidRDefault="294F0AC8" w:rsidP="00DD3DC0">
      <w:pPr>
        <w:pStyle w:val="Recommendation"/>
        <w:numPr>
          <w:ilvl w:val="0"/>
          <w:numId w:val="28"/>
        </w:numPr>
        <w:rPr>
          <w:rFonts w:asciiTheme="minorHAnsi" w:eastAsiaTheme="minorEastAsia" w:hAnsiTheme="minorHAnsi"/>
          <w:bCs/>
          <w:color w:val="000000" w:themeColor="text1"/>
          <w:szCs w:val="20"/>
        </w:rPr>
      </w:pPr>
      <w:r w:rsidRPr="294F0AC8">
        <w:rPr>
          <w:color w:val="000000" w:themeColor="text1"/>
        </w:rPr>
        <w:t xml:space="preserve">This should be offset by a 15% rebate (minus any imputation credits) for people over the preservation age whose income (including Age Pension, earnings, </w:t>
      </w:r>
      <w:proofErr w:type="gramStart"/>
      <w:r w:rsidRPr="294F0AC8">
        <w:rPr>
          <w:color w:val="000000" w:themeColor="text1"/>
        </w:rPr>
        <w:t>superannuation</w:t>
      </w:r>
      <w:proofErr w:type="gramEnd"/>
      <w:r w:rsidRPr="294F0AC8">
        <w:rPr>
          <w:color w:val="000000" w:themeColor="text1"/>
        </w:rPr>
        <w:t xml:space="preserve"> and other investment income) falls below their tax-free threshold. The rebate would be calculated each year by the ATO and deposited in a superannuation fund chosen by the taxpayer.</w:t>
      </w:r>
      <w:r w:rsidR="221BCE3A">
        <w:br/>
      </w:r>
    </w:p>
    <w:p w14:paraId="1EF7D168" w14:textId="7BC60800" w:rsidR="30B1BE2D" w:rsidRDefault="294F0AC8" w:rsidP="00DD3DC0">
      <w:pPr>
        <w:pStyle w:val="Recommendation"/>
        <w:numPr>
          <w:ilvl w:val="0"/>
          <w:numId w:val="28"/>
        </w:numPr>
        <w:rPr>
          <w:rFonts w:asciiTheme="minorHAnsi" w:eastAsiaTheme="minorEastAsia" w:hAnsiTheme="minorHAnsi"/>
          <w:bCs/>
          <w:color w:val="000000" w:themeColor="text1"/>
          <w:szCs w:val="20"/>
        </w:rPr>
      </w:pPr>
      <w:r w:rsidRPr="294F0AC8">
        <w:rPr>
          <w:color w:val="000000" w:themeColor="text1"/>
        </w:rPr>
        <w:t>Opportunities for taxpayers to avoid or reduce tax on capital gains accrued during working life by holding assets in a self-managed super fund should be curtailed.</w:t>
      </w:r>
      <w:r w:rsidR="221BCE3A">
        <w:br/>
      </w:r>
    </w:p>
    <w:p w14:paraId="1100B554" w14:textId="3DA156B1" w:rsidR="30B1BE2D" w:rsidRDefault="294F0AC8" w:rsidP="00DD3DC0">
      <w:pPr>
        <w:pStyle w:val="Recommendation"/>
        <w:numPr>
          <w:ilvl w:val="0"/>
          <w:numId w:val="28"/>
        </w:numPr>
        <w:rPr>
          <w:rFonts w:asciiTheme="minorHAnsi" w:eastAsiaTheme="minorEastAsia" w:hAnsiTheme="minorHAnsi"/>
          <w:bCs/>
          <w:color w:val="000000" w:themeColor="text1"/>
          <w:szCs w:val="20"/>
        </w:rPr>
      </w:pPr>
      <w:r w:rsidRPr="294F0AC8">
        <w:rPr>
          <w:color w:val="000000" w:themeColor="text1"/>
        </w:rPr>
        <w:t>Transfers from superannuation accounts to the estates of deceased fund members (apart from partners and dependents) should be taxed at the statutory rate of 17% without exception apart from transfers to spouses and dependent children.</w:t>
      </w:r>
      <w:r w:rsidR="4A8FE9A1">
        <w:br/>
      </w:r>
    </w:p>
    <w:p w14:paraId="5B02998B" w14:textId="4A483744" w:rsidR="30B1BE2D" w:rsidRDefault="294F0AC8" w:rsidP="00DD3DC0">
      <w:pPr>
        <w:pStyle w:val="Recommendation"/>
        <w:numPr>
          <w:ilvl w:val="0"/>
          <w:numId w:val="28"/>
        </w:numPr>
        <w:rPr>
          <w:rFonts w:asciiTheme="minorHAnsi" w:eastAsiaTheme="minorEastAsia" w:hAnsiTheme="minorHAnsi"/>
          <w:bCs/>
          <w:color w:val="000000" w:themeColor="text1"/>
          <w:szCs w:val="20"/>
        </w:rPr>
      </w:pPr>
      <w:r w:rsidRPr="294F0AC8">
        <w:rPr>
          <w:color w:val="000000" w:themeColor="text1"/>
        </w:rPr>
        <w:t>Revenue collected from these measures (which would rise substantially in later years) should be earmarked for public expenditure on aged care services.</w:t>
      </w:r>
    </w:p>
    <w:p w14:paraId="416AF009" w14:textId="77777777" w:rsidR="007376C2" w:rsidRDefault="007376C2" w:rsidP="000B50DA">
      <w:pPr>
        <w:pStyle w:val="Recommendation"/>
        <w:rPr>
          <w:color w:val="C00000"/>
        </w:rPr>
      </w:pPr>
    </w:p>
    <w:p w14:paraId="194641B2" w14:textId="21BADA4B" w:rsidR="013460E9" w:rsidRPr="00A74420" w:rsidRDefault="221BCE3A" w:rsidP="221BCE3A">
      <w:pPr>
        <w:pStyle w:val="Recommendation"/>
        <w:rPr>
          <w:i/>
          <w:iCs/>
        </w:rPr>
      </w:pPr>
      <w:r w:rsidRPr="221BCE3A">
        <w:rPr>
          <w:color w:val="C00000"/>
        </w:rPr>
        <w:t>Budget impact:</w:t>
      </w:r>
      <w:r w:rsidRPr="221BCE3A">
        <w:rPr>
          <w:b w:val="0"/>
          <w:color w:val="C00000"/>
        </w:rPr>
        <w:t xml:space="preserve"> </w:t>
      </w:r>
      <w:r w:rsidRPr="280C9BAE">
        <w:rPr>
          <w:rFonts w:eastAsiaTheme="minorEastAsia"/>
          <w:color w:val="000000" w:themeColor="text1"/>
        </w:rPr>
        <w:t>$0 ($2,500 million in 2023-24)</w:t>
      </w:r>
      <w:r w:rsidRPr="280C9BAE">
        <w:t xml:space="preserve"> </w:t>
      </w:r>
    </w:p>
    <w:p w14:paraId="5E543E13" w14:textId="21BADA4B" w:rsidR="7B33A330" w:rsidRDefault="7B33A330" w:rsidP="7B33A330">
      <w:pPr>
        <w:pStyle w:val="ListNumber"/>
        <w:numPr>
          <w:ilvl w:val="0"/>
          <w:numId w:val="0"/>
        </w:numPr>
        <w:rPr>
          <w:rFonts w:eastAsia="Calibri" w:cs="Arial"/>
          <w:szCs w:val="20"/>
        </w:rPr>
      </w:pPr>
    </w:p>
    <w:p w14:paraId="4F5BB8C0" w14:textId="32E9CFEB" w:rsidR="221BCE3A" w:rsidRDefault="4A8FE9A1" w:rsidP="06F5CC88">
      <w:pPr>
        <w:spacing w:after="0"/>
      </w:pPr>
      <w:r w:rsidRPr="4A8FE9A1">
        <w:rPr>
          <w:rFonts w:ascii="Palatino Linotype" w:eastAsiaTheme="majorEastAsia" w:hAnsi="Palatino Linotype" w:cstheme="majorBidi"/>
          <w:color w:val="143156"/>
          <w:sz w:val="40"/>
          <w:szCs w:val="40"/>
        </w:rPr>
        <w:t>Prevent avoidance of the Medicare Levy</w:t>
      </w:r>
    </w:p>
    <w:p w14:paraId="02FE4690" w14:textId="15FD71DE" w:rsidR="7B33A330" w:rsidRDefault="294F0AC8" w:rsidP="294F0AC8">
      <w:pPr>
        <w:rPr>
          <w:rFonts w:eastAsiaTheme="minorEastAsia"/>
          <w:b/>
          <w:bCs/>
          <w:color w:val="auto"/>
        </w:rPr>
      </w:pPr>
      <w:r w:rsidRPr="294F0AC8">
        <w:rPr>
          <w:rFonts w:eastAsia="Verdana" w:cs="Verdana"/>
        </w:rPr>
        <w:t xml:space="preserve">The income definition for the Medicare Levy is taxable income, which </w:t>
      </w:r>
      <w:proofErr w:type="gramStart"/>
      <w:r w:rsidRPr="294F0AC8">
        <w:rPr>
          <w:rFonts w:eastAsia="Verdana" w:cs="Verdana"/>
        </w:rPr>
        <w:t>opens up</w:t>
      </w:r>
      <w:proofErr w:type="gramEnd"/>
      <w:r w:rsidRPr="294F0AC8">
        <w:rPr>
          <w:rFonts w:eastAsia="Verdana" w:cs="Verdana"/>
        </w:rPr>
        <w:t xml:space="preserve"> opportunities for taxpayers to avoid paying it by taking advantage of negative gearing arrangements, salary sacrifice, or the use of private trusts. The broader income definition for the high-income Medicare Levy Surcharge (‘MLS income’) restricts these tax avoidance opportunities. To strengthen revenue for health services, this broader definition should extend to the Medicare Levy itself.</w:t>
      </w:r>
      <w:r w:rsidR="7B33A330">
        <w:br/>
      </w:r>
      <w:r w:rsidRPr="294F0AC8">
        <w:rPr>
          <w:rFonts w:eastAsiaTheme="minorEastAsia"/>
          <w:b/>
          <w:bCs/>
          <w:color w:val="C00000"/>
        </w:rPr>
        <w:t>Recommendation 43:</w:t>
      </w:r>
      <w:r w:rsidRPr="294F0AC8">
        <w:rPr>
          <w:rFonts w:eastAsiaTheme="minorEastAsia"/>
          <w:b/>
          <w:bCs/>
          <w:color w:val="CE2028"/>
        </w:rPr>
        <w:t xml:space="preserve"> </w:t>
      </w:r>
      <w:r w:rsidRPr="294F0AC8">
        <w:rPr>
          <w:rFonts w:eastAsiaTheme="minorEastAsia"/>
          <w:b/>
          <w:bCs/>
          <w:color w:val="auto"/>
        </w:rPr>
        <w:t>Prevent avoidance of the Medicare Levy</w:t>
      </w:r>
    </w:p>
    <w:p w14:paraId="514C3F41" w14:textId="12FBF02F" w:rsidR="7B33A330" w:rsidRDefault="294F0AC8" w:rsidP="00DD3DC0">
      <w:pPr>
        <w:pStyle w:val="ListParagraph"/>
        <w:numPr>
          <w:ilvl w:val="0"/>
          <w:numId w:val="27"/>
        </w:numPr>
        <w:rPr>
          <w:rFonts w:asciiTheme="minorEastAsia" w:eastAsiaTheme="minorEastAsia" w:hAnsiTheme="minorEastAsia" w:cstheme="minorEastAsia"/>
          <w:b/>
          <w:color w:val="auto"/>
        </w:rPr>
      </w:pPr>
      <w:r w:rsidRPr="294F0AC8">
        <w:rPr>
          <w:rFonts w:eastAsiaTheme="minorEastAsia"/>
          <w:b/>
          <w:color w:val="auto"/>
        </w:rPr>
        <w:t xml:space="preserve">From 1 July 2023, the income definition for the Medicare Levy should be broadened from ‘taxable income’ to ‘Medicare Levy Surcharge income’ to prevent people from avoiding the Levy by using tax shelters such as private trusts, negative </w:t>
      </w:r>
      <w:proofErr w:type="gramStart"/>
      <w:r w:rsidRPr="294F0AC8">
        <w:rPr>
          <w:rFonts w:eastAsiaTheme="minorEastAsia"/>
          <w:b/>
          <w:color w:val="auto"/>
        </w:rPr>
        <w:t>gearing</w:t>
      </w:r>
      <w:proofErr w:type="gramEnd"/>
      <w:r w:rsidRPr="294F0AC8">
        <w:rPr>
          <w:rFonts w:eastAsiaTheme="minorEastAsia"/>
          <w:b/>
          <w:color w:val="auto"/>
        </w:rPr>
        <w:t xml:space="preserve"> or salary sacrifice arrangements.</w:t>
      </w:r>
      <w:r w:rsidR="7B33A330">
        <w:br/>
      </w:r>
    </w:p>
    <w:p w14:paraId="37EF6A1C" w14:textId="1908B3AA" w:rsidR="21293AA0" w:rsidRDefault="294F0AC8" w:rsidP="00DD3DC0">
      <w:pPr>
        <w:pStyle w:val="ListNumber"/>
        <w:numPr>
          <w:ilvl w:val="0"/>
          <w:numId w:val="27"/>
        </w:numPr>
        <w:rPr>
          <w:rFonts w:asciiTheme="minorEastAsia" w:eastAsiaTheme="minorEastAsia" w:hAnsiTheme="minorEastAsia" w:cstheme="minorEastAsia"/>
          <w:b/>
          <w:bCs/>
          <w:color w:val="auto"/>
          <w:szCs w:val="20"/>
        </w:rPr>
      </w:pPr>
      <w:r w:rsidRPr="294F0AC8">
        <w:rPr>
          <w:rFonts w:eastAsiaTheme="minorEastAsia"/>
          <w:b/>
          <w:bCs/>
          <w:color w:val="auto"/>
        </w:rPr>
        <w:t>Revenue raised from this change should be earmarked for public expenditure on essential health and disability services.</w:t>
      </w:r>
    </w:p>
    <w:p w14:paraId="5F96A722" w14:textId="1C39A681" w:rsidR="00FD1810" w:rsidRDefault="221BCE3A" w:rsidP="06F5CC88">
      <w:pPr>
        <w:pStyle w:val="ListNumber"/>
        <w:numPr>
          <w:ilvl w:val="0"/>
          <w:numId w:val="0"/>
        </w:numPr>
      </w:pPr>
      <w:r w:rsidRPr="221BCE3A">
        <w:rPr>
          <w:rFonts w:eastAsiaTheme="minorEastAsia"/>
          <w:b/>
          <w:bCs/>
          <w:color w:val="C00000"/>
        </w:rPr>
        <w:t xml:space="preserve">Budget impact: </w:t>
      </w:r>
      <w:r w:rsidRPr="280C9BAE">
        <w:rPr>
          <w:rFonts w:eastAsiaTheme="minorEastAsia"/>
          <w:b/>
        </w:rPr>
        <w:t>$0 ($1,300 million in 2023-24)</w:t>
      </w:r>
      <w:r>
        <w:t xml:space="preserve"> </w:t>
      </w:r>
      <w:r w:rsidR="00FD1810">
        <w:br w:type="page"/>
      </w:r>
    </w:p>
    <w:p w14:paraId="75D5E847" w14:textId="77C35F2A" w:rsidR="00FD1810" w:rsidRDefault="294F0AC8" w:rsidP="280C9BAE">
      <w:pPr>
        <w:pStyle w:val="Heading1"/>
        <w:numPr>
          <w:ilvl w:val="0"/>
          <w:numId w:val="0"/>
        </w:numPr>
      </w:pPr>
      <w:bookmarkStart w:id="800" w:name="_Toc519957919"/>
      <w:bookmarkStart w:id="801" w:name="_Toc1604890189"/>
      <w:bookmarkStart w:id="802" w:name="_Toc1729148897"/>
      <w:bookmarkStart w:id="803" w:name="_Toc370920947"/>
      <w:bookmarkStart w:id="804" w:name="_Toc891177524"/>
      <w:bookmarkStart w:id="805" w:name="_Toc496540824"/>
      <w:bookmarkStart w:id="806" w:name="_Toc423358720"/>
      <w:bookmarkStart w:id="807" w:name="_Toc1895345339"/>
      <w:bookmarkStart w:id="808" w:name="_Toc90983322"/>
      <w:bookmarkStart w:id="809" w:name="_Toc90983395"/>
      <w:bookmarkStart w:id="810" w:name="_Toc90984658"/>
      <w:r>
        <w:lastRenderedPageBreak/>
        <w:t>10. A fairer tax system that supports services, safety nets and economic development</w:t>
      </w:r>
      <w:bookmarkEnd w:id="800"/>
      <w:bookmarkEnd w:id="801"/>
      <w:bookmarkEnd w:id="802"/>
      <w:bookmarkEnd w:id="803"/>
      <w:bookmarkEnd w:id="804"/>
      <w:bookmarkEnd w:id="805"/>
      <w:bookmarkEnd w:id="806"/>
      <w:bookmarkEnd w:id="807"/>
      <w:bookmarkEnd w:id="808"/>
      <w:bookmarkEnd w:id="809"/>
      <w:bookmarkEnd w:id="810"/>
    </w:p>
    <w:p w14:paraId="51C1E6F4" w14:textId="2EB0BB4E" w:rsidR="00FD1810" w:rsidRDefault="294F0AC8" w:rsidP="294F0AC8">
      <w:pPr>
        <w:rPr>
          <w:rFonts w:eastAsia="Calibri" w:cs="Arial"/>
        </w:rPr>
      </w:pPr>
      <w:r w:rsidRPr="294F0AC8">
        <w:rPr>
          <w:rFonts w:eastAsia="Calibri" w:cs="Arial"/>
        </w:rPr>
        <w:t xml:space="preserve">While there is no urgency to reduce the budget deficit, the government should begin work to shore up the revenue base needed in future years to finance essential services and income support and action on climate change, as proposed in the community sector </w:t>
      </w:r>
      <w:hyperlink r:id="rId24">
        <w:r w:rsidRPr="294F0AC8">
          <w:rPr>
            <w:rStyle w:val="Hyperlink"/>
            <w:rFonts w:eastAsia="Calibri" w:cs="Arial"/>
          </w:rPr>
          <w:t>statement on budget policy</w:t>
        </w:r>
      </w:hyperlink>
      <w:r w:rsidRPr="294F0AC8">
        <w:rPr>
          <w:rFonts w:eastAsia="Calibri" w:cs="Arial"/>
        </w:rPr>
        <w:t>.</w:t>
      </w:r>
      <w:r w:rsidR="02CD745E" w:rsidRPr="294F0AC8">
        <w:rPr>
          <w:rStyle w:val="FootnoteReference"/>
          <w:rFonts w:eastAsia="Calibri" w:cs="Arial"/>
        </w:rPr>
        <w:footnoteReference w:id="39"/>
      </w:r>
      <w:r w:rsidRPr="294F0AC8">
        <w:rPr>
          <w:rFonts w:eastAsia="Calibri" w:cs="Arial"/>
        </w:rPr>
        <w:t xml:space="preserve"> This is not the time for more income tax cuts, especially those scheduled for 2024</w:t>
      </w:r>
      <w:r w:rsidR="00283CA8">
        <w:rPr>
          <w:rFonts w:eastAsia="Calibri" w:cs="Arial"/>
        </w:rPr>
        <w:t>,</w:t>
      </w:r>
      <w:r w:rsidRPr="294F0AC8">
        <w:rPr>
          <w:rFonts w:eastAsia="Calibri" w:cs="Arial"/>
        </w:rPr>
        <w:t xml:space="preserve"> which cost over $16 billion a year and mainly go to men with high incomes. Instead of cutting taxes, the government should restructure them so that revenue is raised more fairly and efficiently. High priority should be given to reforms to taxes on investment incomes from property and shares, superannuation (see previous chapter), the use of private companies and trusts to avoid tax, curbs on tax avoidance by multi-national companies, and the removal of business tax concessions that are economically and environmentally harmful such as fossil fuel subsidies.</w:t>
      </w:r>
    </w:p>
    <w:p w14:paraId="25102A8E" w14:textId="2079A547" w:rsidR="280C9BAE" w:rsidRDefault="280C9BAE" w:rsidP="280C9BAE">
      <w:pPr>
        <w:rPr>
          <w:rFonts w:eastAsia="Verdana" w:cs="Verdana"/>
        </w:rPr>
      </w:pPr>
      <w:r w:rsidRPr="280C9BAE">
        <w:rPr>
          <w:rFonts w:eastAsia="Verdana" w:cs="Verdana"/>
        </w:rPr>
        <w:t>Australian governments don't collect enough tax to fund the essential services and safety nets we need. Australia is the ninth lowest-taxing country among 36 OECD nations. All levels of government collect 30.5% of Gross Domestic Product (GDP) in tax compared with an average of 32.9% among wealthy nations. Our personal income tax revenue (at 11.5% of GDP in 2017) is also lower than the average for wealthy nations (17.4% of GDP), taking account of social insurance taxes. An average fulltime worker pays 24.1% of their overall income in income tax, lower than an average American worker (24.4%).</w:t>
      </w:r>
      <w:r w:rsidRPr="280C9BAE">
        <w:rPr>
          <w:rStyle w:val="FootnoteReference"/>
          <w:rFonts w:eastAsia="Verdana" w:cs="Verdana"/>
        </w:rPr>
        <w:footnoteReference w:id="40"/>
      </w:r>
    </w:p>
    <w:p w14:paraId="19FB5DFE" w14:textId="688DA56E" w:rsidR="280C9BAE" w:rsidRDefault="280C9BAE" w:rsidP="280C9BAE">
      <w:pPr>
        <w:rPr>
          <w:rFonts w:eastAsia="Calibri" w:cs="Arial"/>
          <w:szCs w:val="20"/>
        </w:rPr>
      </w:pPr>
      <w:r w:rsidRPr="280C9BAE">
        <w:rPr>
          <w:rFonts w:eastAsia="Calibri" w:cs="Arial"/>
          <w:szCs w:val="20"/>
        </w:rPr>
        <w:t>We do, however, collect tax unfairly and inefficiently. The main problem is not that we tax income too much and consumption too little, as some argue. There is little difference in the economic impact of taxes on income and consumption. The main difference between them is that income taxes fall mainly on people with high incomes and consumption taxes fall disproportionately on people with the least capacity to pay.</w:t>
      </w:r>
    </w:p>
    <w:p w14:paraId="1260C51B" w14:textId="294A1D05" w:rsidR="280C9BAE" w:rsidRDefault="280C9BAE" w:rsidP="280C9BAE">
      <w:pPr>
        <w:rPr>
          <w:rFonts w:eastAsia="Calibri" w:cs="Arial"/>
          <w:szCs w:val="20"/>
        </w:rPr>
      </w:pPr>
      <w:r w:rsidRPr="280C9BAE">
        <w:rPr>
          <w:rFonts w:eastAsia="Calibri" w:cs="Arial"/>
          <w:szCs w:val="20"/>
        </w:rPr>
        <w:t xml:space="preserve">The main weakness of our tax system is that we fail to tax individuals and company income consistently, due to shelters and loopholes that generally benefit individuals with high incomes and companies that already occupy a dominant place in the Australian economy. This is unfair: for example, it means that people with high incomes and smart accountants often pay less tax on their investment income than an average worker pays on their wage. These inconsistencies also distort work and investment decisions in ways that are economically and environmentally harmful. For example, the tax treatment of investment income is biased towards speculation in property, while fossil fuel subsidies delay the necessary and inevitable transition to renewable energy sources. </w:t>
      </w:r>
    </w:p>
    <w:p w14:paraId="77032079" w14:textId="4FA77AEC" w:rsidR="280C9BAE" w:rsidRDefault="280C9BAE" w:rsidP="280C9BAE">
      <w:pPr>
        <w:rPr>
          <w:rFonts w:eastAsia="Calibri" w:cs="Arial"/>
          <w:szCs w:val="20"/>
        </w:rPr>
      </w:pPr>
      <w:r w:rsidRPr="06F5CC88">
        <w:rPr>
          <w:rFonts w:eastAsia="Calibri" w:cs="Arial"/>
        </w:rPr>
        <w:t xml:space="preserve">We also rely too little on fair and efficient tax bases such as land.  </w:t>
      </w:r>
    </w:p>
    <w:p w14:paraId="0A227403" w14:textId="7D1972B5" w:rsidR="06F5CC88" w:rsidRDefault="06F5CC88">
      <w:r>
        <w:br w:type="page"/>
      </w:r>
    </w:p>
    <w:p w14:paraId="2C849F02" w14:textId="7D1972B5" w:rsidR="00FD1810" w:rsidRPr="00EC00E7" w:rsidRDefault="404761B3" w:rsidP="113BDBC9">
      <w:pPr>
        <w:rPr>
          <w:rFonts w:eastAsia="Verdana" w:cs="Verdana"/>
          <w:b/>
          <w:color w:val="201F1E"/>
          <w:szCs w:val="20"/>
        </w:rPr>
      </w:pPr>
      <w:r w:rsidRPr="00EC00E7">
        <w:rPr>
          <w:rFonts w:eastAsia="Verdana" w:cs="Verdana"/>
          <w:b/>
          <w:color w:val="201F1E"/>
          <w:szCs w:val="20"/>
        </w:rPr>
        <w:lastRenderedPageBreak/>
        <w:t>Major recommendations:</w:t>
      </w:r>
    </w:p>
    <w:p w14:paraId="2239A9E5" w14:textId="4CDD5FF8" w:rsidR="221BCE3A" w:rsidRDefault="221BCE3A" w:rsidP="00DD3DC0">
      <w:pPr>
        <w:pStyle w:val="ListParagraph"/>
        <w:numPr>
          <w:ilvl w:val="0"/>
          <w:numId w:val="15"/>
        </w:numPr>
        <w:spacing w:after="160" w:line="259" w:lineRule="auto"/>
        <w:rPr>
          <w:rFonts w:asciiTheme="minorHAnsi" w:eastAsiaTheme="minorEastAsia" w:hAnsiTheme="minorHAnsi"/>
          <w:b/>
        </w:rPr>
      </w:pPr>
      <w:r w:rsidRPr="79A6475B">
        <w:rPr>
          <w:b/>
        </w:rPr>
        <w:t xml:space="preserve">Do not proceed with scheduled </w:t>
      </w:r>
      <w:r w:rsidR="6A7B0A60" w:rsidRPr="79A6475B">
        <w:rPr>
          <w:b/>
        </w:rPr>
        <w:t xml:space="preserve">2024-25 </w:t>
      </w:r>
      <w:r w:rsidRPr="79A6475B">
        <w:rPr>
          <w:b/>
        </w:rPr>
        <w:t>income tax cuts</w:t>
      </w:r>
      <w:r w:rsidR="526616D8" w:rsidRPr="79A6475B">
        <w:rPr>
          <w:b/>
        </w:rPr>
        <w:t>.</w:t>
      </w:r>
    </w:p>
    <w:p w14:paraId="7C05097B" w14:textId="788C921C" w:rsidR="221BCE3A" w:rsidRDefault="294F0AC8" w:rsidP="00DD3DC0">
      <w:pPr>
        <w:pStyle w:val="ListParagraph"/>
        <w:numPr>
          <w:ilvl w:val="0"/>
          <w:numId w:val="15"/>
        </w:numPr>
        <w:rPr>
          <w:rFonts w:asciiTheme="minorHAnsi" w:eastAsiaTheme="minorEastAsia" w:hAnsiTheme="minorHAnsi"/>
          <w:b/>
        </w:rPr>
      </w:pPr>
      <w:r w:rsidRPr="294F0AC8">
        <w:rPr>
          <w:b/>
        </w:rPr>
        <w:t>Reduce the general Capital Gains Tax discount for individuals and trusts by half and restrict deductions for personal investment expenses (negative gearing).</w:t>
      </w:r>
    </w:p>
    <w:p w14:paraId="5D412179" w14:textId="425F9BAF" w:rsidR="221BCE3A" w:rsidRDefault="294F0AC8" w:rsidP="00DD3DC0">
      <w:pPr>
        <w:pStyle w:val="ListParagraph"/>
        <w:numPr>
          <w:ilvl w:val="0"/>
          <w:numId w:val="15"/>
        </w:numPr>
        <w:rPr>
          <w:rFonts w:asciiTheme="minorHAnsi" w:eastAsiaTheme="minorEastAsia" w:hAnsiTheme="minorHAnsi"/>
          <w:b/>
        </w:rPr>
      </w:pPr>
      <w:r w:rsidRPr="294F0AC8">
        <w:rPr>
          <w:b/>
        </w:rPr>
        <w:t>Abolish fuel tax credits for off-road use, except for agriculture.</w:t>
      </w:r>
    </w:p>
    <w:p w14:paraId="205D7AD6" w14:textId="20447264" w:rsidR="79A6475B" w:rsidRDefault="79A6475B" w:rsidP="79A6475B">
      <w:pPr>
        <w:pStyle w:val="List3"/>
        <w:ind w:left="0" w:firstLine="0"/>
        <w:rPr>
          <w:rFonts w:eastAsia="Calibri" w:cs="Arial"/>
          <w:szCs w:val="20"/>
        </w:rPr>
      </w:pPr>
    </w:p>
    <w:p w14:paraId="2A207AB7" w14:textId="070E8AFC" w:rsidR="323DF9F3" w:rsidRDefault="294F0AC8" w:rsidP="001D1B51">
      <w:pPr>
        <w:pStyle w:val="Heading2"/>
      </w:pPr>
      <w:bookmarkStart w:id="811" w:name="_Toc1804684722"/>
      <w:bookmarkStart w:id="812" w:name="_Toc1905598941"/>
      <w:bookmarkStart w:id="813" w:name="_Toc1331363919"/>
      <w:bookmarkStart w:id="814" w:name="_Toc1941693429"/>
      <w:bookmarkStart w:id="815" w:name="_Toc375221232"/>
      <w:bookmarkStart w:id="816" w:name="_Toc663746128"/>
      <w:bookmarkStart w:id="817" w:name="_Toc382112907"/>
      <w:bookmarkStart w:id="818" w:name="_Toc323475756"/>
      <w:bookmarkStart w:id="819" w:name="_Toc90983396"/>
      <w:bookmarkStart w:id="820" w:name="_Toc90984659"/>
      <w:r w:rsidRPr="294F0AC8">
        <w:t>Cancel the tax cuts</w:t>
      </w:r>
      <w:bookmarkEnd w:id="811"/>
      <w:bookmarkEnd w:id="812"/>
      <w:bookmarkEnd w:id="813"/>
      <w:bookmarkEnd w:id="814"/>
      <w:bookmarkEnd w:id="815"/>
      <w:bookmarkEnd w:id="816"/>
      <w:bookmarkEnd w:id="817"/>
      <w:bookmarkEnd w:id="818"/>
      <w:bookmarkEnd w:id="819"/>
      <w:bookmarkEnd w:id="820"/>
    </w:p>
    <w:p w14:paraId="1464A241" w14:textId="77777777" w:rsidR="00EC00E7" w:rsidRDefault="00EC00E7" w:rsidP="79A6475B">
      <w:pPr>
        <w:rPr>
          <w:rFonts w:eastAsia="Calibri" w:cs="Arial"/>
        </w:rPr>
      </w:pPr>
    </w:p>
    <w:p w14:paraId="760D4E5A" w14:textId="1DD1CAFA" w:rsidR="2B1A38E0" w:rsidRDefault="2B1A38E0" w:rsidP="79A6475B">
      <w:pPr>
        <w:rPr>
          <w:rFonts w:eastAsia="Calibri" w:cs="Arial"/>
          <w:szCs w:val="20"/>
        </w:rPr>
      </w:pPr>
      <w:r w:rsidRPr="194D1029">
        <w:rPr>
          <w:rFonts w:eastAsia="Calibri" w:cs="Arial"/>
        </w:rPr>
        <w:t xml:space="preserve">Australian government revenue </w:t>
      </w:r>
      <w:r w:rsidR="4B042BE1" w:rsidRPr="194D1029">
        <w:rPr>
          <w:rFonts w:eastAsia="Calibri" w:cs="Arial"/>
        </w:rPr>
        <w:t>is expected to fall</w:t>
      </w:r>
      <w:r w:rsidRPr="194D1029">
        <w:rPr>
          <w:rFonts w:eastAsia="Calibri" w:cs="Arial"/>
        </w:rPr>
        <w:t xml:space="preserve"> sharply in </w:t>
      </w:r>
      <w:r w:rsidR="2FCA3A12" w:rsidRPr="194D1029">
        <w:rPr>
          <w:rFonts w:eastAsia="Calibri" w:cs="Arial"/>
        </w:rPr>
        <w:t xml:space="preserve">the wake of </w:t>
      </w:r>
      <w:r w:rsidRPr="194D1029">
        <w:rPr>
          <w:rFonts w:eastAsia="Calibri" w:cs="Arial"/>
        </w:rPr>
        <w:t>last year's recession</w:t>
      </w:r>
      <w:r w:rsidR="1D4628A4" w:rsidRPr="194D1029">
        <w:rPr>
          <w:rFonts w:eastAsia="Calibri" w:cs="Arial"/>
        </w:rPr>
        <w:t xml:space="preserve">, from </w:t>
      </w:r>
      <w:r w:rsidR="3A1BDE14" w:rsidRPr="194D1029">
        <w:rPr>
          <w:rFonts w:eastAsia="Calibri" w:cs="Arial"/>
        </w:rPr>
        <w:t>24.9</w:t>
      </w:r>
      <w:r w:rsidR="1D4628A4" w:rsidRPr="194D1029">
        <w:rPr>
          <w:rFonts w:eastAsia="Calibri" w:cs="Arial"/>
        </w:rPr>
        <w:t xml:space="preserve">% </w:t>
      </w:r>
      <w:r w:rsidR="4FA03984" w:rsidRPr="194D1029">
        <w:rPr>
          <w:rFonts w:eastAsia="Calibri" w:cs="Arial"/>
        </w:rPr>
        <w:t xml:space="preserve">of GDP in 2018-19 </w:t>
      </w:r>
      <w:r w:rsidR="1D4628A4" w:rsidRPr="194D1029">
        <w:rPr>
          <w:rFonts w:eastAsia="Calibri" w:cs="Arial"/>
        </w:rPr>
        <w:t xml:space="preserve">to </w:t>
      </w:r>
      <w:r w:rsidR="0D0E61A1" w:rsidRPr="194D1029">
        <w:rPr>
          <w:rFonts w:eastAsia="Calibri" w:cs="Arial"/>
        </w:rPr>
        <w:t>22.7</w:t>
      </w:r>
      <w:r w:rsidR="1D4628A4" w:rsidRPr="194D1029">
        <w:rPr>
          <w:rFonts w:eastAsia="Calibri" w:cs="Arial"/>
        </w:rPr>
        <w:t xml:space="preserve">% </w:t>
      </w:r>
      <w:r w:rsidR="46379DD5" w:rsidRPr="194D1029">
        <w:rPr>
          <w:rFonts w:eastAsia="Calibri" w:cs="Arial"/>
        </w:rPr>
        <w:t>in 2022-23</w:t>
      </w:r>
      <w:r w:rsidR="36055158" w:rsidRPr="194D1029">
        <w:rPr>
          <w:rFonts w:eastAsia="Calibri" w:cs="Arial"/>
        </w:rPr>
        <w:t xml:space="preserve"> (Figure 5)</w:t>
      </w:r>
      <w:r w:rsidR="1D4628A4" w:rsidRPr="194D1029">
        <w:rPr>
          <w:rFonts w:eastAsia="Calibri" w:cs="Arial"/>
        </w:rPr>
        <w:t>.</w:t>
      </w:r>
      <w:r w:rsidRPr="194D1029">
        <w:rPr>
          <w:rFonts w:eastAsia="Calibri" w:cs="Arial"/>
        </w:rPr>
        <w:t xml:space="preserve"> </w:t>
      </w:r>
      <w:r w:rsidR="092C761E" w:rsidRPr="194D1029">
        <w:rPr>
          <w:rFonts w:eastAsia="Calibri" w:cs="Arial"/>
        </w:rPr>
        <w:t>The Parliamentary Budget Office projects that it will not recover to pre-recession levels by 203</w:t>
      </w:r>
      <w:r w:rsidR="7031EDC0" w:rsidRPr="194D1029">
        <w:rPr>
          <w:rFonts w:eastAsia="Calibri" w:cs="Arial"/>
        </w:rPr>
        <w:t>1-32</w:t>
      </w:r>
      <w:r w:rsidR="092C761E" w:rsidRPr="194D1029">
        <w:rPr>
          <w:rFonts w:eastAsia="Calibri" w:cs="Arial"/>
        </w:rPr>
        <w:t xml:space="preserve"> (wh</w:t>
      </w:r>
      <w:r w:rsidR="52B0FB52" w:rsidRPr="194D1029">
        <w:rPr>
          <w:rFonts w:eastAsia="Calibri" w:cs="Arial"/>
        </w:rPr>
        <w:t>en</w:t>
      </w:r>
      <w:r w:rsidR="092C761E" w:rsidRPr="194D1029">
        <w:rPr>
          <w:rFonts w:eastAsia="Calibri" w:cs="Arial"/>
        </w:rPr>
        <w:t xml:space="preserve"> it will be </w:t>
      </w:r>
      <w:r w:rsidR="687DCEE6" w:rsidRPr="194D1029">
        <w:rPr>
          <w:rFonts w:eastAsia="Calibri" w:cs="Arial"/>
        </w:rPr>
        <w:t>24.7</w:t>
      </w:r>
      <w:r w:rsidR="092C761E" w:rsidRPr="194D1029">
        <w:rPr>
          <w:rFonts w:eastAsia="Calibri" w:cs="Arial"/>
        </w:rPr>
        <w:t>% of GDP).</w:t>
      </w:r>
      <w:r w:rsidRPr="194D1029">
        <w:rPr>
          <w:rStyle w:val="FootnoteReference"/>
          <w:rFonts w:eastAsia="Calibri" w:cs="Arial"/>
        </w:rPr>
        <w:footnoteReference w:id="41"/>
      </w:r>
    </w:p>
    <w:p w14:paraId="0D9FD463" w14:textId="47711567" w:rsidR="74394832" w:rsidRDefault="294F0AC8" w:rsidP="294F0AC8">
      <w:pPr>
        <w:spacing w:line="257" w:lineRule="auto"/>
        <w:rPr>
          <w:rFonts w:asciiTheme="minorHAnsi" w:eastAsiaTheme="minorEastAsia" w:hAnsiTheme="minorHAnsi"/>
          <w:b/>
          <w:bCs/>
          <w:color w:val="CE2028"/>
          <w:sz w:val="24"/>
          <w:szCs w:val="24"/>
        </w:rPr>
      </w:pPr>
      <w:r w:rsidRPr="294F0AC8">
        <w:rPr>
          <w:rFonts w:asciiTheme="minorHAnsi" w:eastAsiaTheme="minorEastAsia" w:hAnsiTheme="minorHAnsi"/>
          <w:b/>
          <w:bCs/>
          <w:color w:val="CE2028"/>
          <w:sz w:val="24"/>
          <w:szCs w:val="24"/>
        </w:rPr>
        <w:t>Figure 5: Australian government total revenue and tax revenue (% of GDP)</w:t>
      </w:r>
    </w:p>
    <w:p w14:paraId="4CFB4DE1" w14:textId="3FAEC93F" w:rsidR="74394832" w:rsidRDefault="74394832" w:rsidP="79A6475B">
      <w:pPr>
        <w:rPr>
          <w:rFonts w:eastAsia="Calibri" w:cs="Arial"/>
          <w:szCs w:val="20"/>
        </w:rPr>
      </w:pPr>
      <w:r>
        <w:rPr>
          <w:noProof/>
          <w:color w:val="2B579A"/>
          <w:shd w:val="clear" w:color="auto" w:fill="E6E6E6"/>
        </w:rPr>
        <w:drawing>
          <wp:inline distT="0" distB="0" distL="0" distR="0" wp14:anchorId="2E391CA7" wp14:editId="405F64D8">
            <wp:extent cx="4572000" cy="2714625"/>
            <wp:effectExtent l="0" t="0" r="0" b="0"/>
            <wp:docPr id="1309653328" name="Picture 130965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4572000" cy="2714625"/>
                    </a:xfrm>
                    <a:prstGeom prst="rect">
                      <a:avLst/>
                    </a:prstGeom>
                  </pic:spPr>
                </pic:pic>
              </a:graphicData>
            </a:graphic>
          </wp:inline>
        </w:drawing>
      </w:r>
    </w:p>
    <w:p w14:paraId="5AC94119" w14:textId="30E0D37D" w:rsidR="5CA886CC" w:rsidRDefault="5CA886CC" w:rsidP="79A6475B">
      <w:pPr>
        <w:rPr>
          <w:rFonts w:eastAsia="Calibri" w:cs="Arial"/>
          <w:sz w:val="18"/>
          <w:szCs w:val="18"/>
        </w:rPr>
      </w:pPr>
      <w:r w:rsidRPr="79A6475B">
        <w:rPr>
          <w:rFonts w:eastAsia="Calibri" w:cs="Arial"/>
          <w:sz w:val="18"/>
          <w:szCs w:val="18"/>
        </w:rPr>
        <w:t xml:space="preserve">Parliamentary Budget Office (2021), </w:t>
      </w:r>
      <w:r w:rsidRPr="79A6475B">
        <w:rPr>
          <w:rFonts w:eastAsia="Calibri" w:cs="Arial"/>
          <w:i/>
          <w:iCs/>
          <w:sz w:val="18"/>
          <w:szCs w:val="18"/>
        </w:rPr>
        <w:t>Beyond the Budget - 2021-22: Fiscal outlook and scenarios,</w:t>
      </w:r>
      <w:r w:rsidRPr="79A6475B">
        <w:rPr>
          <w:rFonts w:eastAsia="Calibri" w:cs="Arial"/>
          <w:sz w:val="18"/>
          <w:szCs w:val="18"/>
        </w:rPr>
        <w:t xml:space="preserve"> Report No 2/2021.</w:t>
      </w:r>
    </w:p>
    <w:p w14:paraId="59EE551F" w14:textId="0F165458" w:rsidR="258636A3" w:rsidRDefault="258636A3" w:rsidP="79A6475B">
      <w:pPr>
        <w:rPr>
          <w:rFonts w:eastAsia="Calibri" w:cs="Arial"/>
          <w:szCs w:val="20"/>
        </w:rPr>
      </w:pPr>
      <w:r w:rsidRPr="194D1029">
        <w:rPr>
          <w:rFonts w:eastAsia="Calibri" w:cs="Arial"/>
        </w:rPr>
        <w:t>Given diminishing public revenues</w:t>
      </w:r>
      <w:r w:rsidR="00B81894">
        <w:rPr>
          <w:rFonts w:eastAsia="Calibri" w:cs="Arial"/>
        </w:rPr>
        <w:t>,</w:t>
      </w:r>
      <w:r w:rsidRPr="194D1029">
        <w:rPr>
          <w:rFonts w:eastAsia="Calibri" w:cs="Arial"/>
        </w:rPr>
        <w:t xml:space="preserve"> </w:t>
      </w:r>
      <w:proofErr w:type="gramStart"/>
      <w:r w:rsidRPr="194D1029">
        <w:rPr>
          <w:rFonts w:eastAsia="Calibri" w:cs="Arial"/>
        </w:rPr>
        <w:t>and growing public expenditure needs, we</w:t>
      </w:r>
      <w:proofErr w:type="gramEnd"/>
      <w:r w:rsidRPr="194D1029">
        <w:rPr>
          <w:rFonts w:eastAsia="Calibri" w:cs="Arial"/>
        </w:rPr>
        <w:t xml:space="preserve"> cannot afford the</w:t>
      </w:r>
      <w:r w:rsidR="078EDED9" w:rsidRPr="194D1029">
        <w:rPr>
          <w:rFonts w:eastAsia="Calibri" w:cs="Arial"/>
        </w:rPr>
        <w:t xml:space="preserve"> $16 billion a year cost of the </w:t>
      </w:r>
      <w:r w:rsidR="021FED08" w:rsidRPr="194D1029">
        <w:rPr>
          <w:rFonts w:eastAsia="Calibri" w:cs="Arial"/>
        </w:rPr>
        <w:t>'</w:t>
      </w:r>
      <w:r w:rsidRPr="194D1029">
        <w:rPr>
          <w:rFonts w:eastAsia="Calibri" w:cs="Arial"/>
        </w:rPr>
        <w:t>Stage 3</w:t>
      </w:r>
      <w:r w:rsidR="0C953425" w:rsidRPr="194D1029">
        <w:rPr>
          <w:rFonts w:eastAsia="Calibri" w:cs="Arial"/>
        </w:rPr>
        <w:t>'</w:t>
      </w:r>
      <w:r w:rsidRPr="194D1029">
        <w:rPr>
          <w:rFonts w:eastAsia="Calibri" w:cs="Arial"/>
        </w:rPr>
        <w:t xml:space="preserve"> tax cuts </w:t>
      </w:r>
      <w:r w:rsidR="018E7855" w:rsidRPr="194D1029">
        <w:rPr>
          <w:rFonts w:eastAsia="Calibri" w:cs="Arial"/>
        </w:rPr>
        <w:t xml:space="preserve">set to commence </w:t>
      </w:r>
      <w:r w:rsidR="16F7C1EB" w:rsidRPr="194D1029">
        <w:rPr>
          <w:rFonts w:eastAsia="Calibri" w:cs="Arial"/>
        </w:rPr>
        <w:t>in 2024-25. Those tax cuts would also go to people who need the least support. A</w:t>
      </w:r>
      <w:r w:rsidRPr="194D1029">
        <w:rPr>
          <w:rFonts w:eastAsia="Calibri" w:cs="Arial"/>
        </w:rPr>
        <w:t xml:space="preserve">nalysis from the Parliamentary Budget Office indicates that </w:t>
      </w:r>
      <w:r w:rsidR="5E08390E" w:rsidRPr="194D1029">
        <w:rPr>
          <w:rFonts w:eastAsia="Calibri" w:cs="Arial"/>
        </w:rPr>
        <w:t>over three quarters</w:t>
      </w:r>
      <w:r w:rsidRPr="194D1029">
        <w:rPr>
          <w:rFonts w:eastAsia="Calibri" w:cs="Arial"/>
        </w:rPr>
        <w:t xml:space="preserve"> </w:t>
      </w:r>
      <w:r w:rsidR="549A9C4B" w:rsidRPr="194D1029">
        <w:rPr>
          <w:rFonts w:eastAsia="Calibri" w:cs="Arial"/>
        </w:rPr>
        <w:t xml:space="preserve">(78%) </w:t>
      </w:r>
      <w:r w:rsidR="65E4847F" w:rsidRPr="194D1029">
        <w:rPr>
          <w:rFonts w:eastAsia="Calibri" w:cs="Arial"/>
        </w:rPr>
        <w:t>o</w:t>
      </w:r>
      <w:r w:rsidRPr="194D1029">
        <w:rPr>
          <w:rFonts w:eastAsia="Calibri" w:cs="Arial"/>
        </w:rPr>
        <w:t xml:space="preserve">f </w:t>
      </w:r>
      <w:r w:rsidR="368BBDF4" w:rsidRPr="194D1029">
        <w:rPr>
          <w:rFonts w:eastAsia="Calibri" w:cs="Arial"/>
        </w:rPr>
        <w:t xml:space="preserve">the value of the tax cuts </w:t>
      </w:r>
      <w:r w:rsidRPr="194D1029">
        <w:rPr>
          <w:rFonts w:eastAsia="Calibri" w:cs="Arial"/>
        </w:rPr>
        <w:t xml:space="preserve">will go to the top </w:t>
      </w:r>
      <w:r w:rsidR="77F35A36" w:rsidRPr="194D1029">
        <w:rPr>
          <w:rFonts w:eastAsia="Calibri" w:cs="Arial"/>
        </w:rPr>
        <w:t>2</w:t>
      </w:r>
      <w:r w:rsidRPr="194D1029">
        <w:rPr>
          <w:rFonts w:eastAsia="Calibri" w:cs="Arial"/>
        </w:rPr>
        <w:t xml:space="preserve">0% </w:t>
      </w:r>
      <w:r w:rsidR="268CAA82" w:rsidRPr="194D1029">
        <w:rPr>
          <w:rFonts w:eastAsia="Calibri" w:cs="Arial"/>
        </w:rPr>
        <w:t xml:space="preserve">by income </w:t>
      </w:r>
      <w:r w:rsidRPr="194D1029">
        <w:rPr>
          <w:rFonts w:eastAsia="Calibri" w:cs="Arial"/>
        </w:rPr>
        <w:t>on $1</w:t>
      </w:r>
      <w:r w:rsidR="0A753CFA" w:rsidRPr="194D1029">
        <w:rPr>
          <w:rFonts w:eastAsia="Calibri" w:cs="Arial"/>
        </w:rPr>
        <w:t>02</w:t>
      </w:r>
      <w:r w:rsidRPr="194D1029">
        <w:rPr>
          <w:rFonts w:eastAsia="Calibri" w:cs="Arial"/>
        </w:rPr>
        <w:t>,000 or more, and only one third will go women.</w:t>
      </w:r>
      <w:r w:rsidRPr="194D1029">
        <w:rPr>
          <w:rStyle w:val="FootnoteReference"/>
          <w:rFonts w:eastAsia="Calibri" w:cs="Arial"/>
        </w:rPr>
        <w:footnoteReference w:id="42"/>
      </w:r>
    </w:p>
    <w:p w14:paraId="58880947" w14:textId="5669C630" w:rsidR="00FD1810" w:rsidRDefault="294F0AC8" w:rsidP="294F0AC8">
      <w:pPr>
        <w:pStyle w:val="Recommendation"/>
        <w:rPr>
          <w:rFonts w:eastAsiaTheme="minorEastAsia"/>
        </w:rPr>
      </w:pPr>
      <w:r w:rsidRPr="294F0AC8">
        <w:rPr>
          <w:rFonts w:eastAsiaTheme="minorEastAsia"/>
          <w:color w:val="C00000"/>
        </w:rPr>
        <w:t>Recommendation 44:</w:t>
      </w:r>
      <w:r w:rsidRPr="294F0AC8">
        <w:rPr>
          <w:color w:val="C00000"/>
        </w:rPr>
        <w:t xml:space="preserve"> </w:t>
      </w:r>
      <w:r w:rsidRPr="294F0AC8">
        <w:rPr>
          <w:color w:val="000000" w:themeColor="text1"/>
        </w:rPr>
        <w:t>Do not proceed with scheduled income tax cuts for high income-earners:</w:t>
      </w:r>
      <w:r w:rsidR="007376C2">
        <w:br/>
      </w:r>
    </w:p>
    <w:p w14:paraId="1D703B4D" w14:textId="66A61C4F" w:rsidR="00FD1810" w:rsidRDefault="294F0AC8" w:rsidP="00DD3DC0">
      <w:pPr>
        <w:pStyle w:val="Recommendation"/>
        <w:numPr>
          <w:ilvl w:val="0"/>
          <w:numId w:val="26"/>
        </w:numPr>
        <w:rPr>
          <w:rFonts w:asciiTheme="minorHAnsi" w:eastAsiaTheme="minorEastAsia" w:hAnsiTheme="minorHAnsi"/>
          <w:bCs/>
          <w:color w:val="000000" w:themeColor="text1"/>
          <w:szCs w:val="20"/>
        </w:rPr>
      </w:pPr>
      <w:r w:rsidRPr="294F0AC8">
        <w:rPr>
          <w:color w:val="000000" w:themeColor="text1"/>
        </w:rPr>
        <w:t xml:space="preserve">The 'Stage 3’ tax cuts legislated to begin in 2024 should be withdrawn. </w:t>
      </w:r>
      <w:r w:rsidR="221BCE3A">
        <w:br/>
      </w:r>
    </w:p>
    <w:p w14:paraId="03D13A74" w14:textId="41F0C9F5" w:rsidR="1EA2AED4" w:rsidRPr="000C6B7B" w:rsidRDefault="221BCE3A" w:rsidP="221BCE3A">
      <w:pPr>
        <w:pStyle w:val="Recommendation"/>
        <w:rPr>
          <w:rFonts w:eastAsiaTheme="minorEastAsia"/>
          <w:color w:val="000000" w:themeColor="text1"/>
        </w:rPr>
      </w:pPr>
      <w:r w:rsidRPr="221BCE3A">
        <w:rPr>
          <w:rFonts w:eastAsiaTheme="minorEastAsia"/>
          <w:color w:val="C00000"/>
        </w:rPr>
        <w:t xml:space="preserve">Budget impact: </w:t>
      </w:r>
      <w:r w:rsidRPr="280C9BAE">
        <w:rPr>
          <w:rFonts w:eastAsiaTheme="minorEastAsia"/>
          <w:color w:val="000000" w:themeColor="text1"/>
        </w:rPr>
        <w:t>$0 million ($15,700 million in 2024-25)</w:t>
      </w:r>
    </w:p>
    <w:p w14:paraId="7EB58692" w14:textId="77777777" w:rsidR="007376C2" w:rsidRDefault="007376C2" w:rsidP="1EA2AED4">
      <w:pPr>
        <w:pStyle w:val="ListNumber"/>
        <w:numPr>
          <w:ilvl w:val="0"/>
          <w:numId w:val="0"/>
        </w:numPr>
      </w:pPr>
    </w:p>
    <w:p w14:paraId="13CB595B" w14:textId="77C35F2A" w:rsidR="00FD1810" w:rsidRPr="00F03627" w:rsidRDefault="294F0AC8" w:rsidP="001D1B51">
      <w:pPr>
        <w:pStyle w:val="Heading2"/>
      </w:pPr>
      <w:bookmarkStart w:id="821" w:name="_Toc567767378"/>
      <w:bookmarkStart w:id="822" w:name="_Toc1220961172"/>
      <w:bookmarkStart w:id="823" w:name="_Toc1161866753"/>
      <w:bookmarkStart w:id="824" w:name="_Toc1262815584"/>
      <w:bookmarkStart w:id="825" w:name="_Toc318445419"/>
      <w:bookmarkStart w:id="826" w:name="_Toc1247957868"/>
      <w:bookmarkStart w:id="827" w:name="_Toc1611803989"/>
      <w:bookmarkStart w:id="828" w:name="_Toc1676071260"/>
      <w:bookmarkStart w:id="829" w:name="_Toc90983397"/>
      <w:bookmarkStart w:id="830" w:name="_Toc90984660"/>
      <w:r w:rsidRPr="43C971D2">
        <w:t>Tax investment income more fairly and consistently</w:t>
      </w:r>
      <w:bookmarkEnd w:id="821"/>
      <w:bookmarkEnd w:id="822"/>
      <w:bookmarkEnd w:id="823"/>
      <w:bookmarkEnd w:id="824"/>
      <w:bookmarkEnd w:id="825"/>
      <w:bookmarkEnd w:id="826"/>
      <w:bookmarkEnd w:id="827"/>
      <w:bookmarkEnd w:id="828"/>
      <w:bookmarkEnd w:id="829"/>
      <w:bookmarkEnd w:id="830"/>
    </w:p>
    <w:p w14:paraId="1F1F15F8" w14:textId="66AE7BBF" w:rsidR="00FD1810" w:rsidRDefault="4A8F853C" w:rsidP="79A6475B">
      <w:pPr>
        <w:rPr>
          <w:rFonts w:eastAsia="Calibri" w:cs="Arial"/>
          <w:szCs w:val="20"/>
        </w:rPr>
      </w:pPr>
      <w:r w:rsidRPr="194D1029">
        <w:rPr>
          <w:rFonts w:eastAsia="Calibri" w:cs="Arial"/>
        </w:rPr>
        <w:t>Households invest more in dwellings than businesses invest in plant a</w:t>
      </w:r>
      <w:r w:rsidR="0CB58FD1" w:rsidRPr="194D1029">
        <w:rPr>
          <w:rFonts w:eastAsia="Calibri" w:cs="Arial"/>
        </w:rPr>
        <w:t>nd equipment.</w:t>
      </w:r>
      <w:r w:rsidR="7C2E4518" w:rsidRPr="194D1029">
        <w:rPr>
          <w:rFonts w:eastAsia="Calibri" w:cs="Arial"/>
        </w:rPr>
        <w:t xml:space="preserve"> </w:t>
      </w:r>
      <w:r w:rsidR="0B7BD761" w:rsidRPr="194D1029">
        <w:rPr>
          <w:rFonts w:eastAsia="Calibri" w:cs="Arial"/>
        </w:rPr>
        <w:t xml:space="preserve">The result of </w:t>
      </w:r>
      <w:r w:rsidR="3B9AE213" w:rsidRPr="194D1029">
        <w:rPr>
          <w:rFonts w:eastAsia="Calibri" w:cs="Arial"/>
        </w:rPr>
        <w:t xml:space="preserve">our </w:t>
      </w:r>
      <w:r w:rsidR="539A6C23" w:rsidRPr="194D1029">
        <w:rPr>
          <w:rFonts w:eastAsia="Calibri" w:cs="Arial"/>
        </w:rPr>
        <w:t>high</w:t>
      </w:r>
      <w:r w:rsidR="0B7BD761" w:rsidRPr="194D1029">
        <w:rPr>
          <w:rFonts w:eastAsia="Calibri" w:cs="Arial"/>
        </w:rPr>
        <w:t xml:space="preserve"> </w:t>
      </w:r>
      <w:r w:rsidR="1889C041" w:rsidRPr="194D1029">
        <w:rPr>
          <w:rFonts w:eastAsia="Calibri" w:cs="Arial"/>
        </w:rPr>
        <w:t xml:space="preserve">levels of </w:t>
      </w:r>
      <w:r w:rsidR="0B7BD761" w:rsidRPr="194D1029">
        <w:rPr>
          <w:rFonts w:eastAsia="Calibri" w:cs="Arial"/>
        </w:rPr>
        <w:t xml:space="preserve">housing investment is rising prices rather </w:t>
      </w:r>
      <w:r w:rsidR="3E54C3B0" w:rsidRPr="194D1029">
        <w:rPr>
          <w:rFonts w:eastAsia="Calibri" w:cs="Arial"/>
        </w:rPr>
        <w:t xml:space="preserve">than </w:t>
      </w:r>
      <w:r w:rsidR="0B7BD761" w:rsidRPr="194D1029">
        <w:rPr>
          <w:rFonts w:eastAsia="Calibri" w:cs="Arial"/>
        </w:rPr>
        <w:t>affordable housing for all.</w:t>
      </w:r>
      <w:r w:rsidR="6FC6A7A4" w:rsidRPr="194D1029">
        <w:rPr>
          <w:rFonts w:eastAsia="Calibri" w:cs="Arial"/>
        </w:rPr>
        <w:t xml:space="preserve"> Over the past year, home prices have risen by over 20% and rents </w:t>
      </w:r>
      <w:r w:rsidR="5A3835B9" w:rsidRPr="194D1029">
        <w:rPr>
          <w:rFonts w:eastAsia="Calibri" w:cs="Arial"/>
        </w:rPr>
        <w:t xml:space="preserve">rose </w:t>
      </w:r>
      <w:r w:rsidR="6FC6A7A4" w:rsidRPr="194D1029">
        <w:rPr>
          <w:rFonts w:eastAsia="Calibri" w:cs="Arial"/>
        </w:rPr>
        <w:t xml:space="preserve">by more than </w:t>
      </w:r>
      <w:r w:rsidR="77399287" w:rsidRPr="194D1029">
        <w:rPr>
          <w:rFonts w:eastAsia="Calibri" w:cs="Arial"/>
        </w:rPr>
        <w:t>8</w:t>
      </w:r>
      <w:r w:rsidR="6FC6A7A4" w:rsidRPr="194D1029">
        <w:rPr>
          <w:rFonts w:eastAsia="Calibri" w:cs="Arial"/>
        </w:rPr>
        <w:t>%.</w:t>
      </w:r>
      <w:r w:rsidR="00FD1810" w:rsidRPr="194D1029">
        <w:rPr>
          <w:rStyle w:val="FootnoteReference"/>
          <w:rFonts w:eastAsia="Calibri" w:cs="Arial"/>
        </w:rPr>
        <w:footnoteReference w:id="43"/>
      </w:r>
    </w:p>
    <w:p w14:paraId="5A4BD3FB" w14:textId="777D160B" w:rsidR="00FD1810" w:rsidRDefault="5AEDDC62" w:rsidP="79A6475B">
      <w:pPr>
        <w:rPr>
          <w:rFonts w:eastAsia="Calibri" w:cs="Arial"/>
          <w:szCs w:val="20"/>
        </w:rPr>
      </w:pPr>
      <w:r w:rsidRPr="79A6475B">
        <w:rPr>
          <w:rFonts w:eastAsia="Verdana" w:cs="Verdana"/>
          <w:sz w:val="19"/>
          <w:szCs w:val="19"/>
        </w:rPr>
        <w:t>Our tax system encourages o</w:t>
      </w:r>
      <w:r w:rsidR="46E2A8D3" w:rsidRPr="79A6475B">
        <w:rPr>
          <w:rFonts w:eastAsia="Calibri" w:cs="Arial"/>
          <w:szCs w:val="20"/>
        </w:rPr>
        <w:t xml:space="preserve">ver-investment in housing </w:t>
      </w:r>
      <w:r w:rsidR="2F7212E7" w:rsidRPr="79A6475B">
        <w:rPr>
          <w:rFonts w:eastAsia="Calibri" w:cs="Arial"/>
          <w:szCs w:val="20"/>
        </w:rPr>
        <w:t xml:space="preserve">and other assets that increase in value </w:t>
      </w:r>
      <w:r w:rsidR="46E2A8D3" w:rsidRPr="79A6475B">
        <w:rPr>
          <w:rFonts w:eastAsia="Calibri" w:cs="Arial"/>
          <w:szCs w:val="20"/>
        </w:rPr>
        <w:t>at the expense of more productive investment</w:t>
      </w:r>
      <w:r w:rsidR="327142C9" w:rsidRPr="79A6475B">
        <w:rPr>
          <w:rFonts w:eastAsia="Calibri" w:cs="Arial"/>
          <w:szCs w:val="20"/>
        </w:rPr>
        <w:t>s.</w:t>
      </w:r>
      <w:r w:rsidR="46E2A8D3" w:rsidRPr="79A6475B">
        <w:rPr>
          <w:rFonts w:eastAsia="Calibri" w:cs="Arial"/>
          <w:szCs w:val="20"/>
        </w:rPr>
        <w:t xml:space="preserve"> </w:t>
      </w:r>
      <w:r w:rsidR="32FB17D6" w:rsidRPr="79A6475B">
        <w:rPr>
          <w:rFonts w:eastAsia="Calibri" w:cs="Arial"/>
          <w:szCs w:val="20"/>
        </w:rPr>
        <w:t xml:space="preserve">Capital gains from investment in housing, shares and other assets are taxed at half </w:t>
      </w:r>
      <w:proofErr w:type="gramStart"/>
      <w:r w:rsidR="6130A892" w:rsidRPr="79A6475B">
        <w:rPr>
          <w:rFonts w:eastAsia="Calibri" w:cs="Arial"/>
          <w:szCs w:val="20"/>
        </w:rPr>
        <w:t>each</w:t>
      </w:r>
      <w:r w:rsidR="32FB17D6" w:rsidRPr="79A6475B">
        <w:rPr>
          <w:rFonts w:eastAsia="Calibri" w:cs="Arial"/>
          <w:szCs w:val="20"/>
        </w:rPr>
        <w:t xml:space="preserve"> individual's</w:t>
      </w:r>
      <w:proofErr w:type="gramEnd"/>
      <w:r w:rsidR="32FB17D6" w:rsidRPr="79A6475B">
        <w:rPr>
          <w:rFonts w:eastAsia="Calibri" w:cs="Arial"/>
          <w:szCs w:val="20"/>
        </w:rPr>
        <w:t xml:space="preserve"> marginal tax rate</w:t>
      </w:r>
      <w:r w:rsidR="46F0E1ED" w:rsidRPr="79A6475B">
        <w:rPr>
          <w:rFonts w:eastAsia="Calibri" w:cs="Arial"/>
          <w:szCs w:val="20"/>
        </w:rPr>
        <w:t>, and these increases in persona</w:t>
      </w:r>
      <w:r w:rsidR="587607F1" w:rsidRPr="79A6475B">
        <w:rPr>
          <w:rFonts w:eastAsia="Calibri" w:cs="Arial"/>
          <w:szCs w:val="20"/>
        </w:rPr>
        <w:t>l</w:t>
      </w:r>
      <w:r w:rsidR="46F0E1ED" w:rsidRPr="79A6475B">
        <w:rPr>
          <w:rFonts w:eastAsia="Calibri" w:cs="Arial"/>
          <w:szCs w:val="20"/>
        </w:rPr>
        <w:t xml:space="preserve"> wealth are only taxed when the</w:t>
      </w:r>
      <w:r w:rsidR="7C2E4518" w:rsidRPr="79A6475B">
        <w:rPr>
          <w:rFonts w:eastAsia="Calibri" w:cs="Arial"/>
          <w:szCs w:val="20"/>
        </w:rPr>
        <w:t xml:space="preserve"> assets are sold. T</w:t>
      </w:r>
      <w:r w:rsidR="29D71B77" w:rsidRPr="79A6475B">
        <w:rPr>
          <w:rFonts w:eastAsia="Calibri" w:cs="Arial"/>
          <w:szCs w:val="20"/>
        </w:rPr>
        <w:t xml:space="preserve">his tax bias </w:t>
      </w:r>
      <w:r w:rsidR="60C1DFE8" w:rsidRPr="79A6475B">
        <w:rPr>
          <w:rFonts w:eastAsia="Calibri" w:cs="Arial"/>
          <w:szCs w:val="20"/>
        </w:rPr>
        <w:t xml:space="preserve">encourages </w:t>
      </w:r>
      <w:r w:rsidR="7C2E4518" w:rsidRPr="79A6475B">
        <w:rPr>
          <w:rFonts w:eastAsia="Calibri" w:cs="Arial"/>
          <w:szCs w:val="20"/>
        </w:rPr>
        <w:t>speculative investments in assets</w:t>
      </w:r>
      <w:r w:rsidR="0BEB207C" w:rsidRPr="79A6475B">
        <w:rPr>
          <w:rFonts w:eastAsia="Calibri" w:cs="Arial"/>
          <w:szCs w:val="20"/>
        </w:rPr>
        <w:t>,</w:t>
      </w:r>
      <w:r w:rsidR="7C2E4518" w:rsidRPr="79A6475B">
        <w:rPr>
          <w:rFonts w:eastAsia="Calibri" w:cs="Arial"/>
          <w:szCs w:val="20"/>
        </w:rPr>
        <w:t xml:space="preserve"> </w:t>
      </w:r>
      <w:r w:rsidR="0E9D29A8" w:rsidRPr="79A6475B">
        <w:rPr>
          <w:rFonts w:eastAsia="Calibri" w:cs="Arial"/>
          <w:szCs w:val="20"/>
        </w:rPr>
        <w:t>inflat</w:t>
      </w:r>
      <w:r w:rsidR="3EC241DF" w:rsidRPr="79A6475B">
        <w:rPr>
          <w:rFonts w:eastAsia="Calibri" w:cs="Arial"/>
          <w:szCs w:val="20"/>
        </w:rPr>
        <w:t>ing their value</w:t>
      </w:r>
      <w:r w:rsidR="0E9D29A8" w:rsidRPr="79A6475B">
        <w:rPr>
          <w:rFonts w:eastAsia="Calibri" w:cs="Arial"/>
          <w:szCs w:val="20"/>
        </w:rPr>
        <w:t xml:space="preserve"> </w:t>
      </w:r>
      <w:r w:rsidR="55E8E1D2" w:rsidRPr="79A6475B">
        <w:rPr>
          <w:rFonts w:eastAsia="Calibri" w:cs="Arial"/>
          <w:szCs w:val="20"/>
        </w:rPr>
        <w:t xml:space="preserve">and </w:t>
      </w:r>
      <w:r w:rsidR="7C2E4518" w:rsidRPr="79A6475B">
        <w:rPr>
          <w:rFonts w:eastAsia="Calibri" w:cs="Arial"/>
          <w:szCs w:val="20"/>
        </w:rPr>
        <w:t>detract</w:t>
      </w:r>
      <w:r w:rsidR="117ED9BE" w:rsidRPr="79A6475B">
        <w:rPr>
          <w:rFonts w:eastAsia="Calibri" w:cs="Arial"/>
          <w:szCs w:val="20"/>
        </w:rPr>
        <w:t>ing</w:t>
      </w:r>
      <w:r w:rsidR="7C2E4518" w:rsidRPr="79A6475B">
        <w:rPr>
          <w:rFonts w:eastAsia="Calibri" w:cs="Arial"/>
          <w:szCs w:val="20"/>
        </w:rPr>
        <w:t xml:space="preserve"> from </w:t>
      </w:r>
      <w:r w:rsidR="5BFF3355" w:rsidRPr="79A6475B">
        <w:rPr>
          <w:rFonts w:eastAsia="Calibri" w:cs="Arial"/>
          <w:szCs w:val="20"/>
        </w:rPr>
        <w:t xml:space="preserve">long-term </w:t>
      </w:r>
      <w:r w:rsidR="7C2E4518" w:rsidRPr="79A6475B">
        <w:rPr>
          <w:rFonts w:eastAsia="Calibri" w:cs="Arial"/>
          <w:szCs w:val="20"/>
        </w:rPr>
        <w:t>economic development. It exacerbates boom and bust cycles in the economy, especially when</w:t>
      </w:r>
      <w:r w:rsidR="05189DB9" w:rsidRPr="79A6475B">
        <w:rPr>
          <w:rFonts w:eastAsia="Calibri" w:cs="Arial"/>
          <w:szCs w:val="20"/>
        </w:rPr>
        <w:t>,</w:t>
      </w:r>
      <w:r w:rsidR="7C2E4518" w:rsidRPr="79A6475B">
        <w:rPr>
          <w:rFonts w:eastAsia="Calibri" w:cs="Arial"/>
          <w:szCs w:val="20"/>
        </w:rPr>
        <w:t xml:space="preserve"> as now</w:t>
      </w:r>
      <w:r w:rsidR="0C49C55E" w:rsidRPr="79A6475B">
        <w:rPr>
          <w:rFonts w:eastAsia="Calibri" w:cs="Arial"/>
          <w:szCs w:val="20"/>
        </w:rPr>
        <w:t>,</w:t>
      </w:r>
      <w:r w:rsidR="7C2E4518" w:rsidRPr="79A6475B">
        <w:rPr>
          <w:rFonts w:eastAsia="Calibri" w:cs="Arial"/>
          <w:szCs w:val="20"/>
        </w:rPr>
        <w:t xml:space="preserve"> interest rates are </w:t>
      </w:r>
      <w:r w:rsidR="6B323645" w:rsidRPr="79A6475B">
        <w:rPr>
          <w:rFonts w:eastAsia="Calibri" w:cs="Arial"/>
          <w:szCs w:val="20"/>
        </w:rPr>
        <w:t xml:space="preserve">at very </w:t>
      </w:r>
      <w:r w:rsidR="7C2E4518" w:rsidRPr="79A6475B">
        <w:rPr>
          <w:rFonts w:eastAsia="Calibri" w:cs="Arial"/>
          <w:szCs w:val="20"/>
        </w:rPr>
        <w:t>low levels.</w:t>
      </w:r>
    </w:p>
    <w:p w14:paraId="663D42B7" w14:textId="1BCAC982" w:rsidR="00FD1810" w:rsidRDefault="7C2E4518" w:rsidP="79A6475B">
      <w:pPr>
        <w:rPr>
          <w:rFonts w:eastAsia="Calibri" w:cs="Arial"/>
          <w:szCs w:val="20"/>
        </w:rPr>
      </w:pPr>
      <w:r w:rsidRPr="194D1029">
        <w:rPr>
          <w:rFonts w:eastAsia="Calibri" w:cs="Arial"/>
        </w:rPr>
        <w:t xml:space="preserve">The 50% </w:t>
      </w:r>
      <w:r w:rsidR="2D2D9561" w:rsidRPr="194D1029">
        <w:rPr>
          <w:rFonts w:eastAsia="Calibri" w:cs="Arial"/>
        </w:rPr>
        <w:t>Capital Gains Tax (</w:t>
      </w:r>
      <w:r w:rsidRPr="194D1029">
        <w:rPr>
          <w:rFonts w:eastAsia="Calibri" w:cs="Arial"/>
        </w:rPr>
        <w:t>CGT</w:t>
      </w:r>
      <w:r w:rsidR="43BEA1BA" w:rsidRPr="194D1029">
        <w:rPr>
          <w:rFonts w:eastAsia="Calibri" w:cs="Arial"/>
        </w:rPr>
        <w:t>)</w:t>
      </w:r>
      <w:r w:rsidRPr="194D1029">
        <w:rPr>
          <w:rFonts w:eastAsia="Calibri" w:cs="Arial"/>
        </w:rPr>
        <w:t xml:space="preserve"> discount overwhelmingly benefits the top 10% of taxpayers, who receive two-thirds of all capital gains.</w:t>
      </w:r>
      <w:r w:rsidR="00FD1810" w:rsidRPr="194D1029">
        <w:rPr>
          <w:rStyle w:val="FootnoteReference"/>
          <w:rFonts w:eastAsia="Calibri" w:cs="Arial"/>
        </w:rPr>
        <w:footnoteReference w:id="44"/>
      </w:r>
      <w:r w:rsidRPr="194D1029">
        <w:rPr>
          <w:rFonts w:eastAsia="Calibri" w:cs="Arial"/>
        </w:rPr>
        <w:t xml:space="preserve"> We propose that this concession be halved, so that three-quarters of capital gains are taxed. Rather than grandfathering this change (which would </w:t>
      </w:r>
      <w:r w:rsidR="0425A2ED" w:rsidRPr="194D1029">
        <w:rPr>
          <w:rFonts w:eastAsia="Calibri" w:cs="Arial"/>
        </w:rPr>
        <w:t>l</w:t>
      </w:r>
      <w:r w:rsidRPr="194D1029">
        <w:rPr>
          <w:rFonts w:eastAsia="Calibri" w:cs="Arial"/>
        </w:rPr>
        <w:t xml:space="preserve">ock in </w:t>
      </w:r>
      <w:r w:rsidR="3F5CBBA0" w:rsidRPr="194D1029">
        <w:rPr>
          <w:rFonts w:eastAsia="Calibri" w:cs="Arial"/>
        </w:rPr>
        <w:t xml:space="preserve">existing </w:t>
      </w:r>
      <w:r w:rsidRPr="194D1029">
        <w:rPr>
          <w:rFonts w:eastAsia="Calibri" w:cs="Arial"/>
        </w:rPr>
        <w:t xml:space="preserve">investments), we propose that </w:t>
      </w:r>
      <w:r w:rsidR="70104C55" w:rsidRPr="194D1029">
        <w:rPr>
          <w:rFonts w:eastAsia="Calibri" w:cs="Arial"/>
        </w:rPr>
        <w:t xml:space="preserve">from July 2022 </w:t>
      </w:r>
      <w:r w:rsidR="22849303" w:rsidRPr="194D1029">
        <w:rPr>
          <w:rFonts w:eastAsia="Calibri" w:cs="Arial"/>
        </w:rPr>
        <w:t>the tax rate on capital gains be progressively lifted from 50%</w:t>
      </w:r>
      <w:r w:rsidRPr="194D1029">
        <w:rPr>
          <w:rFonts w:eastAsia="Calibri" w:cs="Arial"/>
        </w:rPr>
        <w:t xml:space="preserve"> of the marginal tax rate to 75% over a three-year period. Existing investors should have the funds to pay the higher rate of CGT as it only levied once an asset is sold.</w:t>
      </w:r>
    </w:p>
    <w:p w14:paraId="2CDAC3A3" w14:textId="41C757F9" w:rsidR="00FD1810" w:rsidRDefault="7C2E4518" w:rsidP="79A6475B">
      <w:pPr>
        <w:rPr>
          <w:rFonts w:eastAsia="Calibri" w:cs="Arial"/>
          <w:szCs w:val="20"/>
        </w:rPr>
      </w:pPr>
      <w:r w:rsidRPr="79A6475B">
        <w:rPr>
          <w:rFonts w:eastAsia="Calibri" w:cs="Arial"/>
          <w:szCs w:val="20"/>
        </w:rPr>
        <w:t>In addition, avoidance of CGT would be curbed by our recommendation to tighten the tax treatment of superannuation fund earnings post-retirement (see Chapter 9: Decent retirement incomes and services).</w:t>
      </w:r>
    </w:p>
    <w:p w14:paraId="5EB0F73C" w14:textId="1CC8356D" w:rsidR="00FD1810" w:rsidRDefault="7C2E4518" w:rsidP="79A6475B">
      <w:pPr>
        <w:rPr>
          <w:rFonts w:eastAsia="Calibri" w:cs="Arial"/>
          <w:szCs w:val="20"/>
        </w:rPr>
      </w:pPr>
      <w:r w:rsidRPr="79A6475B">
        <w:rPr>
          <w:rFonts w:eastAsia="Calibri" w:cs="Arial"/>
          <w:szCs w:val="20"/>
        </w:rPr>
        <w:t xml:space="preserve">Ideally, the delay in taxing capital gains would be eliminated by taxing them annually as they accrue. This is impractical as it would require annual valuations, and many long-term investors would not have the cashflow to pay annually. Instead, the government should ensure that the tax treatment of investment expenses (including interest payments on borrowings to purchase an asset) is consistent with the (delayed) tax treatment of capital gains. </w:t>
      </w:r>
    </w:p>
    <w:p w14:paraId="1BA016B4" w14:textId="42DC76A9" w:rsidR="00FD1810" w:rsidRDefault="155A04F2" w:rsidP="79A6475B">
      <w:pPr>
        <w:rPr>
          <w:rFonts w:eastAsia="Calibri" w:cs="Arial"/>
          <w:szCs w:val="20"/>
        </w:rPr>
      </w:pPr>
      <w:r w:rsidRPr="194D1029">
        <w:rPr>
          <w:rFonts w:eastAsia="Calibri" w:cs="Arial"/>
        </w:rPr>
        <w:t xml:space="preserve">From </w:t>
      </w:r>
      <w:r w:rsidR="518D3BF4" w:rsidRPr="194D1029">
        <w:rPr>
          <w:rFonts w:eastAsia="Calibri" w:cs="Arial"/>
        </w:rPr>
        <w:t>January 2023</w:t>
      </w:r>
      <w:r w:rsidRPr="194D1029">
        <w:rPr>
          <w:rFonts w:eastAsia="Calibri" w:cs="Arial"/>
        </w:rPr>
        <w:t>, i</w:t>
      </w:r>
      <w:r w:rsidR="7C2E4518" w:rsidRPr="194D1029">
        <w:rPr>
          <w:rFonts w:eastAsia="Calibri" w:cs="Arial"/>
        </w:rPr>
        <w:t>nvestors should no</w:t>
      </w:r>
      <w:r w:rsidR="291E6A1B" w:rsidRPr="194D1029">
        <w:rPr>
          <w:rFonts w:eastAsia="Calibri" w:cs="Arial"/>
        </w:rPr>
        <w:t xml:space="preserve"> longer</w:t>
      </w:r>
      <w:r w:rsidR="7C2E4518" w:rsidRPr="194D1029">
        <w:rPr>
          <w:rFonts w:eastAsia="Calibri" w:cs="Arial"/>
        </w:rPr>
        <w:t xml:space="preserve"> be able to claim deductions on those expenses until the investment yields a positive return (often through sale of the asset years later).</w:t>
      </w:r>
      <w:r w:rsidR="00FD1810" w:rsidRPr="194D1029">
        <w:rPr>
          <w:rStyle w:val="FootnoteReference"/>
          <w:rFonts w:eastAsia="Calibri" w:cs="Arial"/>
        </w:rPr>
        <w:footnoteReference w:id="45"/>
      </w:r>
      <w:r w:rsidR="7C2E4518" w:rsidRPr="194D1029">
        <w:rPr>
          <w:rFonts w:eastAsia="Calibri" w:cs="Arial"/>
        </w:rPr>
        <w:t xml:space="preserve"> </w:t>
      </w:r>
      <w:r w:rsidR="474726D3" w:rsidRPr="194D1029">
        <w:rPr>
          <w:rFonts w:eastAsia="Calibri" w:cs="Arial"/>
        </w:rPr>
        <w:t xml:space="preserve">That is, 'negative gearing’ of expenses relating to assets such as housing and shares </w:t>
      </w:r>
      <w:r w:rsidR="73B97CBE" w:rsidRPr="194D1029">
        <w:rPr>
          <w:rFonts w:eastAsia="Calibri" w:cs="Arial"/>
        </w:rPr>
        <w:t xml:space="preserve">(where individuals offset income tax on their wages and other income with deductions for fictional 'investment losses') </w:t>
      </w:r>
      <w:r w:rsidR="474726D3" w:rsidRPr="194D1029">
        <w:rPr>
          <w:rFonts w:eastAsia="Calibri" w:cs="Arial"/>
        </w:rPr>
        <w:t xml:space="preserve">should not be permitted. Investors </w:t>
      </w:r>
      <w:r w:rsidR="7C2E4518" w:rsidRPr="194D1029">
        <w:rPr>
          <w:rFonts w:eastAsia="Calibri" w:cs="Arial"/>
        </w:rPr>
        <w:t>could still claim deductions, but th</w:t>
      </w:r>
      <w:r w:rsidR="10676D35" w:rsidRPr="194D1029">
        <w:rPr>
          <w:rFonts w:eastAsia="Calibri" w:cs="Arial"/>
        </w:rPr>
        <w:t>ey</w:t>
      </w:r>
      <w:r w:rsidR="7C2E4518" w:rsidRPr="194D1029">
        <w:rPr>
          <w:rFonts w:eastAsia="Calibri" w:cs="Arial"/>
        </w:rPr>
        <w:t xml:space="preserve"> would be better matched with investment income. Assets acquired before that date would be grandfathered so that deductions can still be claimed under the present rules.</w:t>
      </w:r>
      <w:r w:rsidR="00FD1810" w:rsidRPr="194D1029">
        <w:rPr>
          <w:rStyle w:val="FootnoteReference"/>
          <w:rFonts w:eastAsia="Calibri" w:cs="Arial"/>
        </w:rPr>
        <w:footnoteReference w:id="46"/>
      </w:r>
      <w:r w:rsidR="7C2E4518" w:rsidRPr="194D1029">
        <w:rPr>
          <w:rFonts w:eastAsia="Calibri" w:cs="Arial"/>
        </w:rPr>
        <w:t xml:space="preserve"> </w:t>
      </w:r>
      <w:r w:rsidR="7E83C401" w:rsidRPr="194D1029">
        <w:rPr>
          <w:rFonts w:eastAsia="Calibri" w:cs="Arial"/>
        </w:rPr>
        <w:t>This restriction would not apply to investment in an 'active business'.</w:t>
      </w:r>
    </w:p>
    <w:p w14:paraId="78CB115D" w14:textId="47EAF999" w:rsidR="00FD1810" w:rsidRDefault="294F0AC8" w:rsidP="79A6475B">
      <w:r w:rsidRPr="294F0AC8">
        <w:rPr>
          <w:rFonts w:eastAsia="Calibri" w:cs="Arial"/>
        </w:rPr>
        <w:lastRenderedPageBreak/>
        <w:t>The revenue saved from this measure would be devoted to the affordable rental housing investment incentive proposed in Chapter 5: Make access to housing affordable for people with low incomes.</w:t>
      </w:r>
      <w:r w:rsidR="7C2E4518">
        <w:br/>
      </w:r>
      <w:r w:rsidRPr="294F0AC8">
        <w:rPr>
          <w:rFonts w:eastAsia="Calibri" w:cs="Arial"/>
        </w:rPr>
        <w:t xml:space="preserve"> </w:t>
      </w:r>
      <w:r w:rsidR="7C2E4518">
        <w:br/>
      </w:r>
      <w:r w:rsidRPr="294F0AC8">
        <w:rPr>
          <w:rFonts w:eastAsiaTheme="minorEastAsia"/>
          <w:b/>
          <w:bCs/>
          <w:color w:val="C00000"/>
        </w:rPr>
        <w:t>Recommendation 45:</w:t>
      </w:r>
      <w:r>
        <w:t xml:space="preserve"> </w:t>
      </w:r>
      <w:r w:rsidRPr="294F0AC8">
        <w:rPr>
          <w:rFonts w:eastAsiaTheme="minorEastAsia"/>
          <w:b/>
          <w:bCs/>
        </w:rPr>
        <w:t xml:space="preserve">Reduce the general Capital Gains Tax discount for individuals and trusts: </w:t>
      </w:r>
    </w:p>
    <w:p w14:paraId="2AC06E43" w14:textId="0F6B152F" w:rsidR="00FD1810" w:rsidRDefault="294F0AC8" w:rsidP="00DD3DC0">
      <w:pPr>
        <w:pStyle w:val="Recommendation"/>
        <w:numPr>
          <w:ilvl w:val="0"/>
          <w:numId w:val="25"/>
        </w:numPr>
        <w:rPr>
          <w:rFonts w:asciiTheme="minorHAnsi" w:eastAsiaTheme="minorEastAsia" w:hAnsiTheme="minorHAnsi"/>
          <w:bCs/>
          <w:color w:val="000000" w:themeColor="text1"/>
          <w:szCs w:val="20"/>
        </w:rPr>
      </w:pPr>
      <w:r w:rsidRPr="294F0AC8">
        <w:rPr>
          <w:color w:val="000000" w:themeColor="text1"/>
        </w:rPr>
        <w:t>The exemption of 50% of personal capital gains from Capital Gains Tax should be reduced from 50% to 25%, phased in over five years (reduced by 5% per year) commencing 1 July 2022.</w:t>
      </w:r>
    </w:p>
    <w:p w14:paraId="675E05EE" w14:textId="77777777" w:rsidR="00FD1810" w:rsidRDefault="00FD1810" w:rsidP="00FD1810">
      <w:pPr>
        <w:pStyle w:val="Recommendation"/>
        <w:rPr>
          <w:color w:val="000000" w:themeColor="text1"/>
        </w:rPr>
      </w:pPr>
    </w:p>
    <w:p w14:paraId="57E3A2A6" w14:textId="637C61D4" w:rsidR="5D270134" w:rsidRDefault="221BCE3A" w:rsidP="5A3FAC9D">
      <w:pPr>
        <w:pStyle w:val="Recommendation"/>
      </w:pPr>
      <w:r w:rsidRPr="221BCE3A">
        <w:rPr>
          <w:rFonts w:eastAsiaTheme="minorEastAsia"/>
          <w:color w:val="000000" w:themeColor="text1"/>
        </w:rPr>
        <w:t xml:space="preserve">Budget impact: </w:t>
      </w:r>
      <w:r w:rsidRPr="280C9BAE">
        <w:rPr>
          <w:rFonts w:eastAsiaTheme="minorEastAsia"/>
          <w:color w:val="000000" w:themeColor="text1"/>
        </w:rPr>
        <w:t>$800 million ($1,400 million in 2023-24)</w:t>
      </w:r>
    </w:p>
    <w:p w14:paraId="2FC17F8B" w14:textId="77777777" w:rsidR="00FD1810" w:rsidRDefault="00FD1810" w:rsidP="00FD1810">
      <w:pPr>
        <w:pStyle w:val="Recommendation"/>
        <w:rPr>
          <w:b w:val="0"/>
        </w:rPr>
      </w:pPr>
    </w:p>
    <w:p w14:paraId="288DED80" w14:textId="7E33F081" w:rsidR="3CEF6CD5" w:rsidRDefault="294F0AC8" w:rsidP="1EA2AED4">
      <w:pPr>
        <w:pStyle w:val="Recommendation"/>
        <w:rPr>
          <w:color w:val="000000" w:themeColor="text1"/>
        </w:rPr>
      </w:pPr>
      <w:r w:rsidRPr="294F0AC8">
        <w:rPr>
          <w:color w:val="C00000"/>
        </w:rPr>
        <w:t>Recommendation 46:</w:t>
      </w:r>
      <w:r>
        <w:t xml:space="preserve"> </w:t>
      </w:r>
      <w:r w:rsidRPr="294F0AC8">
        <w:rPr>
          <w:color w:val="000000" w:themeColor="text1"/>
        </w:rPr>
        <w:t>Restrict deductions for personal investment expenses (negative gearing):</w:t>
      </w:r>
      <w:r w:rsidR="221BCE3A">
        <w:br/>
      </w:r>
      <w:r>
        <w:t xml:space="preserve"> </w:t>
      </w:r>
    </w:p>
    <w:p w14:paraId="1CC22FBF" w14:textId="0DD9A71E" w:rsidR="165F7B2C" w:rsidRDefault="294F0AC8" w:rsidP="00DD3DC0">
      <w:pPr>
        <w:pStyle w:val="Recommendation"/>
        <w:numPr>
          <w:ilvl w:val="0"/>
          <w:numId w:val="24"/>
        </w:numPr>
        <w:rPr>
          <w:rFonts w:asciiTheme="minorHAnsi" w:eastAsiaTheme="minorEastAsia" w:hAnsiTheme="minorHAnsi"/>
          <w:bCs/>
          <w:color w:val="000000" w:themeColor="text1"/>
          <w:szCs w:val="20"/>
        </w:rPr>
      </w:pPr>
      <w:r w:rsidRPr="294F0AC8">
        <w:rPr>
          <w:color w:val="000000" w:themeColor="text1"/>
        </w:rPr>
        <w:t xml:space="preserve">Income tax deductions for expenses (such as interest payments on debt) relating to passive investments in assets yielding capital gains (such as housing, shares and collectables) should be limited to income received from those asset classes, including capital gains </w:t>
      </w:r>
      <w:proofErr w:type="spellStart"/>
      <w:r w:rsidRPr="294F0AC8">
        <w:rPr>
          <w:color w:val="000000" w:themeColor="text1"/>
        </w:rPr>
        <w:t>realised</w:t>
      </w:r>
      <w:proofErr w:type="spellEnd"/>
      <w:r w:rsidRPr="294F0AC8">
        <w:rPr>
          <w:color w:val="000000" w:themeColor="text1"/>
        </w:rPr>
        <w:t xml:space="preserve"> on subsequent sale. This should apply to all new investments of this type </w:t>
      </w:r>
      <w:proofErr w:type="gramStart"/>
      <w:r w:rsidRPr="294F0AC8">
        <w:rPr>
          <w:color w:val="000000" w:themeColor="text1"/>
        </w:rPr>
        <w:t>entered into</w:t>
      </w:r>
      <w:proofErr w:type="gramEnd"/>
      <w:r w:rsidRPr="294F0AC8">
        <w:rPr>
          <w:color w:val="000000" w:themeColor="text1"/>
        </w:rPr>
        <w:t xml:space="preserve"> after 1 January 2023.</w:t>
      </w:r>
      <w:r w:rsidR="165F7B2C">
        <w:br/>
      </w:r>
    </w:p>
    <w:p w14:paraId="1BE0EF9D" w14:textId="3D051CA6" w:rsidR="3CEF6CD5" w:rsidRDefault="294F0AC8" w:rsidP="00DD3DC0">
      <w:pPr>
        <w:pStyle w:val="Recommendation"/>
        <w:numPr>
          <w:ilvl w:val="0"/>
          <w:numId w:val="24"/>
        </w:numPr>
        <w:rPr>
          <w:rFonts w:asciiTheme="minorHAnsi" w:eastAsiaTheme="minorEastAsia" w:hAnsiTheme="minorHAnsi"/>
          <w:bCs/>
          <w:color w:val="000000" w:themeColor="text1"/>
          <w:szCs w:val="20"/>
        </w:rPr>
      </w:pPr>
      <w:r w:rsidRPr="294F0AC8">
        <w:rPr>
          <w:color w:val="000000" w:themeColor="text1"/>
        </w:rPr>
        <w:t>The revenue saved from this measure should be used to introduce an affordable rental housing investment incentive which rebates a proportion of the construction costs of new ‘affordable rental’ dwellings annually over a ten-year period, during which rents are held at least 20% below median market levels (see Recommendation 24 in Chapter 5, Housing).</w:t>
      </w:r>
    </w:p>
    <w:p w14:paraId="425A5E95" w14:textId="2C7D19D8" w:rsidR="3CEF6CD5" w:rsidRDefault="3CEF6CD5" w:rsidP="7B33A330">
      <w:pPr>
        <w:pStyle w:val="Recommendation"/>
        <w:rPr>
          <w:rFonts w:eastAsiaTheme="minorEastAsia"/>
          <w:bCs/>
          <w:szCs w:val="20"/>
        </w:rPr>
      </w:pPr>
    </w:p>
    <w:p w14:paraId="70585253" w14:textId="63B0FE1F" w:rsidR="3CEF6CD5" w:rsidRDefault="294F0AC8" w:rsidP="7B33A330">
      <w:pPr>
        <w:pStyle w:val="Recommendation"/>
      </w:pPr>
      <w:r w:rsidRPr="294F0AC8">
        <w:rPr>
          <w:rFonts w:eastAsiaTheme="minorEastAsia"/>
          <w:color w:val="C00000"/>
        </w:rPr>
        <w:t>Budget impact:</w:t>
      </w:r>
      <w:r w:rsidRPr="294F0AC8">
        <w:rPr>
          <w:b w:val="0"/>
          <w:color w:val="C00000"/>
        </w:rPr>
        <w:t xml:space="preserve"> </w:t>
      </w:r>
      <w:r w:rsidRPr="294F0AC8">
        <w:rPr>
          <w:rFonts w:eastAsiaTheme="minorEastAsia"/>
          <w:color w:val="000000" w:themeColor="text1"/>
        </w:rPr>
        <w:t>$0 ($600 million in 2023-24)</w:t>
      </w:r>
    </w:p>
    <w:p w14:paraId="2C46DFF2" w14:textId="5EE17611" w:rsidR="1EA2AED4" w:rsidRDefault="1EA2AED4" w:rsidP="1EA2AED4">
      <w:pPr>
        <w:pStyle w:val="ListNumber"/>
        <w:numPr>
          <w:ilvl w:val="0"/>
          <w:numId w:val="0"/>
        </w:numPr>
        <w:rPr>
          <w:rFonts w:eastAsiaTheme="minorEastAsia"/>
          <w:b/>
          <w:bCs/>
          <w:szCs w:val="20"/>
        </w:rPr>
      </w:pPr>
    </w:p>
    <w:p w14:paraId="0E8EE47A" w14:textId="77C35F2A" w:rsidR="00775FC7" w:rsidRDefault="294F0AC8" w:rsidP="001D1B51">
      <w:pPr>
        <w:pStyle w:val="Heading2"/>
      </w:pPr>
      <w:bookmarkStart w:id="831" w:name="_Toc1827074115"/>
      <w:bookmarkStart w:id="832" w:name="_Toc1255232343"/>
      <w:bookmarkStart w:id="833" w:name="_Toc2040077176"/>
      <w:bookmarkStart w:id="834" w:name="_Toc1553852218"/>
      <w:bookmarkStart w:id="835" w:name="_Toc1597456982"/>
      <w:bookmarkStart w:id="836" w:name="_Toc1417304151"/>
      <w:bookmarkStart w:id="837" w:name="_Toc1596168950"/>
      <w:bookmarkStart w:id="838" w:name="_Toc465238824"/>
      <w:bookmarkStart w:id="839" w:name="_Toc90983398"/>
      <w:bookmarkStart w:id="840" w:name="_Toc90984661"/>
      <w:r w:rsidRPr="43C971D2">
        <w:t>Curb personal tax avoidance using private trusts and companies</w:t>
      </w:r>
      <w:bookmarkEnd w:id="831"/>
      <w:bookmarkEnd w:id="832"/>
      <w:bookmarkEnd w:id="833"/>
      <w:bookmarkEnd w:id="834"/>
      <w:bookmarkEnd w:id="835"/>
      <w:bookmarkEnd w:id="836"/>
      <w:bookmarkEnd w:id="837"/>
      <w:bookmarkEnd w:id="838"/>
      <w:bookmarkEnd w:id="839"/>
      <w:bookmarkEnd w:id="840"/>
    </w:p>
    <w:p w14:paraId="0109B51D" w14:textId="77777777" w:rsidR="00EC00E7" w:rsidRDefault="00EC00E7" w:rsidP="79A6475B">
      <w:pPr>
        <w:rPr>
          <w:rFonts w:eastAsia="Calibri" w:cs="Arial"/>
          <w:szCs w:val="20"/>
        </w:rPr>
      </w:pPr>
    </w:p>
    <w:p w14:paraId="4B3895B5" w14:textId="1C764A36" w:rsidR="4BB191A8" w:rsidRDefault="4BB191A8" w:rsidP="79A6475B">
      <w:pPr>
        <w:rPr>
          <w:rFonts w:eastAsia="Calibri" w:cs="Arial"/>
          <w:szCs w:val="20"/>
        </w:rPr>
      </w:pPr>
      <w:r w:rsidRPr="79A6475B">
        <w:rPr>
          <w:rFonts w:eastAsia="Calibri" w:cs="Arial"/>
          <w:szCs w:val="20"/>
        </w:rPr>
        <w:t>Private (closely</w:t>
      </w:r>
      <w:r w:rsidR="280C9BAE" w:rsidRPr="280C9BAE">
        <w:rPr>
          <w:rFonts w:eastAsia="Calibri" w:cs="Arial"/>
          <w:szCs w:val="20"/>
        </w:rPr>
        <w:t xml:space="preserve"> </w:t>
      </w:r>
      <w:r w:rsidRPr="79A6475B">
        <w:rPr>
          <w:rFonts w:eastAsia="Calibri" w:cs="Arial"/>
          <w:szCs w:val="20"/>
        </w:rPr>
        <w:t xml:space="preserve">held) trusts, especially discretionary trusts, are used to avoid income tax by splitting income with a family member, </w:t>
      </w:r>
      <w:proofErr w:type="gramStart"/>
      <w:r w:rsidRPr="79A6475B">
        <w:rPr>
          <w:rFonts w:eastAsia="Calibri" w:cs="Arial"/>
          <w:szCs w:val="20"/>
        </w:rPr>
        <w:t>delaying</w:t>
      </w:r>
      <w:proofErr w:type="gramEnd"/>
      <w:r w:rsidRPr="79A6475B">
        <w:rPr>
          <w:rFonts w:eastAsia="Calibri" w:cs="Arial"/>
          <w:szCs w:val="20"/>
        </w:rPr>
        <w:t xml:space="preserve"> or avoiding payment of CGT, and by passing on the benefits of investment tax breaks from the trust to its beneficiaries (unlike the tax treatment of companies). Although the policy intention is that any income that is not taxed in the hands of beneficiaries is instead taxed in the hands of the trust, this is not consistently applied. </w:t>
      </w:r>
    </w:p>
    <w:p w14:paraId="6E1C6F38" w14:textId="5B707CDA" w:rsidR="4BB191A8" w:rsidRDefault="4BB191A8" w:rsidP="79A6475B">
      <w:pPr>
        <w:rPr>
          <w:rFonts w:eastAsia="Calibri" w:cs="Arial"/>
          <w:szCs w:val="20"/>
        </w:rPr>
      </w:pPr>
      <w:r w:rsidRPr="79A6475B">
        <w:rPr>
          <w:rFonts w:eastAsia="Calibri" w:cs="Arial"/>
          <w:szCs w:val="20"/>
        </w:rPr>
        <w:t>Private trusts and companies are also used to (illegally) evade tax and launder money by shifting funds through complex chains of entities or to ’tax havens’ such as Panama, Bermuda, or Switzerland.</w:t>
      </w:r>
    </w:p>
    <w:p w14:paraId="7F91087A" w14:textId="5B20851C" w:rsidR="4BB191A8" w:rsidRDefault="4BB191A8" w:rsidP="79A6475B">
      <w:pPr>
        <w:rPr>
          <w:rFonts w:eastAsia="Calibri" w:cs="Arial"/>
          <w:szCs w:val="20"/>
        </w:rPr>
      </w:pPr>
      <w:r w:rsidRPr="194D1029">
        <w:rPr>
          <w:rFonts w:eastAsia="Calibri" w:cs="Arial"/>
        </w:rPr>
        <w:t>One way to close off these tax avoidance opportunities is to tax private trusts as companies as recommended in 2000 by the Review of Business Taxation (Ralph Review).</w:t>
      </w:r>
      <w:r w:rsidRPr="194D1029">
        <w:rPr>
          <w:rStyle w:val="FootnoteReference"/>
          <w:rFonts w:eastAsia="Calibri" w:cs="Arial"/>
        </w:rPr>
        <w:footnoteReference w:id="47"/>
      </w:r>
      <w:r w:rsidRPr="194D1029">
        <w:rPr>
          <w:rFonts w:eastAsia="Calibri" w:cs="Arial"/>
        </w:rPr>
        <w:t xml:space="preserve"> This would also improve consistency in the tax treatment of trusts and companies, especially the treatment of tax-preferred income (tax concessions), which </w:t>
      </w:r>
      <w:r w:rsidRPr="194D1029">
        <w:rPr>
          <w:rFonts w:eastAsia="Calibri" w:cs="Arial"/>
        </w:rPr>
        <w:lastRenderedPageBreak/>
        <w:t>would no longer ‘pass through’ to the beneficiaries of private trusts. On the other hand, it would enable high-income-earners to exploit the gap between the company tax rate and higher personal tax rates by retaining income in the trust, so that weakness in the tax treatment of private companies should also be overcome as proposed below.</w:t>
      </w:r>
    </w:p>
    <w:p w14:paraId="521E3290" w14:textId="155A062E" w:rsidR="4BB191A8" w:rsidRDefault="4BB191A8" w:rsidP="79A6475B">
      <w:pPr>
        <w:rPr>
          <w:rFonts w:eastAsia="Calibri" w:cs="Arial"/>
          <w:szCs w:val="20"/>
        </w:rPr>
      </w:pPr>
      <w:r w:rsidRPr="79A6475B">
        <w:rPr>
          <w:rFonts w:eastAsia="Calibri" w:cs="Arial"/>
          <w:szCs w:val="20"/>
        </w:rPr>
        <w:t xml:space="preserve">An alternative way to curb tax avoidance through discretionary trusts is to apply CGT to untaxed or concessionally-taxed income (for example, where taxable income is reduced by building works deductions) of private discretionary trusts when it is distributed to beneficiaries. Currently, these distributions do not attract CGT, including where capital gains are </w:t>
      </w:r>
      <w:proofErr w:type="spellStart"/>
      <w:r w:rsidRPr="79A6475B">
        <w:rPr>
          <w:rFonts w:eastAsia="Calibri" w:cs="Arial"/>
          <w:szCs w:val="20"/>
        </w:rPr>
        <w:t>realised</w:t>
      </w:r>
      <w:proofErr w:type="spellEnd"/>
      <w:r w:rsidRPr="79A6475B">
        <w:rPr>
          <w:rFonts w:eastAsia="Calibri" w:cs="Arial"/>
          <w:szCs w:val="20"/>
        </w:rPr>
        <w:t xml:space="preserve"> through asset revaluations within the trust. This would bring the tax treatment of discretionary trusts into alignment with that of fixed trusts, and curb avoidance of CGT.</w:t>
      </w:r>
    </w:p>
    <w:p w14:paraId="33658808" w14:textId="5BBB07C0" w:rsidR="4BB191A8" w:rsidRDefault="4BB191A8" w:rsidP="79A6475B">
      <w:pPr>
        <w:rPr>
          <w:rFonts w:eastAsia="Calibri" w:cs="Arial"/>
          <w:szCs w:val="20"/>
        </w:rPr>
      </w:pPr>
      <w:r w:rsidRPr="79A6475B">
        <w:rPr>
          <w:rFonts w:eastAsia="Calibri" w:cs="Arial"/>
          <w:szCs w:val="20"/>
        </w:rPr>
        <w:t xml:space="preserve">The </w:t>
      </w:r>
      <w:r w:rsidR="194C57E5" w:rsidRPr="79A6475B">
        <w:rPr>
          <w:rFonts w:eastAsia="Calibri" w:cs="Arial"/>
          <w:szCs w:val="20"/>
        </w:rPr>
        <w:t xml:space="preserve">proposed changes </w:t>
      </w:r>
      <w:r w:rsidRPr="79A6475B">
        <w:rPr>
          <w:rFonts w:eastAsia="Calibri" w:cs="Arial"/>
          <w:szCs w:val="20"/>
        </w:rPr>
        <w:t xml:space="preserve">would apply to private express trusts (both fixed and discretionary trusts), with exemptions </w:t>
      </w:r>
      <w:r w:rsidR="00B81894" w:rsidRPr="79A6475B">
        <w:rPr>
          <w:rFonts w:eastAsia="Calibri" w:cs="Arial"/>
          <w:szCs w:val="20"/>
        </w:rPr>
        <w:t>like</w:t>
      </w:r>
      <w:r w:rsidRPr="79A6475B">
        <w:rPr>
          <w:rFonts w:eastAsia="Calibri" w:cs="Arial"/>
          <w:szCs w:val="20"/>
        </w:rPr>
        <w:t xml:space="preserve"> those recommended in the Ralph Review including complying superannuation funds and disability trusts. </w:t>
      </w:r>
    </w:p>
    <w:p w14:paraId="6C5AA686" w14:textId="65C4E9E3" w:rsidR="4BB191A8" w:rsidRDefault="4BB191A8" w:rsidP="79A6475B">
      <w:pPr>
        <w:rPr>
          <w:rFonts w:eastAsia="Calibri" w:cs="Arial"/>
          <w:szCs w:val="20"/>
        </w:rPr>
      </w:pPr>
      <w:r w:rsidRPr="79A6475B">
        <w:rPr>
          <w:rFonts w:eastAsia="Calibri" w:cs="Arial"/>
          <w:szCs w:val="20"/>
        </w:rPr>
        <w:t xml:space="preserve">A related policy challenge is the widespread use of private companies and trusts to (unlawfully) evade tax and launder money through secrecy jurisdictions or ‘tax havens’, as revealed by revelations from ‘Operation </w:t>
      </w:r>
      <w:proofErr w:type="spellStart"/>
      <w:r w:rsidRPr="79A6475B">
        <w:rPr>
          <w:rFonts w:eastAsia="Calibri" w:cs="Arial"/>
          <w:szCs w:val="20"/>
        </w:rPr>
        <w:t>Wickenby</w:t>
      </w:r>
      <w:proofErr w:type="spellEnd"/>
      <w:r w:rsidRPr="79A6475B">
        <w:rPr>
          <w:rFonts w:eastAsia="Calibri" w:cs="Arial"/>
          <w:szCs w:val="20"/>
        </w:rPr>
        <w:t>’ (Switzerland), ‘Panama Papers’ (Panama) and the ‘Paradise Papers’ (Bermuda)</w:t>
      </w:r>
      <w:r w:rsidR="742DE652" w:rsidRPr="79A6475B">
        <w:rPr>
          <w:rFonts w:eastAsia="Calibri" w:cs="Arial"/>
          <w:szCs w:val="20"/>
        </w:rPr>
        <w:t>, and 'Pandora Papers'</w:t>
      </w:r>
      <w:r w:rsidR="36F5DFDC" w:rsidRPr="79A6475B">
        <w:rPr>
          <w:rFonts w:eastAsia="Calibri" w:cs="Arial"/>
          <w:szCs w:val="20"/>
        </w:rPr>
        <w:t xml:space="preserve"> (Cayman Islands and Samoa)</w:t>
      </w:r>
      <w:r w:rsidRPr="79A6475B">
        <w:rPr>
          <w:rFonts w:eastAsia="Calibri" w:cs="Arial"/>
          <w:szCs w:val="20"/>
        </w:rPr>
        <w:t xml:space="preserve">. </w:t>
      </w:r>
    </w:p>
    <w:p w14:paraId="6AA87FA5" w14:textId="0C97EE66" w:rsidR="294F0AC8" w:rsidRDefault="2FD29CD6" w:rsidP="004C3C6A">
      <w:pPr>
        <w:spacing w:after="0"/>
        <w:rPr>
          <w:rFonts w:eastAsia="Calibri" w:cs="Arial"/>
        </w:rPr>
      </w:pPr>
      <w:r w:rsidRPr="294F0AC8">
        <w:rPr>
          <w:rFonts w:eastAsiaTheme="minorEastAsia"/>
        </w:rPr>
        <w:t xml:space="preserve">In 2014, </w:t>
      </w:r>
      <w:r w:rsidR="4BB191A8" w:rsidRPr="294F0AC8">
        <w:rPr>
          <w:rFonts w:eastAsiaTheme="minorEastAsia"/>
        </w:rPr>
        <w:t>Australia was a prominent supporter of the G20 initiative to curb these practices by improving the transparency of beneficial ownership of companies and trusts.</w:t>
      </w:r>
      <w:r w:rsidR="399736E2" w:rsidRPr="294F0AC8">
        <w:rPr>
          <w:rFonts w:eastAsiaTheme="minorEastAsia"/>
        </w:rPr>
        <w:t xml:space="preserve"> </w:t>
      </w:r>
      <w:r w:rsidR="138AEC7A" w:rsidRPr="294F0AC8">
        <w:rPr>
          <w:rFonts w:eastAsiaTheme="minorEastAsia"/>
        </w:rPr>
        <w:t xml:space="preserve">Seven years later, </w:t>
      </w:r>
      <w:r w:rsidR="291F58C8" w:rsidRPr="194D1029">
        <w:rPr>
          <w:rFonts w:eastAsia="Calibri" w:cs="Arial"/>
        </w:rPr>
        <w:t>t</w:t>
      </w:r>
      <w:r w:rsidR="3C8B5FF4" w:rsidRPr="194D1029">
        <w:rPr>
          <w:rFonts w:eastAsia="Calibri" w:cs="Arial"/>
        </w:rPr>
        <w:t xml:space="preserve">wo </w:t>
      </w:r>
      <w:r w:rsidR="4E877C82" w:rsidRPr="194D1029">
        <w:rPr>
          <w:rFonts w:eastAsia="Calibri" w:cs="Arial"/>
        </w:rPr>
        <w:t xml:space="preserve">independent </w:t>
      </w:r>
      <w:r w:rsidR="38DF9CE7" w:rsidRPr="194D1029">
        <w:rPr>
          <w:rFonts w:eastAsia="Calibri" w:cs="Arial"/>
        </w:rPr>
        <w:t xml:space="preserve">progress </w:t>
      </w:r>
      <w:r w:rsidR="4E877C82" w:rsidRPr="194D1029">
        <w:rPr>
          <w:rFonts w:eastAsia="Calibri" w:cs="Arial"/>
        </w:rPr>
        <w:t xml:space="preserve">reviews </w:t>
      </w:r>
      <w:r w:rsidR="3DC91B21" w:rsidRPr="194D1029">
        <w:rPr>
          <w:rFonts w:eastAsia="Calibri" w:cs="Arial"/>
        </w:rPr>
        <w:t>h</w:t>
      </w:r>
      <w:r w:rsidR="4E877C82" w:rsidRPr="194D1029">
        <w:rPr>
          <w:rFonts w:eastAsia="Calibri" w:cs="Arial"/>
        </w:rPr>
        <w:t xml:space="preserve">ave found Australia </w:t>
      </w:r>
      <w:r w:rsidR="48F045E0" w:rsidRPr="194D1029">
        <w:rPr>
          <w:rFonts w:eastAsia="Calibri" w:cs="Arial"/>
        </w:rPr>
        <w:t xml:space="preserve">has not </w:t>
      </w:r>
      <w:r w:rsidR="4E877C82" w:rsidRPr="194D1029">
        <w:rPr>
          <w:rFonts w:eastAsia="Calibri" w:cs="Arial"/>
        </w:rPr>
        <w:t>compli</w:t>
      </w:r>
      <w:r w:rsidR="18C170F7" w:rsidRPr="194D1029">
        <w:rPr>
          <w:rFonts w:eastAsia="Calibri" w:cs="Arial"/>
        </w:rPr>
        <w:t>ed with its commitments</w:t>
      </w:r>
      <w:r w:rsidR="7674544A" w:rsidRPr="194D1029">
        <w:rPr>
          <w:rFonts w:eastAsia="Calibri" w:cs="Arial"/>
        </w:rPr>
        <w:t xml:space="preserve"> to improve transparency in b</w:t>
      </w:r>
      <w:r w:rsidR="18C170F7" w:rsidRPr="194D1029">
        <w:rPr>
          <w:rFonts w:eastAsia="Calibri" w:cs="Arial"/>
        </w:rPr>
        <w:t xml:space="preserve">eneficial ownership of </w:t>
      </w:r>
      <w:r w:rsidR="51B94211" w:rsidRPr="194D1029">
        <w:rPr>
          <w:rFonts w:eastAsia="Calibri" w:cs="Arial"/>
        </w:rPr>
        <w:t xml:space="preserve">companies and </w:t>
      </w:r>
      <w:r w:rsidR="18C170F7" w:rsidRPr="194D1029">
        <w:rPr>
          <w:rFonts w:eastAsia="Calibri" w:cs="Arial"/>
        </w:rPr>
        <w:t>trusts</w:t>
      </w:r>
      <w:r w:rsidR="4E877C82" w:rsidRPr="194D1029">
        <w:rPr>
          <w:rFonts w:eastAsia="Calibri" w:cs="Arial"/>
        </w:rPr>
        <w:t>.</w:t>
      </w:r>
      <w:r w:rsidRPr="194D1029">
        <w:rPr>
          <w:rStyle w:val="FootnoteReference"/>
          <w:rFonts w:eastAsia="Calibri" w:cs="Arial"/>
        </w:rPr>
        <w:footnoteReference w:id="48"/>
      </w:r>
      <w:r w:rsidR="4E877C82" w:rsidRPr="194D1029">
        <w:rPr>
          <w:rFonts w:eastAsia="Calibri" w:cs="Arial"/>
        </w:rPr>
        <w:t xml:space="preserve"> </w:t>
      </w:r>
    </w:p>
    <w:p w14:paraId="3A942A03" w14:textId="77777777" w:rsidR="004C3C6A" w:rsidRPr="004C3C6A" w:rsidRDefault="004C3C6A" w:rsidP="004C3C6A">
      <w:pPr>
        <w:spacing w:after="0"/>
        <w:rPr>
          <w:rFonts w:eastAsia="Calibri" w:cs="Arial"/>
          <w:szCs w:val="20"/>
        </w:rPr>
      </w:pPr>
    </w:p>
    <w:p w14:paraId="437FEB35" w14:textId="03118B3A" w:rsidR="4BB191A8" w:rsidRDefault="4BB191A8" w:rsidP="79A6475B">
      <w:pPr>
        <w:rPr>
          <w:rFonts w:eastAsia="Calibri" w:cs="Arial"/>
          <w:szCs w:val="20"/>
        </w:rPr>
      </w:pPr>
      <w:r w:rsidRPr="194D1029">
        <w:rPr>
          <w:rFonts w:eastAsia="Calibri" w:cs="Arial"/>
        </w:rPr>
        <w:t xml:space="preserve">To encourage tax compliance and curb money laundering, information on private trusts should be published by the ATO on a public register, akin to the register for companies. The privacy of beneficiaries of family trusts registered as such could be </w:t>
      </w:r>
      <w:r w:rsidR="03664D8C" w:rsidRPr="194D1029">
        <w:rPr>
          <w:rFonts w:eastAsia="Calibri" w:cs="Arial"/>
        </w:rPr>
        <w:t xml:space="preserve">protected by </w:t>
      </w:r>
      <w:r w:rsidRPr="194D1029">
        <w:rPr>
          <w:rFonts w:eastAsia="Calibri" w:cs="Arial"/>
        </w:rPr>
        <w:t>exempt</w:t>
      </w:r>
      <w:r w:rsidR="555265EE" w:rsidRPr="194D1029">
        <w:rPr>
          <w:rFonts w:eastAsia="Calibri" w:cs="Arial"/>
        </w:rPr>
        <w:t>ing those trusts</w:t>
      </w:r>
      <w:r w:rsidRPr="194D1029">
        <w:rPr>
          <w:rFonts w:eastAsia="Calibri" w:cs="Arial"/>
        </w:rPr>
        <w:t xml:space="preserve"> </w:t>
      </w:r>
      <w:r w:rsidR="67116630" w:rsidRPr="79A6475B">
        <w:rPr>
          <w:rFonts w:eastAsia="Verdana" w:cs="Verdana"/>
          <w:sz w:val="19"/>
          <w:szCs w:val="19"/>
        </w:rPr>
        <w:t xml:space="preserve">(but not related entities that are not </w:t>
      </w:r>
      <w:r w:rsidR="13992594" w:rsidRPr="79A6475B">
        <w:rPr>
          <w:rFonts w:eastAsia="Verdana" w:cs="Verdana"/>
          <w:sz w:val="19"/>
          <w:szCs w:val="19"/>
        </w:rPr>
        <w:t xml:space="preserve">themselves </w:t>
      </w:r>
      <w:r w:rsidR="67116630" w:rsidRPr="79A6475B">
        <w:rPr>
          <w:rFonts w:eastAsia="Verdana" w:cs="Verdana"/>
          <w:sz w:val="19"/>
          <w:szCs w:val="19"/>
        </w:rPr>
        <w:t xml:space="preserve">family trusts) </w:t>
      </w:r>
      <w:r w:rsidRPr="194D1029">
        <w:rPr>
          <w:rFonts w:eastAsia="Calibri" w:cs="Arial"/>
        </w:rPr>
        <w:t>from requirement</w:t>
      </w:r>
      <w:r w:rsidR="16F52B85" w:rsidRPr="194D1029">
        <w:rPr>
          <w:rFonts w:eastAsia="Calibri" w:cs="Arial"/>
        </w:rPr>
        <w:t>s</w:t>
      </w:r>
      <w:r w:rsidRPr="194D1029">
        <w:rPr>
          <w:rFonts w:eastAsia="Calibri" w:cs="Arial"/>
        </w:rPr>
        <w:t xml:space="preserve"> to publicly list the</w:t>
      </w:r>
      <w:r w:rsidR="572D743B" w:rsidRPr="194D1029">
        <w:rPr>
          <w:rFonts w:eastAsia="Calibri" w:cs="Arial"/>
        </w:rPr>
        <w:t>ir</w:t>
      </w:r>
      <w:r w:rsidRPr="194D1029">
        <w:rPr>
          <w:rFonts w:eastAsia="Calibri" w:cs="Arial"/>
        </w:rPr>
        <w:t xml:space="preserve"> beneficiaries.</w:t>
      </w:r>
      <w:r w:rsidRPr="194D1029">
        <w:rPr>
          <w:rStyle w:val="FootnoteReference"/>
          <w:rFonts w:eastAsia="Calibri" w:cs="Arial"/>
        </w:rPr>
        <w:footnoteReference w:id="49"/>
      </w:r>
    </w:p>
    <w:p w14:paraId="367E709A" w14:textId="182652B7" w:rsidR="57E17DA9" w:rsidRDefault="57E17DA9" w:rsidP="79A6475B">
      <w:pPr>
        <w:rPr>
          <w:rFonts w:eastAsia="Calibri" w:cs="Arial"/>
          <w:szCs w:val="20"/>
        </w:rPr>
      </w:pPr>
      <w:r w:rsidRPr="79A6475B">
        <w:rPr>
          <w:rFonts w:eastAsia="Calibri" w:cs="Arial"/>
          <w:szCs w:val="20"/>
        </w:rPr>
        <w:t xml:space="preserve">In addition, private companies should be required to declare their beneficial owners to ASIC and </w:t>
      </w:r>
      <w:r w:rsidR="42F8B8C6" w:rsidRPr="79A6475B">
        <w:rPr>
          <w:rFonts w:eastAsia="Calibri" w:cs="Arial"/>
          <w:szCs w:val="20"/>
        </w:rPr>
        <w:t xml:space="preserve">companies exempted from </w:t>
      </w:r>
      <w:r w:rsidR="32E8C9FA" w:rsidRPr="79A6475B">
        <w:rPr>
          <w:rFonts w:eastAsia="Calibri" w:cs="Arial"/>
          <w:szCs w:val="20"/>
        </w:rPr>
        <w:t xml:space="preserve">public </w:t>
      </w:r>
      <w:r w:rsidR="42F8B8C6" w:rsidRPr="79A6475B">
        <w:rPr>
          <w:rFonts w:eastAsia="Calibri" w:cs="Arial"/>
          <w:szCs w:val="20"/>
        </w:rPr>
        <w:t xml:space="preserve">disclosure requirements by previous grandfathering arrangements should be included. </w:t>
      </w:r>
    </w:p>
    <w:p w14:paraId="40041EF9" w14:textId="4CB8AE4B" w:rsidR="4BB191A8" w:rsidRDefault="4BB191A8" w:rsidP="79A6475B">
      <w:pPr>
        <w:rPr>
          <w:rFonts w:eastAsia="Calibri" w:cs="Arial"/>
          <w:szCs w:val="20"/>
        </w:rPr>
      </w:pPr>
      <w:r w:rsidRPr="79A6475B">
        <w:rPr>
          <w:rFonts w:eastAsia="Calibri" w:cs="Arial"/>
          <w:szCs w:val="20"/>
        </w:rPr>
        <w:t xml:space="preserve">Private companies are also widely used to avoid tax, often in conjunction with discretionary trusts. These arrangements take advantage of the gap between the top marginal rate of personal income tax and the company tax rate. </w:t>
      </w:r>
    </w:p>
    <w:p w14:paraId="2421C150" w14:textId="683F4B2A" w:rsidR="4BB191A8" w:rsidRDefault="4BB191A8" w:rsidP="79A6475B">
      <w:pPr>
        <w:rPr>
          <w:rFonts w:eastAsia="Calibri" w:cs="Arial"/>
          <w:szCs w:val="20"/>
        </w:rPr>
      </w:pPr>
      <w:r w:rsidRPr="79A6475B">
        <w:rPr>
          <w:rFonts w:eastAsia="Calibri" w:cs="Arial"/>
          <w:szCs w:val="20"/>
        </w:rPr>
        <w:t xml:space="preserve">The use of ‘cashbox companies’ to avoid personal income tax by retaining income in a private company should be curbed by taxing retained earnings (minus a reinvestment </w:t>
      </w:r>
      <w:r w:rsidRPr="79A6475B">
        <w:rPr>
          <w:rFonts w:eastAsia="Calibri" w:cs="Arial"/>
          <w:szCs w:val="20"/>
        </w:rPr>
        <w:lastRenderedPageBreak/>
        <w:t>allowance for active businesses) in private companies at the top marginal personal tax rate plus Medicare Levy. This tax treatment would also apply to private trusts taxed as companies under the reform proposed above. Where the owner of the private company would ordinarily face a lower personal tax rate, they could distribute company income to themselves in the form of dividends or wages</w:t>
      </w:r>
      <w:r w:rsidR="286A3A83" w:rsidRPr="79A6475B">
        <w:rPr>
          <w:rFonts w:eastAsia="Calibri" w:cs="Arial"/>
          <w:szCs w:val="20"/>
        </w:rPr>
        <w:t xml:space="preserve"> so that they are taxed at their personal tax rate.</w:t>
      </w:r>
    </w:p>
    <w:p w14:paraId="00C8EDC4" w14:textId="4F7ADA15" w:rsidR="79A6475B" w:rsidRDefault="4BB191A8" w:rsidP="79A6475B">
      <w:pPr>
        <w:rPr>
          <w:rFonts w:eastAsia="Calibri" w:cs="Arial"/>
          <w:szCs w:val="20"/>
        </w:rPr>
      </w:pPr>
      <w:r w:rsidRPr="194D1029">
        <w:rPr>
          <w:rFonts w:eastAsia="Calibri" w:cs="Arial"/>
        </w:rPr>
        <w:t>This reform has become more urgent now that the company tax rate has fallen to 27.5% for companies with annual turnover below $50 million. This change provided windfall gains to high-income-earners using companies as business vehicles.</w:t>
      </w:r>
      <w:r w:rsidR="5B4326D2" w:rsidRPr="194D1029">
        <w:rPr>
          <w:rFonts w:eastAsia="Calibri" w:cs="Arial"/>
        </w:rPr>
        <w:t xml:space="preserve"> </w:t>
      </w:r>
      <w:r w:rsidRPr="194D1029">
        <w:rPr>
          <w:rStyle w:val="FootnoteReference"/>
          <w:rFonts w:eastAsia="Calibri" w:cs="Arial"/>
        </w:rPr>
        <w:footnoteReference w:id="50"/>
      </w:r>
      <w:r w:rsidR="79A6475B">
        <w:br/>
      </w:r>
    </w:p>
    <w:p w14:paraId="1A4B2FD4" w14:textId="75D7216F" w:rsidR="00FD1810" w:rsidRDefault="294F0AC8" w:rsidP="00FD1810">
      <w:pPr>
        <w:pStyle w:val="Recommendation"/>
        <w:rPr>
          <w:color w:val="000000" w:themeColor="text1"/>
        </w:rPr>
      </w:pPr>
      <w:r w:rsidRPr="294F0AC8">
        <w:rPr>
          <w:color w:val="C00000"/>
        </w:rPr>
        <w:t>Recommendation 47:</w:t>
      </w:r>
      <w:r>
        <w:t xml:space="preserve"> </w:t>
      </w:r>
      <w:r w:rsidRPr="294F0AC8">
        <w:rPr>
          <w:color w:val="000000" w:themeColor="text1"/>
        </w:rPr>
        <w:t>Curb the use of private trusts to avoid personal income tax and conceal income:</w:t>
      </w:r>
      <w:r w:rsidR="00FD1810">
        <w:br/>
      </w:r>
    </w:p>
    <w:p w14:paraId="3D4DA09A" w14:textId="54A9E586" w:rsidR="00FD1810" w:rsidRDefault="294F0AC8" w:rsidP="00DD3DC0">
      <w:pPr>
        <w:pStyle w:val="Recommendation"/>
        <w:numPr>
          <w:ilvl w:val="0"/>
          <w:numId w:val="23"/>
        </w:numPr>
        <w:rPr>
          <w:rFonts w:asciiTheme="minorHAnsi" w:eastAsiaTheme="minorEastAsia" w:hAnsiTheme="minorHAnsi"/>
          <w:bCs/>
          <w:color w:val="000000" w:themeColor="text1"/>
          <w:szCs w:val="20"/>
        </w:rPr>
      </w:pPr>
      <w:r w:rsidRPr="294F0AC8">
        <w:rPr>
          <w:color w:val="000000" w:themeColor="text1"/>
        </w:rPr>
        <w:t xml:space="preserve">From 1 July 2023, </w:t>
      </w:r>
      <w:proofErr w:type="gramStart"/>
      <w:r w:rsidRPr="294F0AC8">
        <w:rPr>
          <w:color w:val="000000" w:themeColor="text1"/>
        </w:rPr>
        <w:t>closely-held</w:t>
      </w:r>
      <w:proofErr w:type="gramEnd"/>
      <w:r w:rsidRPr="294F0AC8">
        <w:rPr>
          <w:color w:val="000000" w:themeColor="text1"/>
        </w:rPr>
        <w:t xml:space="preserve"> express trusts (both discretionary and fixed) should be taxed as companies. This would not apply to certain categories of trusts including collective investment vehicles, complying superannuation funds, disability trusts, and trusts established pursuant to court orders.</w:t>
      </w:r>
      <w:r w:rsidR="221BCE3A">
        <w:br/>
      </w:r>
    </w:p>
    <w:p w14:paraId="7F254C58" w14:textId="1A64C64D" w:rsidR="006B1312" w:rsidRPr="00C0119E" w:rsidRDefault="294F0AC8" w:rsidP="00DD3DC0">
      <w:pPr>
        <w:pStyle w:val="Recommendation"/>
        <w:numPr>
          <w:ilvl w:val="0"/>
          <w:numId w:val="23"/>
        </w:numPr>
        <w:rPr>
          <w:rFonts w:asciiTheme="minorHAnsi" w:eastAsiaTheme="minorEastAsia" w:hAnsiTheme="minorHAnsi"/>
          <w:bCs/>
          <w:color w:val="000000" w:themeColor="text1"/>
          <w:szCs w:val="20"/>
        </w:rPr>
      </w:pPr>
      <w:r w:rsidRPr="294F0AC8">
        <w:rPr>
          <w:color w:val="000000" w:themeColor="text1"/>
        </w:rPr>
        <w:t xml:space="preserve">Alternately, Capital Gains Tax should apply to untaxed and </w:t>
      </w:r>
      <w:proofErr w:type="gramStart"/>
      <w:r w:rsidRPr="294F0AC8">
        <w:rPr>
          <w:color w:val="000000" w:themeColor="text1"/>
        </w:rPr>
        <w:t>preferentially-taxed</w:t>
      </w:r>
      <w:proofErr w:type="gramEnd"/>
      <w:r w:rsidRPr="294F0AC8">
        <w:rPr>
          <w:color w:val="000000" w:themeColor="text1"/>
        </w:rPr>
        <w:t xml:space="preserve"> distributions to the beneficiaries of closely-held discretionary trusts, including distributions arising from asset revaluations. </w:t>
      </w:r>
      <w:r w:rsidR="221BCE3A">
        <w:br/>
      </w:r>
    </w:p>
    <w:p w14:paraId="50F40DEB" w14:textId="028278BA" w:rsidR="00FD1810" w:rsidRDefault="294F0AC8" w:rsidP="00DD3DC0">
      <w:pPr>
        <w:pStyle w:val="Recommendation"/>
        <w:numPr>
          <w:ilvl w:val="0"/>
          <w:numId w:val="23"/>
        </w:numPr>
        <w:rPr>
          <w:rFonts w:asciiTheme="minorHAnsi" w:eastAsiaTheme="minorEastAsia" w:hAnsiTheme="minorHAnsi"/>
          <w:bCs/>
          <w:color w:val="000000" w:themeColor="text1"/>
          <w:szCs w:val="20"/>
        </w:rPr>
      </w:pPr>
      <w:r w:rsidRPr="294F0AC8">
        <w:rPr>
          <w:color w:val="000000" w:themeColor="text1"/>
        </w:rPr>
        <w:t xml:space="preserve">A public register should be established by the ATO by July 2023 to hold the following information in regard to trusts that are required to lodge tax returns: the names and tax file numbers of the trustee, controller, any beneficiaries that are not natural persons (for example other trusts or companies), annual financial statements, and (where the trust is not a family trust) </w:t>
      </w:r>
      <w:r w:rsidRPr="294F0AC8">
        <w:rPr>
          <w:rFonts w:eastAsiaTheme="minorEastAsia"/>
          <w:color w:val="000000" w:themeColor="text1"/>
        </w:rPr>
        <w:t>all other beneficiaries together with a declaration from the trustee identifying all beneficial owners.</w:t>
      </w:r>
    </w:p>
    <w:p w14:paraId="77A52294" w14:textId="77777777" w:rsidR="00FD1810" w:rsidRDefault="00FD1810" w:rsidP="00FD1810">
      <w:pPr>
        <w:pStyle w:val="Recommendation"/>
        <w:rPr>
          <w:color w:val="000000" w:themeColor="text1"/>
        </w:rPr>
      </w:pPr>
    </w:p>
    <w:p w14:paraId="4A1E542C" w14:textId="341EDA23" w:rsidR="00FD1810" w:rsidRDefault="221BCE3A" w:rsidP="221BCE3A">
      <w:pPr>
        <w:pStyle w:val="Recommendation"/>
        <w:rPr>
          <w:color w:val="000000" w:themeColor="text1"/>
        </w:rPr>
      </w:pPr>
      <w:r w:rsidRPr="221BCE3A">
        <w:rPr>
          <w:rFonts w:eastAsiaTheme="minorEastAsia"/>
          <w:color w:val="C00000"/>
        </w:rPr>
        <w:t>Budget impact:</w:t>
      </w:r>
      <w:r w:rsidRPr="221BCE3A">
        <w:rPr>
          <w:rFonts w:eastAsiaTheme="minorEastAsia"/>
        </w:rPr>
        <w:t xml:space="preserve"> </w:t>
      </w:r>
      <w:r w:rsidRPr="280C9BAE">
        <w:rPr>
          <w:color w:val="000000" w:themeColor="text1"/>
        </w:rPr>
        <w:t>$0 ($1,600 million in 2023-24)</w:t>
      </w:r>
    </w:p>
    <w:p w14:paraId="4EDEB945" w14:textId="0396C9B1" w:rsidR="5A3FAC9D" w:rsidRDefault="5A3FAC9D" w:rsidP="5A3FAC9D">
      <w:pPr>
        <w:pStyle w:val="ListNumber"/>
        <w:numPr>
          <w:ilvl w:val="0"/>
          <w:numId w:val="0"/>
        </w:numPr>
      </w:pPr>
    </w:p>
    <w:p w14:paraId="24B4ADFE" w14:textId="067FF286" w:rsidR="2C56DDDF" w:rsidRDefault="294F0AC8" w:rsidP="5A3FAC9D">
      <w:pPr>
        <w:pStyle w:val="Recommendation"/>
      </w:pPr>
      <w:r w:rsidRPr="294F0AC8">
        <w:rPr>
          <w:color w:val="C00000"/>
        </w:rPr>
        <w:t xml:space="preserve">Recommendation 48: </w:t>
      </w:r>
      <w:r w:rsidRPr="294F0AC8">
        <w:rPr>
          <w:color w:val="000000" w:themeColor="text1"/>
        </w:rPr>
        <w:t>Curb the use of private companies to avoid personal income tax:</w:t>
      </w:r>
      <w:r w:rsidR="221BCE3A">
        <w:br/>
      </w:r>
    </w:p>
    <w:p w14:paraId="745917D0" w14:textId="2FF2F4EB" w:rsidR="5A3FAC9D" w:rsidRDefault="221BCE3A" w:rsidP="5A3FAC9D">
      <w:pPr>
        <w:pStyle w:val="ListNumber"/>
        <w:numPr>
          <w:ilvl w:val="0"/>
          <w:numId w:val="0"/>
        </w:numPr>
      </w:pPr>
      <w:r w:rsidRPr="221BCE3A">
        <w:rPr>
          <w:rFonts w:eastAsiaTheme="minorEastAsia"/>
          <w:b/>
          <w:bCs/>
        </w:rPr>
        <w:t>From 1 July 2023, income retained in private companies, apart from a reinvestment allowance for companies engaged in active business (comprising a fixed proportion of the assets of the company), should be taxed at the top marginal rate of personal income tax plus Medicare Levy.</w:t>
      </w:r>
    </w:p>
    <w:p w14:paraId="453F1FA0" w14:textId="37822217" w:rsidR="2C56DDDF" w:rsidRDefault="221BCE3A" w:rsidP="221BCE3A">
      <w:pPr>
        <w:pStyle w:val="Recommendation"/>
        <w:rPr>
          <w:rFonts w:eastAsiaTheme="minorEastAsia"/>
          <w:color w:val="000000" w:themeColor="text1"/>
        </w:rPr>
      </w:pPr>
      <w:r w:rsidRPr="221BCE3A">
        <w:rPr>
          <w:rFonts w:eastAsiaTheme="minorEastAsia"/>
          <w:color w:val="C00000"/>
        </w:rPr>
        <w:t xml:space="preserve">Budget impact: </w:t>
      </w:r>
      <w:r w:rsidRPr="280C9BAE">
        <w:rPr>
          <w:rFonts w:eastAsiaTheme="minorEastAsia"/>
          <w:color w:val="000000" w:themeColor="text1"/>
        </w:rPr>
        <w:t>$0 ($1,500 million in 2023-24)</w:t>
      </w:r>
    </w:p>
    <w:p w14:paraId="7356B038" w14:textId="77777777" w:rsidR="006B1312" w:rsidRDefault="006B1312" w:rsidP="5A3FAC9D">
      <w:pPr>
        <w:pStyle w:val="ListNumber"/>
        <w:numPr>
          <w:ilvl w:val="0"/>
          <w:numId w:val="0"/>
        </w:numPr>
        <w:rPr>
          <w:rFonts w:eastAsiaTheme="minorEastAsia"/>
          <w:b/>
          <w:bCs/>
          <w:szCs w:val="20"/>
        </w:rPr>
      </w:pPr>
    </w:p>
    <w:p w14:paraId="7F8E6F04" w14:textId="77777777" w:rsidR="00EC00E7" w:rsidRDefault="00EC00E7">
      <w:pPr>
        <w:rPr>
          <w:rFonts w:ascii="Palatino Linotype" w:eastAsia="Palatino Linotype" w:hAnsi="Palatino Linotype" w:cs="Palatino Linotype"/>
          <w:color w:val="143156"/>
          <w:sz w:val="32"/>
          <w:szCs w:val="32"/>
        </w:rPr>
      </w:pPr>
      <w:bookmarkStart w:id="841" w:name="_Toc1689419094"/>
      <w:bookmarkStart w:id="842" w:name="_Toc835569396"/>
      <w:bookmarkStart w:id="843" w:name="_Toc532354600"/>
      <w:bookmarkStart w:id="844" w:name="_Toc1106750118"/>
      <w:bookmarkStart w:id="845" w:name="_Toc574294086"/>
      <w:bookmarkStart w:id="846" w:name="_Toc1365518755"/>
      <w:bookmarkStart w:id="847" w:name="_Toc1102878227"/>
      <w:bookmarkStart w:id="848" w:name="_Toc127378918"/>
      <w:bookmarkStart w:id="849" w:name="_Toc90983399"/>
      <w:bookmarkStart w:id="850" w:name="_Toc90984662"/>
      <w:r>
        <w:br w:type="page"/>
      </w:r>
    </w:p>
    <w:p w14:paraId="20D7C330" w14:textId="6C75D58D" w:rsidR="00775FC7" w:rsidRDefault="294F0AC8" w:rsidP="001D1B51">
      <w:pPr>
        <w:pStyle w:val="Heading2"/>
      </w:pPr>
      <w:r>
        <w:lastRenderedPageBreak/>
        <w:t>Curb international business tax avoidance</w:t>
      </w:r>
      <w:bookmarkEnd w:id="841"/>
      <w:bookmarkEnd w:id="842"/>
      <w:bookmarkEnd w:id="843"/>
      <w:bookmarkEnd w:id="844"/>
      <w:bookmarkEnd w:id="845"/>
      <w:bookmarkEnd w:id="846"/>
      <w:bookmarkEnd w:id="847"/>
      <w:bookmarkEnd w:id="848"/>
      <w:bookmarkEnd w:id="849"/>
      <w:bookmarkEnd w:id="850"/>
    </w:p>
    <w:p w14:paraId="383F0E8B" w14:textId="4C3D03EA" w:rsidR="1C9E41A1" w:rsidRDefault="1C9E41A1">
      <w:r>
        <w:t xml:space="preserve">The government has implemented welcome reforms to tackle corporate tax base erosion and to prevent the shifting of profits offshore, including the introduction of a Diverted Profits Tax and a Multinational Anti-Avoidance Law (MAAL). More needs to be done. Too many corporations operating profitably in Australia pay little or no tax. Improving the financial transparency of multinational companies operating in Australia would help change this </w:t>
      </w:r>
      <w:proofErr w:type="spellStart"/>
      <w:r>
        <w:t>behaviour</w:t>
      </w:r>
      <w:proofErr w:type="spellEnd"/>
      <w:r>
        <w:t xml:space="preserve">. Further, the ‘thin </w:t>
      </w:r>
      <w:proofErr w:type="spellStart"/>
      <w:r>
        <w:t>capitalisation</w:t>
      </w:r>
      <w:proofErr w:type="spellEnd"/>
      <w:r>
        <w:t>’ rules designed to prevent the shifting of debt to Australia to avoid tax should be strengthened and the use of secrecy jurisdictions (tax havens) for this purpose should be discouraged.</w:t>
      </w:r>
    </w:p>
    <w:p w14:paraId="5EB58051" w14:textId="42101DFE" w:rsidR="3D88393F" w:rsidRDefault="294F0AC8" w:rsidP="5A3FAC9D">
      <w:pPr>
        <w:pStyle w:val="Recommendation"/>
      </w:pPr>
      <w:r w:rsidRPr="294F0AC8">
        <w:rPr>
          <w:color w:val="C00000"/>
        </w:rPr>
        <w:t xml:space="preserve">Recommendation 49: </w:t>
      </w:r>
      <w:r w:rsidRPr="294F0AC8">
        <w:rPr>
          <w:color w:val="000000" w:themeColor="text1"/>
        </w:rPr>
        <w:t>Curb international business tax avoidance:</w:t>
      </w:r>
    </w:p>
    <w:p w14:paraId="1D918173" w14:textId="0C8FCCB0" w:rsidR="5A3FAC9D" w:rsidRDefault="5A3FAC9D" w:rsidP="5A3FAC9D">
      <w:pPr>
        <w:pStyle w:val="ListNumber"/>
        <w:numPr>
          <w:ilvl w:val="0"/>
          <w:numId w:val="0"/>
        </w:numPr>
      </w:pPr>
    </w:p>
    <w:p w14:paraId="30D222C7" w14:textId="34DB4554" w:rsidR="43EECFA3" w:rsidRDefault="221BCE3A" w:rsidP="221BCE3A">
      <w:pPr>
        <w:pStyle w:val="ListNumber"/>
        <w:numPr>
          <w:ilvl w:val="0"/>
          <w:numId w:val="0"/>
        </w:numPr>
        <w:spacing w:after="0"/>
        <w:rPr>
          <w:rFonts w:eastAsiaTheme="minorEastAsia"/>
          <w:b/>
          <w:bCs/>
        </w:rPr>
      </w:pPr>
      <w:r w:rsidRPr="221BCE3A">
        <w:rPr>
          <w:rFonts w:eastAsiaTheme="minorEastAsia"/>
          <w:b/>
          <w:bCs/>
        </w:rPr>
        <w:t>Base Erosion and Profit Shifting by companies operating internationally should be curbed by making the following changes from July 2023:</w:t>
      </w:r>
      <w:r w:rsidR="43EECFA3">
        <w:br/>
      </w:r>
    </w:p>
    <w:p w14:paraId="21434B35" w14:textId="02A94CBE" w:rsidR="43EECFA3" w:rsidRDefault="294F0AC8" w:rsidP="00DD3DC0">
      <w:pPr>
        <w:pStyle w:val="ListNumber"/>
        <w:numPr>
          <w:ilvl w:val="0"/>
          <w:numId w:val="22"/>
        </w:numPr>
        <w:spacing w:after="0"/>
        <w:rPr>
          <w:rFonts w:asciiTheme="minorEastAsia" w:eastAsiaTheme="minorEastAsia" w:hAnsiTheme="minorEastAsia" w:cstheme="minorEastAsia"/>
          <w:b/>
          <w:bCs/>
          <w:szCs w:val="20"/>
        </w:rPr>
      </w:pPr>
      <w:r w:rsidRPr="294F0AC8">
        <w:rPr>
          <w:rFonts w:eastAsiaTheme="minorEastAsia"/>
          <w:b/>
          <w:bCs/>
        </w:rPr>
        <w:t xml:space="preserve">Tighten thin </w:t>
      </w:r>
      <w:proofErr w:type="spellStart"/>
      <w:r w:rsidRPr="294F0AC8">
        <w:rPr>
          <w:rFonts w:eastAsiaTheme="minorEastAsia"/>
          <w:b/>
          <w:bCs/>
        </w:rPr>
        <w:t>capitalisation</w:t>
      </w:r>
      <w:proofErr w:type="spellEnd"/>
      <w:r w:rsidRPr="294F0AC8">
        <w:rPr>
          <w:rFonts w:eastAsiaTheme="minorEastAsia"/>
          <w:b/>
          <w:bCs/>
        </w:rPr>
        <w:t xml:space="preserve"> rules so that allowable debt deductions are based on a company’s global debt-equity ratio;</w:t>
      </w:r>
      <w:r w:rsidR="43EECFA3">
        <w:br/>
      </w:r>
    </w:p>
    <w:p w14:paraId="485DAD14" w14:textId="09D17F28" w:rsidR="43EECFA3" w:rsidRDefault="294F0AC8" w:rsidP="00DD3DC0">
      <w:pPr>
        <w:pStyle w:val="ListNumber"/>
        <w:numPr>
          <w:ilvl w:val="0"/>
          <w:numId w:val="22"/>
        </w:numPr>
        <w:spacing w:after="0"/>
        <w:rPr>
          <w:rFonts w:asciiTheme="minorEastAsia" w:eastAsiaTheme="minorEastAsia" w:hAnsiTheme="minorEastAsia" w:cstheme="minorEastAsia"/>
          <w:b/>
          <w:bCs/>
          <w:szCs w:val="20"/>
        </w:rPr>
      </w:pPr>
      <w:r w:rsidRPr="294F0AC8">
        <w:rPr>
          <w:rFonts w:eastAsiaTheme="minorEastAsia"/>
          <w:b/>
          <w:bCs/>
        </w:rPr>
        <w:t>Improve the transparency of reporting on business income and taxation flows by requiring public disclosure of the ultimate beneficial ownership of companies registered in Australia; requiring the ATO to publicly release high-level reports under the OECD country-by-country reporting initiative in regard to companies with turnover above $750 million; and requiring the ATO to share information on the tax status of trusts and partnerships as well as companies with other tax authorities pursuant to international agreements;</w:t>
      </w:r>
      <w:r w:rsidR="43EECFA3">
        <w:br/>
      </w:r>
    </w:p>
    <w:p w14:paraId="4EC12B7A" w14:textId="6FD3A6CE" w:rsidR="5A3FAC9D" w:rsidRPr="00A80C9F" w:rsidRDefault="294F0AC8" w:rsidP="00DD3DC0">
      <w:pPr>
        <w:pStyle w:val="ListNumber"/>
        <w:numPr>
          <w:ilvl w:val="0"/>
          <w:numId w:val="22"/>
        </w:numPr>
        <w:spacing w:after="0"/>
        <w:rPr>
          <w:rFonts w:asciiTheme="minorEastAsia" w:eastAsiaTheme="minorEastAsia" w:hAnsiTheme="minorEastAsia" w:cstheme="minorEastAsia"/>
          <w:b/>
          <w:bCs/>
          <w:szCs w:val="20"/>
        </w:rPr>
      </w:pPr>
      <w:r w:rsidRPr="294F0AC8">
        <w:rPr>
          <w:rFonts w:eastAsiaTheme="minorEastAsia"/>
          <w:b/>
          <w:bCs/>
        </w:rPr>
        <w:t>Apply special withholding taxes on transfers of funds to secrecy jurisdictions that do not provide effective information exchange pursuant to international treaties.</w:t>
      </w:r>
    </w:p>
    <w:p w14:paraId="1E2DA6A3" w14:textId="77777777" w:rsidR="00A80C9F" w:rsidRDefault="00A80C9F" w:rsidP="5A3FAC9D">
      <w:pPr>
        <w:pStyle w:val="Recommendation"/>
        <w:rPr>
          <w:rFonts w:eastAsiaTheme="minorEastAsia"/>
          <w:bCs/>
          <w:szCs w:val="20"/>
        </w:rPr>
      </w:pPr>
    </w:p>
    <w:p w14:paraId="548B90A1" w14:textId="5980287F" w:rsidR="5A3FAC9D" w:rsidRPr="000C6B7B" w:rsidRDefault="221BCE3A" w:rsidP="221BCE3A">
      <w:pPr>
        <w:pStyle w:val="Recommendation"/>
        <w:rPr>
          <w:color w:val="000000" w:themeColor="text1"/>
        </w:rPr>
      </w:pPr>
      <w:r w:rsidRPr="221BCE3A">
        <w:rPr>
          <w:rFonts w:eastAsiaTheme="minorEastAsia"/>
          <w:color w:val="C00000"/>
        </w:rPr>
        <w:t xml:space="preserve">Budget impact: </w:t>
      </w:r>
      <w:r w:rsidRPr="280C9BAE">
        <w:rPr>
          <w:rFonts w:eastAsiaTheme="minorEastAsia"/>
          <w:color w:val="000000" w:themeColor="text1"/>
        </w:rPr>
        <w:t>$</w:t>
      </w:r>
      <w:r w:rsidRPr="280C9BAE">
        <w:rPr>
          <w:color w:val="000000" w:themeColor="text1"/>
        </w:rPr>
        <w:t>0 ($500 million in 2023-24)</w:t>
      </w:r>
    </w:p>
    <w:p w14:paraId="4018B5AA" w14:textId="5B4261DC" w:rsidR="5A3FAC9D" w:rsidRDefault="5A3FAC9D" w:rsidP="5A3FAC9D">
      <w:pPr>
        <w:pStyle w:val="ListNumber"/>
        <w:numPr>
          <w:ilvl w:val="0"/>
          <w:numId w:val="0"/>
        </w:numPr>
      </w:pPr>
    </w:p>
    <w:p w14:paraId="4EA6A208" w14:textId="1437A3D4" w:rsidR="00775FC7" w:rsidRPr="000D0FCF" w:rsidRDefault="294F0AC8" w:rsidP="001D1B51">
      <w:pPr>
        <w:pStyle w:val="Heading2"/>
      </w:pPr>
      <w:bookmarkStart w:id="851" w:name="_Toc1426321983"/>
      <w:bookmarkStart w:id="852" w:name="_Toc792504435"/>
      <w:bookmarkStart w:id="853" w:name="_Toc947261127"/>
      <w:bookmarkStart w:id="854" w:name="_Toc1483697409"/>
      <w:bookmarkStart w:id="855" w:name="_Toc199863522"/>
      <w:bookmarkStart w:id="856" w:name="_Toc68758739"/>
      <w:bookmarkStart w:id="857" w:name="_Toc1099245650"/>
      <w:bookmarkStart w:id="858" w:name="_Toc586223788"/>
      <w:bookmarkStart w:id="859" w:name="_Toc90983400"/>
      <w:bookmarkStart w:id="860" w:name="_Toc90984663"/>
      <w:r>
        <w:t>Remove fossil fuel subsidies</w:t>
      </w:r>
      <w:bookmarkEnd w:id="851"/>
      <w:bookmarkEnd w:id="852"/>
      <w:bookmarkEnd w:id="853"/>
      <w:bookmarkEnd w:id="854"/>
      <w:bookmarkEnd w:id="855"/>
      <w:bookmarkEnd w:id="856"/>
      <w:bookmarkEnd w:id="857"/>
      <w:bookmarkEnd w:id="858"/>
      <w:bookmarkEnd w:id="859"/>
      <w:bookmarkEnd w:id="860"/>
    </w:p>
    <w:p w14:paraId="0283B829" w14:textId="7D893482" w:rsidR="050D803B" w:rsidRDefault="050D803B" w:rsidP="79A6475B">
      <w:pPr>
        <w:rPr>
          <w:rFonts w:eastAsia="Calibri" w:cs="Arial"/>
          <w:szCs w:val="20"/>
        </w:rPr>
      </w:pPr>
      <w:r>
        <w:t xml:space="preserve">The fuel tax offset for off-road use </w:t>
      </w:r>
      <w:r w:rsidR="2B9D71E4">
        <w:t>refund</w:t>
      </w:r>
      <w:r w:rsidR="6691F64E">
        <w:t>s</w:t>
      </w:r>
      <w:r w:rsidR="2B9D71E4">
        <w:t xml:space="preserve"> the excise paid </w:t>
      </w:r>
      <w:r w:rsidR="1A5DDD6A">
        <w:t xml:space="preserve">by businesses </w:t>
      </w:r>
      <w:r w:rsidR="00EE56CA">
        <w:t>for</w:t>
      </w:r>
      <w:r w:rsidR="2B9D71E4">
        <w:t xml:space="preserve"> fuel that </w:t>
      </w:r>
      <w:r w:rsidR="29ABA0CB">
        <w:t>i</w:t>
      </w:r>
      <w:r w:rsidR="2B9D71E4">
        <w:t>s not used</w:t>
      </w:r>
      <w:r w:rsidR="6DEC9F1D">
        <w:t xml:space="preserve"> to transport goods or people on Australian roads.</w:t>
      </w:r>
      <w:r w:rsidR="2B9D71E4">
        <w:t xml:space="preserve"> </w:t>
      </w:r>
      <w:r w:rsidR="4B2DAE41">
        <w:t xml:space="preserve">Its </w:t>
      </w:r>
      <w:r>
        <w:t xml:space="preserve">rationale </w:t>
      </w:r>
      <w:r w:rsidR="29EECE08">
        <w:t xml:space="preserve">is that the </w:t>
      </w:r>
      <w:r w:rsidR="1F62B058">
        <w:t>f</w:t>
      </w:r>
      <w:r>
        <w:t xml:space="preserve">uel excise </w:t>
      </w:r>
      <w:r w:rsidR="1721156F">
        <w:t xml:space="preserve">is </w:t>
      </w:r>
      <w:r w:rsidR="7F708AF2">
        <w:t xml:space="preserve">a user charge </w:t>
      </w:r>
      <w:r w:rsidR="1721156F">
        <w:t xml:space="preserve">to fund </w:t>
      </w:r>
      <w:r>
        <w:t>public roads</w:t>
      </w:r>
      <w:r w:rsidR="6FAEC24F">
        <w:t>, so fuels used for other purposes should be exempted</w:t>
      </w:r>
      <w:r>
        <w:t xml:space="preserve">. </w:t>
      </w:r>
      <w:r w:rsidR="04437D11">
        <w:t>This is questionable, especially when Australia will struggle to meet its carbon reduction commitments.</w:t>
      </w:r>
      <w:r>
        <w:t xml:space="preserve"> Fuel taxation is a mechanism for generating general government revenue and reducing our reliance on environmentally harmful fossil fuels.</w:t>
      </w:r>
    </w:p>
    <w:p w14:paraId="0ADF4F77" w14:textId="717FC5D4" w:rsidR="050D803B" w:rsidRDefault="050D803B" w:rsidP="79A6475B">
      <w:pPr>
        <w:rPr>
          <w:rFonts w:eastAsia="Calibri" w:cs="Arial"/>
          <w:szCs w:val="20"/>
        </w:rPr>
      </w:pPr>
      <w:r>
        <w:t>In Chapter 4: Accelerate a just climate transition and strengthen community climate resilience, we argue that fuel tax credits for off-road use increases carbon emissions and dampens incentives to improve energy efficiency and switch fuels.</w:t>
      </w:r>
    </w:p>
    <w:p w14:paraId="55E041AE" w14:textId="13A2A2A4" w:rsidR="221BCE3A" w:rsidRDefault="221BCE3A" w:rsidP="221BCE3A">
      <w:pPr>
        <w:pStyle w:val="ListNumber"/>
        <w:numPr>
          <w:ilvl w:val="0"/>
          <w:numId w:val="0"/>
        </w:numPr>
        <w:rPr>
          <w:rFonts w:eastAsia="Calibri" w:cs="Arial"/>
          <w:szCs w:val="20"/>
        </w:rPr>
      </w:pPr>
    </w:p>
    <w:p w14:paraId="681FFE6F" w14:textId="35F7027D" w:rsidR="005E55E3" w:rsidRPr="005E55E3" w:rsidRDefault="294F0AC8" w:rsidP="294F0AC8">
      <w:pPr>
        <w:pStyle w:val="ListNumber"/>
        <w:numPr>
          <w:ilvl w:val="0"/>
          <w:numId w:val="0"/>
        </w:numPr>
        <w:rPr>
          <w:b/>
          <w:bCs/>
          <w:color w:val="CE2028"/>
        </w:rPr>
      </w:pPr>
      <w:r w:rsidRPr="294F0AC8">
        <w:rPr>
          <w:b/>
          <w:bCs/>
          <w:color w:val="C00000"/>
        </w:rPr>
        <w:t xml:space="preserve">Recommendation 50: </w:t>
      </w:r>
      <w:r w:rsidRPr="294F0AC8">
        <w:rPr>
          <w:b/>
          <w:bCs/>
        </w:rPr>
        <w:t>Abolish fuel tax credits for off-road use:</w:t>
      </w:r>
      <w:r w:rsidR="00504429">
        <w:br/>
      </w:r>
    </w:p>
    <w:p w14:paraId="159BA344" w14:textId="206C39F0" w:rsidR="34AC7D76" w:rsidRDefault="294F0AC8" w:rsidP="00DD3DC0">
      <w:pPr>
        <w:pStyle w:val="ListNumber"/>
        <w:numPr>
          <w:ilvl w:val="0"/>
          <w:numId w:val="21"/>
        </w:numPr>
        <w:rPr>
          <w:rFonts w:asciiTheme="minorHAnsi" w:eastAsiaTheme="minorEastAsia" w:hAnsiTheme="minorHAnsi"/>
          <w:szCs w:val="20"/>
        </w:rPr>
      </w:pPr>
      <w:r w:rsidRPr="294F0AC8">
        <w:rPr>
          <w:rFonts w:eastAsiaTheme="minorEastAsia"/>
          <w:b/>
          <w:bCs/>
        </w:rPr>
        <w:t>Fuel tax credits for off-road use, except agriculture, should be abolished from July 2022.</w:t>
      </w:r>
    </w:p>
    <w:p w14:paraId="6E0802C4" w14:textId="4ED16A30" w:rsidR="5A3FAC9D" w:rsidRDefault="5A3FAC9D" w:rsidP="5A3FAC9D">
      <w:pPr>
        <w:pStyle w:val="ListNumber"/>
        <w:numPr>
          <w:ilvl w:val="0"/>
          <w:numId w:val="0"/>
        </w:numPr>
        <w:rPr>
          <w:rFonts w:eastAsiaTheme="minorEastAsia"/>
          <w:b/>
          <w:bCs/>
          <w:szCs w:val="20"/>
        </w:rPr>
      </w:pPr>
    </w:p>
    <w:p w14:paraId="6043D697" w14:textId="48E7088E" w:rsidR="5A3FAC9D" w:rsidRDefault="221BCE3A" w:rsidP="5A3FAC9D">
      <w:pPr>
        <w:pStyle w:val="ListNumber"/>
        <w:numPr>
          <w:ilvl w:val="0"/>
          <w:numId w:val="0"/>
        </w:numPr>
        <w:rPr>
          <w:rFonts w:eastAsiaTheme="minorEastAsia"/>
          <w:b/>
        </w:rPr>
      </w:pPr>
      <w:r w:rsidRPr="221BCE3A">
        <w:rPr>
          <w:rFonts w:eastAsiaTheme="minorEastAsia"/>
          <w:b/>
          <w:bCs/>
          <w:color w:val="C00000"/>
        </w:rPr>
        <w:t>Budget impact:</w:t>
      </w:r>
      <w:r w:rsidRPr="221BCE3A">
        <w:rPr>
          <w:rFonts w:eastAsiaTheme="minorEastAsia"/>
          <w:b/>
          <w:bCs/>
        </w:rPr>
        <w:t xml:space="preserve"> </w:t>
      </w:r>
      <w:r w:rsidRPr="280C9BAE">
        <w:rPr>
          <w:rFonts w:eastAsiaTheme="minorEastAsia"/>
          <w:b/>
        </w:rPr>
        <w:t>$7,000 million ($6,000 million in 2023-24)</w:t>
      </w:r>
    </w:p>
    <w:p w14:paraId="6240029B" w14:textId="4CB0D80A" w:rsidR="009734DD" w:rsidRDefault="009734DD" w:rsidP="5A3FAC9D">
      <w:pPr>
        <w:pStyle w:val="ListNumber"/>
        <w:numPr>
          <w:ilvl w:val="0"/>
          <w:numId w:val="0"/>
        </w:numPr>
        <w:rPr>
          <w:rFonts w:eastAsiaTheme="minorEastAsia"/>
          <w:b/>
        </w:rPr>
      </w:pPr>
    </w:p>
    <w:p w14:paraId="7D811046" w14:textId="77777777" w:rsidR="009734DD" w:rsidRPr="000C6B7B" w:rsidRDefault="009734DD" w:rsidP="001D1B51">
      <w:pPr>
        <w:pStyle w:val="Heading2"/>
      </w:pPr>
      <w:bookmarkStart w:id="861" w:name="_Toc63685991"/>
      <w:r w:rsidRPr="000C6B7B">
        <w:t>Use the tax system to encourage healthy practices and fund preventive health care</w:t>
      </w:r>
      <w:bookmarkEnd w:id="861"/>
    </w:p>
    <w:p w14:paraId="5B5A4D1B" w14:textId="77777777" w:rsidR="009734DD" w:rsidRDefault="009734DD" w:rsidP="009734DD">
      <w:pPr>
        <w:pStyle w:val="ListNumber"/>
        <w:numPr>
          <w:ilvl w:val="0"/>
          <w:numId w:val="0"/>
        </w:numPr>
      </w:pPr>
    </w:p>
    <w:p w14:paraId="324CF26E" w14:textId="20AA25B9" w:rsidR="009734DD" w:rsidRPr="00802708" w:rsidRDefault="009734DD" w:rsidP="009734DD">
      <w:pPr>
        <w:pStyle w:val="ListNumber"/>
        <w:numPr>
          <w:ilvl w:val="0"/>
          <w:numId w:val="0"/>
        </w:numPr>
        <w:rPr>
          <w:i/>
        </w:rPr>
      </w:pPr>
      <w:r>
        <w:t>Excessive sugar consumption is a major reason that almost two-thirds of residents in Australia are overweight or obese; one of the highest rates in the OECD. Excessive sugar consumption also leads to tooth decay, especially in children.</w:t>
      </w:r>
    </w:p>
    <w:p w14:paraId="4CFD35D6" w14:textId="77777777" w:rsidR="009734DD" w:rsidRDefault="009734DD" w:rsidP="009734DD">
      <w:pPr>
        <w:pStyle w:val="ListNumber"/>
        <w:numPr>
          <w:ilvl w:val="0"/>
          <w:numId w:val="0"/>
        </w:numPr>
        <w:spacing w:after="0"/>
      </w:pPr>
    </w:p>
    <w:p w14:paraId="29071E59" w14:textId="77777777" w:rsidR="009734DD" w:rsidRDefault="009734DD" w:rsidP="009734DD">
      <w:pPr>
        <w:pStyle w:val="ListNumber"/>
        <w:numPr>
          <w:ilvl w:val="0"/>
          <w:numId w:val="0"/>
        </w:numPr>
        <w:spacing w:after="0"/>
      </w:pPr>
      <w:r>
        <w:t xml:space="preserve">We propose a </w:t>
      </w:r>
      <w:r w:rsidRPr="7B33A330">
        <w:rPr>
          <w:i/>
          <w:iCs/>
        </w:rPr>
        <w:t xml:space="preserve">tax on water-based drinks with added sugar </w:t>
      </w:r>
      <w:r>
        <w:t>as a first step towards reducing excessive sugar consumption since these often have a very high sugar content and have no nutritional value. This would be a volume-based tax on water-based drinks with added sugar (not including unsweetened fruit juices) along the lines of the British tax on sugary drinks.</w:t>
      </w:r>
      <w:r w:rsidRPr="7B33A330">
        <w:rPr>
          <w:rStyle w:val="FootnoteReference"/>
        </w:rPr>
        <w:footnoteReference w:id="51"/>
      </w:r>
      <w:r>
        <w:t xml:space="preserve">  </w:t>
      </w:r>
    </w:p>
    <w:p w14:paraId="1123FA60" w14:textId="77777777" w:rsidR="009734DD" w:rsidRDefault="009734DD" w:rsidP="009734DD">
      <w:pPr>
        <w:pStyle w:val="ListNumber"/>
        <w:numPr>
          <w:ilvl w:val="0"/>
          <w:numId w:val="0"/>
        </w:numPr>
        <w:spacing w:after="0"/>
      </w:pPr>
    </w:p>
    <w:p w14:paraId="2C48F7A3" w14:textId="77777777" w:rsidR="009734DD" w:rsidRDefault="009734DD" w:rsidP="009734DD">
      <w:pPr>
        <w:pStyle w:val="ListNumber"/>
        <w:numPr>
          <w:ilvl w:val="0"/>
          <w:numId w:val="0"/>
        </w:numPr>
        <w:spacing w:after="0"/>
      </w:pPr>
      <w:r>
        <w:t>Revenue from this tax should be earmarked for preventive health and health promotion programs, including healthy eating and sports programs in schools, and a public subsidy for the transport of fresh food to remote areas. In remote Aboriginal and Torres Strait Islander communities a fresh food transport subsidy would be a direct, equitable and cost-effective way to improve health.</w:t>
      </w:r>
      <w:r>
        <w:rPr>
          <w:rStyle w:val="FootnoteReference"/>
        </w:rPr>
        <w:footnoteReference w:id="52"/>
      </w:r>
    </w:p>
    <w:p w14:paraId="0650FBFD" w14:textId="77777777" w:rsidR="009734DD" w:rsidRDefault="009734DD" w:rsidP="009734DD">
      <w:pPr>
        <w:pStyle w:val="ListNumber"/>
        <w:numPr>
          <w:ilvl w:val="0"/>
          <w:numId w:val="0"/>
        </w:numPr>
      </w:pPr>
      <w:r>
        <w:br/>
      </w:r>
      <w:r w:rsidRPr="00F91660">
        <w:t xml:space="preserve">Overall </w:t>
      </w:r>
      <w:r w:rsidRPr="00F91660">
        <w:rPr>
          <w:iCs/>
        </w:rPr>
        <w:t>alcohol consumption</w:t>
      </w:r>
      <w:r>
        <w:t xml:space="preserve"> has fallen in Australia. However, there has been persistent growth in consumption of wine, and growing concern about the impact of excessive consumption of cheap wines on drinkers, their </w:t>
      </w:r>
      <w:proofErr w:type="gramStart"/>
      <w:r>
        <w:t>families</w:t>
      </w:r>
      <w:proofErr w:type="gramEnd"/>
      <w:r>
        <w:t xml:space="preserve"> and communities, especially its contribution to family violence.</w:t>
      </w:r>
    </w:p>
    <w:p w14:paraId="6BDFCF3B" w14:textId="77777777" w:rsidR="009734DD" w:rsidRDefault="009734DD" w:rsidP="009734DD">
      <w:pPr>
        <w:pStyle w:val="ListNumber"/>
        <w:numPr>
          <w:ilvl w:val="0"/>
          <w:numId w:val="0"/>
        </w:numPr>
      </w:pPr>
      <w:r>
        <w:t xml:space="preserve"> </w:t>
      </w:r>
    </w:p>
    <w:p w14:paraId="041DFEBA" w14:textId="77777777" w:rsidR="009734DD" w:rsidRDefault="009734DD" w:rsidP="009734DD">
      <w:pPr>
        <w:pStyle w:val="ListNumber"/>
        <w:numPr>
          <w:ilvl w:val="0"/>
          <w:numId w:val="0"/>
        </w:numPr>
        <w:spacing w:after="0"/>
      </w:pPr>
      <w:r>
        <w:t xml:space="preserve">A contributing factor is the inconsistent tax treatment of different forms of alcohol, with wines and ciders taxed at relatively lower rates. </w:t>
      </w:r>
    </w:p>
    <w:p w14:paraId="0DC1D574" w14:textId="77777777" w:rsidR="009734DD" w:rsidRDefault="009734DD" w:rsidP="009734DD">
      <w:pPr>
        <w:pStyle w:val="ListNumber"/>
        <w:numPr>
          <w:ilvl w:val="0"/>
          <w:numId w:val="0"/>
        </w:numPr>
        <w:spacing w:after="0"/>
      </w:pPr>
    </w:p>
    <w:p w14:paraId="6026793D" w14:textId="77777777" w:rsidR="009734DD" w:rsidRDefault="009734DD" w:rsidP="009734DD">
      <w:pPr>
        <w:pStyle w:val="ListNumber"/>
        <w:numPr>
          <w:ilvl w:val="0"/>
          <w:numId w:val="0"/>
        </w:numPr>
        <w:spacing w:after="0"/>
      </w:pPr>
      <w:r>
        <w:t xml:space="preserve">The Wine </w:t>
      </w:r>
      <w:proofErr w:type="spellStart"/>
      <w:r>
        <w:t>Equalisation</w:t>
      </w:r>
      <w:proofErr w:type="spellEnd"/>
      <w:r>
        <w:t xml:space="preserve"> Tax (WET) and WET Rebate should be </w:t>
      </w:r>
      <w:proofErr w:type="gramStart"/>
      <w:r>
        <w:t>abolished</w:t>
      </w:r>
      <w:proofErr w:type="gramEnd"/>
      <w:r>
        <w:t xml:space="preserve"> and wine and ciders should be taxed at two uniform rates according to alcohol volumes, lying between the tax rates for brewed full-strength beer and spirits.</w:t>
      </w:r>
      <w:r>
        <w:rPr>
          <w:rStyle w:val="FootnoteReference"/>
        </w:rPr>
        <w:footnoteReference w:id="53"/>
      </w:r>
    </w:p>
    <w:p w14:paraId="3F05F88B" w14:textId="77777777" w:rsidR="009734DD" w:rsidRDefault="009734DD" w:rsidP="009734DD">
      <w:pPr>
        <w:pStyle w:val="ListNumber"/>
        <w:numPr>
          <w:ilvl w:val="0"/>
          <w:numId w:val="0"/>
        </w:numPr>
        <w:spacing w:after="0"/>
      </w:pPr>
    </w:p>
    <w:p w14:paraId="631CCF1A" w14:textId="77777777" w:rsidR="009734DD" w:rsidRDefault="009734DD" w:rsidP="009734DD">
      <w:pPr>
        <w:pStyle w:val="ListNumber"/>
        <w:numPr>
          <w:ilvl w:val="0"/>
          <w:numId w:val="0"/>
        </w:numPr>
        <w:spacing w:after="0"/>
      </w:pPr>
      <w:r>
        <w:t>These reforms should be part of a wider strategy to reduce harmful consumption of alcohol including regulatory reform (especially advertising and financing of sporting and similar activities by producers) and health promotion campaigns.</w:t>
      </w:r>
    </w:p>
    <w:p w14:paraId="6341F3C8" w14:textId="77777777" w:rsidR="009734DD" w:rsidRDefault="009734DD" w:rsidP="009734DD">
      <w:pPr>
        <w:pStyle w:val="ListNumber"/>
        <w:numPr>
          <w:ilvl w:val="0"/>
          <w:numId w:val="0"/>
        </w:numPr>
        <w:spacing w:after="0"/>
      </w:pPr>
    </w:p>
    <w:p w14:paraId="7432299A" w14:textId="32EAB0F7" w:rsidR="009734DD" w:rsidRDefault="009734DD" w:rsidP="009734DD">
      <w:pPr>
        <w:pStyle w:val="Recommendation"/>
        <w:rPr>
          <w:bCs/>
        </w:rPr>
      </w:pPr>
      <w:r>
        <w:rPr>
          <w:color w:val="C00000"/>
        </w:rPr>
        <w:t>Recommendation 51</w:t>
      </w:r>
      <w:r w:rsidRPr="007376C2">
        <w:rPr>
          <w:color w:val="C00000"/>
        </w:rPr>
        <w:t xml:space="preserve">: </w:t>
      </w:r>
      <w:r w:rsidRPr="006B1312">
        <w:rPr>
          <w:color w:val="000000" w:themeColor="text1"/>
        </w:rPr>
        <w:t>Introduce a ‘sugar tax’ on sweetened drinks</w:t>
      </w:r>
      <w:r>
        <w:br/>
      </w:r>
    </w:p>
    <w:p w14:paraId="4372F301" w14:textId="77777777" w:rsidR="009734DD" w:rsidRDefault="009734DD" w:rsidP="009734DD">
      <w:pPr>
        <w:pStyle w:val="Recommendation"/>
        <w:rPr>
          <w:bCs/>
        </w:rPr>
      </w:pPr>
      <w:r w:rsidRPr="7B33A330">
        <w:rPr>
          <w:rFonts w:eastAsiaTheme="minorEastAsia"/>
          <w:bCs/>
          <w:color w:val="000000" w:themeColor="text1"/>
          <w:szCs w:val="20"/>
        </w:rPr>
        <w:t xml:space="preserve">(1) As part of a comprehensive strategy to reduce sugar consumption where this is harmful to health, and to better incorporate related health and social costs into its price; from 1 July 2022 a two-tier volumetric ‘sugar tax’ should be </w:t>
      </w:r>
      <w:r w:rsidRPr="7B33A330">
        <w:rPr>
          <w:rFonts w:eastAsiaTheme="minorEastAsia"/>
          <w:bCs/>
          <w:color w:val="000000" w:themeColor="text1"/>
          <w:szCs w:val="20"/>
        </w:rPr>
        <w:lastRenderedPageBreak/>
        <w:t xml:space="preserve">introduced for water-based drinks with added sugar (excluding unsweetened fruit juices) at rates of 30 cents per </w:t>
      </w:r>
      <w:proofErr w:type="spellStart"/>
      <w:r w:rsidRPr="7B33A330">
        <w:rPr>
          <w:rFonts w:eastAsiaTheme="minorEastAsia"/>
          <w:bCs/>
          <w:color w:val="000000" w:themeColor="text1"/>
          <w:szCs w:val="20"/>
        </w:rPr>
        <w:t>litre</w:t>
      </w:r>
      <w:proofErr w:type="spellEnd"/>
      <w:r w:rsidRPr="7B33A330">
        <w:rPr>
          <w:rFonts w:eastAsiaTheme="minorEastAsia"/>
          <w:bCs/>
          <w:color w:val="000000" w:themeColor="text1"/>
          <w:szCs w:val="20"/>
        </w:rPr>
        <w:t xml:space="preserve"> for drinks with 5-8 grams of added sugar per 100ml, and 40 cents per </w:t>
      </w:r>
      <w:proofErr w:type="spellStart"/>
      <w:r w:rsidRPr="7B33A330">
        <w:rPr>
          <w:rFonts w:eastAsiaTheme="minorEastAsia"/>
          <w:bCs/>
          <w:color w:val="000000" w:themeColor="text1"/>
          <w:szCs w:val="20"/>
        </w:rPr>
        <w:t>litre</w:t>
      </w:r>
      <w:proofErr w:type="spellEnd"/>
      <w:r w:rsidRPr="7B33A330">
        <w:rPr>
          <w:rFonts w:eastAsiaTheme="minorEastAsia"/>
          <w:bCs/>
          <w:color w:val="000000" w:themeColor="text1"/>
          <w:szCs w:val="20"/>
        </w:rPr>
        <w:t xml:space="preserve"> for those with over 8 grams of added sugar per 100ml.</w:t>
      </w:r>
      <w:r>
        <w:br/>
      </w:r>
    </w:p>
    <w:p w14:paraId="2BE14328" w14:textId="77777777" w:rsidR="009734DD" w:rsidRDefault="009734DD" w:rsidP="009734DD">
      <w:pPr>
        <w:pStyle w:val="Recommendation"/>
        <w:rPr>
          <w:bCs/>
        </w:rPr>
      </w:pPr>
      <w:r w:rsidRPr="1B5AAA50">
        <w:rPr>
          <w:rFonts w:eastAsiaTheme="minorEastAsia"/>
          <w:bCs/>
          <w:color w:val="000000" w:themeColor="text1"/>
          <w:szCs w:val="20"/>
        </w:rPr>
        <w:t xml:space="preserve">(2) Revenue from this excise should be earmarked for expenditure on preventive health care services, health promotion schemes </w:t>
      </w:r>
      <w:proofErr w:type="spellStart"/>
      <w:r w:rsidRPr="1B5AAA50">
        <w:rPr>
          <w:rFonts w:eastAsiaTheme="minorEastAsia"/>
          <w:bCs/>
          <w:color w:val="000000" w:themeColor="text1"/>
          <w:szCs w:val="20"/>
        </w:rPr>
        <w:t>focussing</w:t>
      </w:r>
      <w:proofErr w:type="spellEnd"/>
      <w:r w:rsidRPr="1B5AAA50">
        <w:rPr>
          <w:rFonts w:eastAsiaTheme="minorEastAsia"/>
          <w:bCs/>
          <w:color w:val="000000" w:themeColor="text1"/>
          <w:szCs w:val="20"/>
        </w:rPr>
        <w:t xml:space="preserve"> on healthy eating and fitness, fitness programs for children and young people, and a fresh food transport subsidy for remote areas. </w:t>
      </w:r>
    </w:p>
    <w:p w14:paraId="7BDA2E8B" w14:textId="77777777" w:rsidR="009734DD" w:rsidRDefault="009734DD" w:rsidP="009734DD">
      <w:pPr>
        <w:pStyle w:val="Recommendation"/>
        <w:rPr>
          <w:rFonts w:eastAsiaTheme="minorEastAsia"/>
          <w:bCs/>
          <w:color w:val="000000" w:themeColor="text1"/>
          <w:szCs w:val="20"/>
        </w:rPr>
      </w:pPr>
    </w:p>
    <w:p w14:paraId="7C38829A" w14:textId="77777777" w:rsidR="009734DD" w:rsidRDefault="009734DD" w:rsidP="009734DD">
      <w:pPr>
        <w:pStyle w:val="Recommendation"/>
        <w:rPr>
          <w:rFonts w:eastAsiaTheme="minorEastAsia"/>
          <w:bCs/>
          <w:i/>
          <w:color w:val="000000" w:themeColor="text1"/>
          <w:szCs w:val="20"/>
        </w:rPr>
      </w:pPr>
      <w:r>
        <w:rPr>
          <w:rFonts w:eastAsiaTheme="minorEastAsia"/>
          <w:bCs/>
          <w:color w:val="C00000"/>
          <w:szCs w:val="20"/>
        </w:rPr>
        <w:t>Budget impact</w:t>
      </w:r>
      <w:r w:rsidRPr="007376C2">
        <w:rPr>
          <w:rFonts w:eastAsiaTheme="minorEastAsia"/>
          <w:bCs/>
          <w:color w:val="C00000"/>
          <w:szCs w:val="20"/>
        </w:rPr>
        <w:t xml:space="preserve">: </w:t>
      </w:r>
      <w:r w:rsidRPr="00A80C9F">
        <w:rPr>
          <w:rFonts w:eastAsiaTheme="minorEastAsia"/>
          <w:bCs/>
          <w:i/>
          <w:color w:val="000000" w:themeColor="text1"/>
          <w:szCs w:val="20"/>
        </w:rPr>
        <w:t>$0 million ($500 million in 2022-23)</w:t>
      </w:r>
    </w:p>
    <w:p w14:paraId="1EF754BE" w14:textId="77777777" w:rsidR="009734DD" w:rsidRPr="000C6B7B" w:rsidRDefault="009734DD" w:rsidP="009734DD">
      <w:pPr>
        <w:pStyle w:val="ListNumber"/>
        <w:numPr>
          <w:ilvl w:val="0"/>
          <w:numId w:val="0"/>
        </w:numPr>
        <w:ind w:left="360" w:hanging="360"/>
      </w:pPr>
    </w:p>
    <w:p w14:paraId="117ACE2D" w14:textId="57BD891F" w:rsidR="009734DD" w:rsidRDefault="009734DD" w:rsidP="009734DD">
      <w:pPr>
        <w:pStyle w:val="Recommendation"/>
        <w:keepNext/>
      </w:pPr>
      <w:r>
        <w:rPr>
          <w:color w:val="C00000"/>
        </w:rPr>
        <w:t>Recommendation 52</w:t>
      </w:r>
      <w:r w:rsidRPr="007376C2">
        <w:rPr>
          <w:color w:val="C00000"/>
        </w:rPr>
        <w:t xml:space="preserve">: </w:t>
      </w:r>
      <w:r w:rsidRPr="003767B4">
        <w:rPr>
          <w:color w:val="000000" w:themeColor="text1"/>
        </w:rPr>
        <w:t xml:space="preserve">Tax drinks consistently </w:t>
      </w:r>
      <w:proofErr w:type="gramStart"/>
      <w:r w:rsidRPr="003767B4">
        <w:rPr>
          <w:color w:val="000000" w:themeColor="text1"/>
        </w:rPr>
        <w:t>on the basis of</w:t>
      </w:r>
      <w:proofErr w:type="gramEnd"/>
      <w:r w:rsidRPr="003767B4">
        <w:rPr>
          <w:color w:val="000000" w:themeColor="text1"/>
        </w:rPr>
        <w:t xml:space="preserve"> alcohol content</w:t>
      </w:r>
      <w:r>
        <w:br/>
      </w:r>
    </w:p>
    <w:p w14:paraId="2F443CF6" w14:textId="77777777" w:rsidR="009734DD" w:rsidRDefault="009734DD" w:rsidP="009734DD">
      <w:pPr>
        <w:pStyle w:val="ListNumber"/>
        <w:numPr>
          <w:ilvl w:val="0"/>
          <w:numId w:val="0"/>
        </w:numPr>
        <w:spacing w:after="0"/>
        <w:rPr>
          <w:b/>
          <w:bCs/>
        </w:rPr>
      </w:pPr>
      <w:r w:rsidRPr="7B33A330">
        <w:rPr>
          <w:b/>
          <w:bCs/>
        </w:rPr>
        <w:t xml:space="preserve">(1) As part of a comprehensive strategy to reduce alcohol consumption where this is harmful to health, and to better incorporate related health and social costs into its price, from 1 July 2022 the WET and WET Rebate should be </w:t>
      </w:r>
      <w:proofErr w:type="gramStart"/>
      <w:r w:rsidRPr="7B33A330">
        <w:rPr>
          <w:b/>
          <w:bCs/>
        </w:rPr>
        <w:t>abolished</w:t>
      </w:r>
      <w:proofErr w:type="gramEnd"/>
      <w:r w:rsidRPr="7B33A330">
        <w:rPr>
          <w:b/>
          <w:bCs/>
        </w:rPr>
        <w:t xml:space="preserve"> and wine should be taxed at a uniform rate of $56 per </w:t>
      </w:r>
      <w:proofErr w:type="spellStart"/>
      <w:r w:rsidRPr="7B33A330">
        <w:rPr>
          <w:b/>
          <w:bCs/>
        </w:rPr>
        <w:t>litre</w:t>
      </w:r>
      <w:proofErr w:type="spellEnd"/>
      <w:r w:rsidRPr="7B33A330">
        <w:rPr>
          <w:b/>
          <w:bCs/>
        </w:rPr>
        <w:t xml:space="preserve"> of alcohol content and ciders at $33 per </w:t>
      </w:r>
      <w:proofErr w:type="spellStart"/>
      <w:r w:rsidRPr="7B33A330">
        <w:rPr>
          <w:b/>
          <w:bCs/>
        </w:rPr>
        <w:t>litre</w:t>
      </w:r>
      <w:proofErr w:type="spellEnd"/>
      <w:r w:rsidRPr="7B33A330">
        <w:rPr>
          <w:b/>
          <w:bCs/>
        </w:rPr>
        <w:t>.</w:t>
      </w:r>
      <w:r>
        <w:br/>
      </w:r>
    </w:p>
    <w:p w14:paraId="67E36E13" w14:textId="77777777" w:rsidR="009734DD" w:rsidRDefault="009734DD" w:rsidP="009734DD">
      <w:pPr>
        <w:pStyle w:val="ListNumber"/>
        <w:numPr>
          <w:ilvl w:val="0"/>
          <w:numId w:val="0"/>
        </w:numPr>
        <w:spacing w:after="0"/>
      </w:pPr>
      <w:r w:rsidRPr="5A3FAC9D">
        <w:rPr>
          <w:b/>
          <w:bCs/>
        </w:rPr>
        <w:t xml:space="preserve">(2) The revenue from this excise should be earmarked for expenditure on preventive health care services, including prevention of </w:t>
      </w:r>
      <w:proofErr w:type="spellStart"/>
      <w:r w:rsidRPr="5A3FAC9D">
        <w:rPr>
          <w:b/>
          <w:bCs/>
        </w:rPr>
        <w:t>foetal</w:t>
      </w:r>
      <w:proofErr w:type="spellEnd"/>
      <w:r w:rsidRPr="5A3FAC9D">
        <w:rPr>
          <w:b/>
          <w:bCs/>
        </w:rPr>
        <w:t xml:space="preserve"> alcohol syndrome.</w:t>
      </w:r>
    </w:p>
    <w:p w14:paraId="1B02BE66" w14:textId="77777777" w:rsidR="009734DD" w:rsidRDefault="009734DD" w:rsidP="009734DD">
      <w:pPr>
        <w:pStyle w:val="ListNumber"/>
        <w:numPr>
          <w:ilvl w:val="0"/>
          <w:numId w:val="0"/>
        </w:numPr>
        <w:spacing w:after="0"/>
        <w:rPr>
          <w:b/>
          <w:bCs/>
        </w:rPr>
      </w:pPr>
    </w:p>
    <w:p w14:paraId="534F0D52" w14:textId="77777777" w:rsidR="009734DD" w:rsidRDefault="009734DD" w:rsidP="009734DD">
      <w:pPr>
        <w:pStyle w:val="ListNumber"/>
        <w:numPr>
          <w:ilvl w:val="0"/>
          <w:numId w:val="0"/>
        </w:numPr>
        <w:spacing w:after="0"/>
        <w:rPr>
          <w:rFonts w:eastAsiaTheme="minorEastAsia"/>
          <w:b/>
          <w:bCs/>
          <w:szCs w:val="20"/>
        </w:rPr>
      </w:pPr>
      <w:r w:rsidRPr="007376C2">
        <w:rPr>
          <w:rFonts w:eastAsiaTheme="minorEastAsia"/>
          <w:b/>
          <w:bCs/>
          <w:color w:val="C00000"/>
          <w:szCs w:val="20"/>
        </w:rPr>
        <w:t>Budget impact:</w:t>
      </w:r>
      <w:r w:rsidRPr="003767B4">
        <w:rPr>
          <w:rFonts w:eastAsiaTheme="minorEastAsia"/>
          <w:b/>
          <w:bCs/>
          <w:color w:val="C00000"/>
          <w:szCs w:val="20"/>
        </w:rPr>
        <w:t xml:space="preserve"> </w:t>
      </w:r>
      <w:r w:rsidRPr="00A80C9F">
        <w:rPr>
          <w:rFonts w:eastAsiaTheme="minorEastAsia"/>
          <w:b/>
          <w:bCs/>
          <w:i/>
          <w:szCs w:val="20"/>
        </w:rPr>
        <w:t>$0 ($2,300 million in 2022-23)</w:t>
      </w:r>
    </w:p>
    <w:p w14:paraId="375CC868" w14:textId="77777777" w:rsidR="009734DD" w:rsidRDefault="009734DD" w:rsidP="5A3FAC9D">
      <w:pPr>
        <w:pStyle w:val="ListNumber"/>
        <w:numPr>
          <w:ilvl w:val="0"/>
          <w:numId w:val="0"/>
        </w:numPr>
      </w:pPr>
    </w:p>
    <w:sectPr w:rsidR="009734DD" w:rsidSect="004B5F8F">
      <w:pgSz w:w="11907" w:h="16839" w:code="9"/>
      <w:pgMar w:top="1440" w:right="1467" w:bottom="1440" w:left="1440" w:header="680"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D454C" w14:textId="77777777" w:rsidR="00325C4A" w:rsidRDefault="00325C4A" w:rsidP="00F03627">
      <w:pPr>
        <w:spacing w:after="0" w:line="240" w:lineRule="auto"/>
      </w:pPr>
      <w:r>
        <w:separator/>
      </w:r>
    </w:p>
  </w:endnote>
  <w:endnote w:type="continuationSeparator" w:id="0">
    <w:p w14:paraId="695D9413" w14:textId="77777777" w:rsidR="00325C4A" w:rsidRDefault="00325C4A" w:rsidP="00F03627">
      <w:pPr>
        <w:spacing w:after="0" w:line="240" w:lineRule="auto"/>
      </w:pPr>
      <w:r>
        <w:continuationSeparator/>
      </w:r>
    </w:p>
  </w:endnote>
  <w:endnote w:type="continuationNotice" w:id="1">
    <w:p w14:paraId="0333CF9C" w14:textId="77777777" w:rsidR="00325C4A" w:rsidRDefault="00325C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color w:val="auto"/>
        <w:sz w:val="22"/>
      </w:rPr>
      <w:id w:val="-1744171250"/>
      <w:docPartObj>
        <w:docPartGallery w:val="Page Numbers (Bottom of Page)"/>
        <w:docPartUnique/>
      </w:docPartObj>
    </w:sdtPr>
    <w:sdtEndPr>
      <w:rPr>
        <w:rFonts w:ascii="Palatino Linotype" w:eastAsiaTheme="majorEastAsia" w:hAnsi="Palatino Linotype" w:cstheme="majorBidi"/>
        <w:noProof/>
        <w:color w:val="000000" w:themeColor="text1"/>
        <w:sz w:val="24"/>
        <w:szCs w:val="40"/>
      </w:rPr>
    </w:sdtEndPr>
    <w:sdtContent>
      <w:p w14:paraId="5AC1C800" w14:textId="6B6B0167" w:rsidR="000C6B7B" w:rsidRPr="00E04A5F" w:rsidRDefault="000C6B7B" w:rsidP="00E04A5F">
        <w:pPr>
          <w:pStyle w:val="Footer"/>
          <w:jc w:val="center"/>
          <w:rPr>
            <w:rFonts w:ascii="Palatino Linotype" w:eastAsiaTheme="majorEastAsia" w:hAnsi="Palatino Linotype" w:cstheme="majorBidi"/>
            <w:sz w:val="24"/>
            <w:szCs w:val="40"/>
          </w:rPr>
        </w:pPr>
        <w:r w:rsidRPr="00E04A5F">
          <w:rPr>
            <w:rFonts w:ascii="Palatino Linotype" w:eastAsiaTheme="minorEastAsia" w:hAnsi="Palatino Linotype" w:cs="Times New Roman"/>
            <w:color w:val="2B579A"/>
            <w:sz w:val="14"/>
            <w:shd w:val="clear" w:color="auto" w:fill="E6E6E6"/>
          </w:rPr>
          <w:fldChar w:fldCharType="begin"/>
        </w:r>
        <w:r w:rsidRPr="00E04A5F">
          <w:rPr>
            <w:rFonts w:ascii="Palatino Linotype" w:hAnsi="Palatino Linotype"/>
            <w:sz w:val="12"/>
          </w:rPr>
          <w:instrText xml:space="preserve"> PAGE   \* MERGEFORMAT </w:instrText>
        </w:r>
        <w:r w:rsidRPr="00E04A5F">
          <w:rPr>
            <w:rFonts w:ascii="Palatino Linotype" w:eastAsiaTheme="minorEastAsia" w:hAnsi="Palatino Linotype" w:cs="Times New Roman"/>
            <w:color w:val="2B579A"/>
            <w:sz w:val="14"/>
            <w:shd w:val="clear" w:color="auto" w:fill="E6E6E6"/>
          </w:rPr>
          <w:fldChar w:fldCharType="separate"/>
        </w:r>
        <w:r w:rsidR="005A6230" w:rsidRPr="005A6230">
          <w:rPr>
            <w:rFonts w:ascii="Palatino Linotype" w:eastAsiaTheme="majorEastAsia" w:hAnsi="Palatino Linotype" w:cstheme="majorBidi"/>
            <w:noProof/>
            <w:sz w:val="24"/>
            <w:szCs w:val="40"/>
          </w:rPr>
          <w:t>61</w:t>
        </w:r>
        <w:r w:rsidRPr="00E04A5F">
          <w:rPr>
            <w:rFonts w:ascii="Palatino Linotype" w:eastAsiaTheme="majorEastAsia" w:hAnsi="Palatino Linotype" w:cstheme="majorBidi"/>
            <w:noProof/>
            <w:color w:val="2B579A"/>
            <w:sz w:val="24"/>
            <w:szCs w:val="40"/>
            <w:shd w:val="clear" w:color="auto" w:fill="E6E6E6"/>
          </w:rPr>
          <w:fldChar w:fldCharType="end"/>
        </w:r>
      </w:p>
    </w:sdtContent>
  </w:sdt>
  <w:p w14:paraId="46ABBD8F" w14:textId="77777777" w:rsidR="000C6B7B" w:rsidRPr="00342678" w:rsidRDefault="000C6B7B" w:rsidP="00342678">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2AD6" w14:textId="77777777" w:rsidR="000C6B7B" w:rsidRDefault="000C6B7B" w:rsidP="00194073">
    <w:pPr>
      <w:pStyle w:val="Footer"/>
      <w:jc w:val="center"/>
      <w:rPr>
        <w:rFonts w:asciiTheme="minorHAnsi" w:eastAsiaTheme="minorEastAsia" w:hAnsiTheme="minorHAnsi" w:cs="Times New Roman"/>
        <w:color w:val="auto"/>
        <w:sz w:val="22"/>
      </w:rPr>
    </w:pPr>
    <w:r>
      <w:rPr>
        <w:sz w:val="16"/>
      </w:rPr>
      <w:t xml:space="preserve">© </w:t>
    </w:r>
    <w:r w:rsidRPr="00BD087C">
      <w:rPr>
        <w:sz w:val="16"/>
      </w:rPr>
      <w:t>ACOSS</w:t>
    </w:r>
    <w:r>
      <w:rPr>
        <w:sz w:val="16"/>
      </w:rPr>
      <w:t xml:space="preserve"> 2020, </w:t>
    </w:r>
    <w:r w:rsidRPr="00BD087C">
      <w:rPr>
        <w:sz w:val="16"/>
      </w:rPr>
      <w:t>Locked Bag</w:t>
    </w:r>
    <w:r>
      <w:rPr>
        <w:sz w:val="16"/>
      </w:rPr>
      <w:t xml:space="preserve"> 4777 Strawberry Hills NSW 2012</w:t>
    </w:r>
    <w:r>
      <w:rPr>
        <w:sz w:val="16"/>
      </w:rPr>
      <w:br/>
    </w:r>
    <w:r w:rsidRPr="00BD087C">
      <w:rPr>
        <w:sz w:val="16"/>
      </w:rPr>
      <w:t>Ph (</w:t>
    </w:r>
    <w:r>
      <w:rPr>
        <w:sz w:val="16"/>
      </w:rPr>
      <w:t>02) 9310 6200</w:t>
    </w:r>
    <w:r w:rsidRPr="00BD087C">
      <w:rPr>
        <w:sz w:val="16"/>
      </w:rPr>
      <w:t xml:space="preserve"> </w:t>
    </w:r>
    <w:r>
      <w:rPr>
        <w:sz w:val="16"/>
      </w:rPr>
      <w:t xml:space="preserve">E: </w:t>
    </w:r>
    <w:hyperlink r:id="rId1" w:history="1">
      <w:r w:rsidRPr="00292056">
        <w:rPr>
          <w:rStyle w:val="Hyperlink"/>
          <w:b/>
          <w:sz w:val="16"/>
        </w:rPr>
        <w:t>info@acoss.org.au</w:t>
      </w:r>
    </w:hyperlink>
    <w:r>
      <w:rPr>
        <w:b/>
        <w:sz w:val="16"/>
      </w:rPr>
      <w:br/>
    </w:r>
    <w:hyperlink r:id="rId2" w:history="1">
      <w:r w:rsidRPr="00E0392A">
        <w:rPr>
          <w:rStyle w:val="Hyperlink"/>
          <w:b/>
          <w:sz w:val="16"/>
        </w:rPr>
        <w:t>www.acoss.org.au</w:t>
      </w:r>
    </w:hyperlink>
    <w:r>
      <w:rPr>
        <w:b/>
        <w:sz w:val="16"/>
      </w:rPr>
      <w:br/>
    </w:r>
    <w:r w:rsidRPr="00BD087C">
      <w:rPr>
        <w:sz w:val="16"/>
      </w:rPr>
      <w:t>ISSN</w:t>
    </w:r>
    <w:r>
      <w:rPr>
        <w:sz w:val="16"/>
      </w:rPr>
      <w:t>:</w:t>
    </w:r>
    <w:r w:rsidRPr="00BD087C">
      <w:rPr>
        <w:sz w:val="16"/>
      </w:rPr>
      <w:t xml:space="preserve"> 1326 7124</w:t>
    </w:r>
  </w:p>
  <w:sdt>
    <w:sdtPr>
      <w:rPr>
        <w:rFonts w:asciiTheme="minorHAnsi" w:eastAsiaTheme="minorEastAsia" w:hAnsiTheme="minorHAnsi" w:cs="Times New Roman"/>
        <w:color w:val="auto"/>
        <w:sz w:val="22"/>
        <w:shd w:val="clear" w:color="auto" w:fill="E6E6E6"/>
      </w:rPr>
      <w:id w:val="-691598389"/>
      <w:docPartObj>
        <w:docPartGallery w:val="Page Numbers (Bottom of Page)"/>
        <w:docPartUnique/>
      </w:docPartObj>
    </w:sdtPr>
    <w:sdtEndPr>
      <w:rPr>
        <w:rFonts w:asciiTheme="majorHAnsi" w:eastAsiaTheme="majorEastAsia" w:hAnsiTheme="majorHAnsi" w:cstheme="majorBidi"/>
        <w:noProof/>
        <w:color w:val="000000" w:themeColor="text1"/>
        <w:sz w:val="40"/>
        <w:szCs w:val="40"/>
      </w:rPr>
    </w:sdtEndPr>
    <w:sdtContent>
      <w:p w14:paraId="54738AF4" w14:textId="77777777" w:rsidR="000C6B7B" w:rsidRPr="00B1504F" w:rsidRDefault="000C6B7B">
        <w:pPr>
          <w:pStyle w:val="Footer"/>
          <w:jc w:val="right"/>
          <w:rPr>
            <w:rFonts w:ascii="Palatino Linotype" w:eastAsiaTheme="majorEastAsia" w:hAnsi="Palatino Linotype" w:cstheme="majorBidi"/>
            <w:b/>
            <w:noProof/>
            <w:sz w:val="40"/>
            <w:szCs w:val="40"/>
          </w:rPr>
        </w:pPr>
      </w:p>
      <w:p w14:paraId="59B53C13" w14:textId="77777777" w:rsidR="000C6B7B" w:rsidRPr="00A02EC9" w:rsidRDefault="000C6B7B" w:rsidP="008333B4">
        <w:pPr>
          <w:pStyle w:val="Footer"/>
          <w:tabs>
            <w:tab w:val="clear" w:pos="4680"/>
            <w:tab w:val="center" w:pos="4666"/>
          </w:tabs>
          <w:jc w:val="center"/>
        </w:pPr>
        <w:r w:rsidRPr="00A02EC9">
          <w:rPr>
            <w:noProof/>
            <w:color w:val="2B579A"/>
            <w:shd w:val="clear" w:color="auto" w:fill="E6E6E6"/>
            <w:lang w:val="en-AU" w:eastAsia="en-AU"/>
          </w:rPr>
          <w:drawing>
            <wp:anchor distT="0" distB="0" distL="114300" distR="114300" simplePos="0" relativeHeight="251658241" behindDoc="1" locked="1" layoutInCell="1" allowOverlap="1" wp14:anchorId="304C8788" wp14:editId="02F83431">
              <wp:simplePos x="0" y="0"/>
              <wp:positionH relativeFrom="page">
                <wp:align>right</wp:align>
              </wp:positionH>
              <wp:positionV relativeFrom="page">
                <wp:align>top</wp:align>
              </wp:positionV>
              <wp:extent cx="916940" cy="916940"/>
              <wp:effectExtent l="0" t="0" r="0" b="0"/>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6940" cy="91694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E8501" w14:textId="77777777" w:rsidR="00325C4A" w:rsidRDefault="00325C4A" w:rsidP="00F03627">
      <w:pPr>
        <w:spacing w:after="0" w:line="240" w:lineRule="auto"/>
      </w:pPr>
      <w:r>
        <w:separator/>
      </w:r>
    </w:p>
  </w:footnote>
  <w:footnote w:type="continuationSeparator" w:id="0">
    <w:p w14:paraId="19C02179" w14:textId="77777777" w:rsidR="00325C4A" w:rsidRDefault="00325C4A" w:rsidP="00F03627">
      <w:pPr>
        <w:spacing w:after="0" w:line="240" w:lineRule="auto"/>
      </w:pPr>
      <w:r>
        <w:continuationSeparator/>
      </w:r>
    </w:p>
  </w:footnote>
  <w:footnote w:type="continuationNotice" w:id="1">
    <w:p w14:paraId="3C199BFA" w14:textId="77777777" w:rsidR="00325C4A" w:rsidRDefault="00325C4A">
      <w:pPr>
        <w:spacing w:after="0" w:line="240" w:lineRule="auto"/>
      </w:pPr>
    </w:p>
  </w:footnote>
  <w:footnote w:id="2">
    <w:p w14:paraId="3A712BE5" w14:textId="54D761C9" w:rsidR="004155E9" w:rsidRDefault="004155E9">
      <w:pPr>
        <w:pStyle w:val="FootnoteText"/>
      </w:pPr>
      <w:r>
        <w:rPr>
          <w:rStyle w:val="FootnoteReference"/>
        </w:rPr>
        <w:footnoteRef/>
      </w:r>
      <w:r>
        <w:t xml:space="preserve"> The letters are available for download at </w:t>
      </w:r>
      <w:hyperlink r:id="rId1" w:history="1">
        <w:r w:rsidRPr="00294D92">
          <w:rPr>
            <w:rStyle w:val="Hyperlink"/>
          </w:rPr>
          <w:t>https://www.acoss.org.au/wp-content/uploads/2022/01/ACOSS-Letter-to-National-Cabinet-Wed-Jan12-2022.pdf</w:t>
        </w:r>
      </w:hyperlink>
      <w:r>
        <w:t xml:space="preserve"> and </w:t>
      </w:r>
      <w:hyperlink r:id="rId2" w:history="1">
        <w:r w:rsidRPr="00294D92">
          <w:rPr>
            <w:rStyle w:val="Hyperlink"/>
          </w:rPr>
          <w:t>https://www.acoss.org.au/wp-content/uploads/2022/01/270122-Second-Letter-to-National-Cabinet-re-actions-for-Omicron-FOR-MEDIA.pdf</w:t>
        </w:r>
      </w:hyperlink>
      <w:r>
        <w:t xml:space="preserve">. </w:t>
      </w:r>
    </w:p>
  </w:footnote>
  <w:footnote w:id="3">
    <w:p w14:paraId="34F72993" w14:textId="17188F43" w:rsidR="7807A5A5" w:rsidRDefault="7807A5A5" w:rsidP="294F0AC8">
      <w:pPr>
        <w:pStyle w:val="FootnoteText"/>
        <w:rPr>
          <w:rFonts w:eastAsia="Calibri" w:cs="Arial"/>
        </w:rPr>
      </w:pPr>
      <w:r w:rsidRPr="294F0AC8">
        <w:rPr>
          <w:rStyle w:val="FootnoteReference"/>
          <w:rFonts w:eastAsia="Verdana" w:cs="Verdana"/>
          <w:sz w:val="18"/>
          <w:szCs w:val="18"/>
        </w:rPr>
        <w:footnoteRef/>
      </w:r>
      <w:r w:rsidRPr="294F0AC8">
        <w:rPr>
          <w:rFonts w:eastAsia="Verdana" w:cs="Verdana"/>
          <w:sz w:val="18"/>
          <w:szCs w:val="18"/>
        </w:rPr>
        <w:t xml:space="preserve"> Payments to be increased </w:t>
      </w:r>
      <w:r w:rsidR="009D68C4" w:rsidRPr="294F0AC8">
        <w:rPr>
          <w:rFonts w:eastAsia="Verdana" w:cs="Verdana"/>
          <w:sz w:val="18"/>
          <w:szCs w:val="18"/>
        </w:rPr>
        <w:t>include</w:t>
      </w:r>
      <w:r w:rsidRPr="294F0AC8">
        <w:rPr>
          <w:rFonts w:eastAsia="Verdana" w:cs="Verdana"/>
          <w:sz w:val="18"/>
          <w:szCs w:val="18"/>
        </w:rPr>
        <w:t xml:space="preserve"> JobSeeker P</w:t>
      </w:r>
      <w:r w:rsidR="752A648E" w:rsidRPr="294F0AC8">
        <w:rPr>
          <w:rFonts w:eastAsia="Verdana" w:cs="Verdana"/>
          <w:sz w:val="18"/>
          <w:szCs w:val="18"/>
        </w:rPr>
        <w:t xml:space="preserve">ayment, Austudy, Abstudy, Youth Allowance (student and jobseeker), Special Benefit, Parenting Payment, Widow Allowance and Crisis Payment. </w:t>
      </w:r>
    </w:p>
  </w:footnote>
  <w:footnote w:id="4">
    <w:p w14:paraId="72606834" w14:textId="56377682" w:rsidR="280C9BAE" w:rsidRDefault="280C9BAE" w:rsidP="294F0AC8">
      <w:r w:rsidRPr="294F0AC8">
        <w:rPr>
          <w:rStyle w:val="FootnoteReference"/>
          <w:rFonts w:eastAsia="Verdana" w:cs="Verdana"/>
          <w:sz w:val="18"/>
          <w:szCs w:val="18"/>
        </w:rPr>
        <w:footnoteRef/>
      </w:r>
      <w:r w:rsidRPr="294F0AC8">
        <w:rPr>
          <w:rFonts w:eastAsia="Verdana" w:cs="Verdana"/>
          <w:sz w:val="18"/>
          <w:szCs w:val="18"/>
        </w:rPr>
        <w:t xml:space="preserve"> Li, J., Brown, L., La. H.N., Miranti, R., and Vidyattama, Y. (2019). </w:t>
      </w:r>
      <w:r w:rsidR="00E02A35">
        <w:rPr>
          <w:rFonts w:eastAsia="Verdana" w:cs="Verdana"/>
          <w:sz w:val="18"/>
          <w:szCs w:val="18"/>
        </w:rPr>
        <w:t>‘</w:t>
      </w:r>
      <w:r w:rsidRPr="294F0AC8">
        <w:rPr>
          <w:rFonts w:eastAsia="Verdana" w:cs="Verdana"/>
          <w:sz w:val="18"/>
          <w:szCs w:val="18"/>
        </w:rPr>
        <w:t>Inequalities In Standards of Living: Evidence for Improved Income Support for People with Disability</w:t>
      </w:r>
      <w:r w:rsidR="00E02A35">
        <w:rPr>
          <w:rFonts w:eastAsia="Verdana" w:cs="Verdana"/>
          <w:sz w:val="18"/>
          <w:szCs w:val="18"/>
        </w:rPr>
        <w:t>’</w:t>
      </w:r>
      <w:r w:rsidRPr="294F0AC8">
        <w:rPr>
          <w:rFonts w:eastAsia="Verdana" w:cs="Verdana"/>
          <w:sz w:val="18"/>
          <w:szCs w:val="18"/>
        </w:rPr>
        <w:t>. NATSEM, University of Canberra. Report commissioned by</w:t>
      </w:r>
      <w:r w:rsidR="00E02A35">
        <w:rPr>
          <w:rFonts w:eastAsia="Verdana" w:cs="Verdana"/>
          <w:sz w:val="18"/>
          <w:szCs w:val="18"/>
        </w:rPr>
        <w:t xml:space="preserve"> </w:t>
      </w:r>
      <w:r w:rsidRPr="294F0AC8">
        <w:rPr>
          <w:rFonts w:eastAsia="Verdana" w:cs="Verdana"/>
          <w:sz w:val="18"/>
          <w:szCs w:val="18"/>
        </w:rPr>
        <w:t>Australia</w:t>
      </w:r>
      <w:r w:rsidR="00E02A35">
        <w:rPr>
          <w:rFonts w:eastAsia="Verdana" w:cs="Verdana"/>
          <w:sz w:val="18"/>
          <w:szCs w:val="18"/>
        </w:rPr>
        <w:t>n</w:t>
      </w:r>
      <w:r w:rsidRPr="294F0AC8">
        <w:rPr>
          <w:rFonts w:eastAsia="Verdana" w:cs="Verdana"/>
          <w:sz w:val="18"/>
          <w:szCs w:val="18"/>
        </w:rPr>
        <w:t xml:space="preserve"> Federation of Disability Organisations. Sept</w:t>
      </w:r>
      <w:r w:rsidR="00E02A35">
        <w:rPr>
          <w:rFonts w:eastAsia="Verdana" w:cs="Verdana"/>
          <w:sz w:val="18"/>
          <w:szCs w:val="18"/>
        </w:rPr>
        <w:t>.</w:t>
      </w:r>
      <w:r w:rsidRPr="294F0AC8">
        <w:rPr>
          <w:rFonts w:eastAsia="Verdana" w:cs="Verdana"/>
          <w:sz w:val="18"/>
          <w:szCs w:val="18"/>
        </w:rPr>
        <w:t xml:space="preserve"> 2019.</w:t>
      </w:r>
    </w:p>
  </w:footnote>
  <w:footnote w:id="5">
    <w:p w14:paraId="41178710" w14:textId="7A78FC91" w:rsidR="280C9BAE" w:rsidRDefault="280C9BAE" w:rsidP="294F0AC8">
      <w:pPr>
        <w:pStyle w:val="FootnoteText"/>
      </w:pPr>
      <w:r w:rsidRPr="294F0AC8">
        <w:rPr>
          <w:rStyle w:val="FootnoteReference"/>
          <w:rFonts w:eastAsia="Verdana" w:cs="Verdana"/>
          <w:sz w:val="18"/>
          <w:szCs w:val="18"/>
        </w:rPr>
        <w:footnoteRef/>
      </w:r>
      <w:r w:rsidRPr="294F0AC8">
        <w:rPr>
          <w:rFonts w:eastAsia="Verdana" w:cs="Verdana"/>
          <w:sz w:val="18"/>
          <w:szCs w:val="18"/>
        </w:rPr>
        <w:t xml:space="preserve"> </w:t>
      </w:r>
      <w:r w:rsidR="00E02A35" w:rsidRPr="294F0AC8">
        <w:rPr>
          <w:rFonts w:eastAsia="Verdana" w:cs="Verdana"/>
          <w:sz w:val="18"/>
          <w:szCs w:val="18"/>
        </w:rPr>
        <w:t>Note that this figure is likely to be higher now to reflect increases in wages and cost of living since NATSEM modelled the gap in living standards.</w:t>
      </w:r>
    </w:p>
  </w:footnote>
  <w:footnote w:id="6">
    <w:p w14:paraId="41958A41" w14:textId="727AD35E" w:rsidR="006A3A0A" w:rsidRDefault="006A3A0A">
      <w:pPr>
        <w:pStyle w:val="FootnoteText"/>
      </w:pPr>
      <w:r>
        <w:rPr>
          <w:rStyle w:val="FootnoteReference"/>
        </w:rPr>
        <w:footnoteRef/>
      </w:r>
      <w:r>
        <w:t xml:space="preserve"> </w:t>
      </w:r>
      <w:r w:rsidRPr="294F0AC8">
        <w:rPr>
          <w:rFonts w:eastAsia="Verdana" w:cs="Verdana"/>
          <w:sz w:val="18"/>
          <w:szCs w:val="18"/>
        </w:rPr>
        <w:t>ACOSS (2020) ‘</w:t>
      </w:r>
      <w:hyperlink r:id="rId3" w:history="1">
        <w:r w:rsidRPr="006A3A0A">
          <w:rPr>
            <w:rStyle w:val="Hyperlink"/>
            <w:rFonts w:eastAsia="Verdana" w:cs="Verdana"/>
            <w:sz w:val="18"/>
            <w:szCs w:val="18"/>
          </w:rPr>
          <w:t>Poverty in Australia 2020, Part 2: Who is affected</w:t>
        </w:r>
      </w:hyperlink>
      <w:r w:rsidRPr="294F0AC8">
        <w:rPr>
          <w:rFonts w:eastAsia="Verdana" w:cs="Verdana"/>
          <w:sz w:val="18"/>
          <w:szCs w:val="18"/>
        </w:rPr>
        <w:t>?’ p.24</w:t>
      </w:r>
    </w:p>
  </w:footnote>
  <w:footnote w:id="7">
    <w:p w14:paraId="604D9B3C" w14:textId="05BB7C78" w:rsidR="006A3A0A" w:rsidRDefault="006A3A0A">
      <w:pPr>
        <w:pStyle w:val="FootnoteText"/>
      </w:pPr>
      <w:r>
        <w:rPr>
          <w:rStyle w:val="FootnoteReference"/>
        </w:rPr>
        <w:footnoteRef/>
      </w:r>
      <w:r>
        <w:t xml:space="preserve"> </w:t>
      </w:r>
      <w:r w:rsidRPr="294F0AC8">
        <w:rPr>
          <w:rFonts w:eastAsia="Verdana" w:cs="Verdana"/>
          <w:sz w:val="18"/>
          <w:szCs w:val="18"/>
        </w:rPr>
        <w:t>ACOSS, Ibid. p.23</w:t>
      </w:r>
      <w:r>
        <w:rPr>
          <w:rFonts w:eastAsia="Verdana" w:cs="Verdana"/>
          <w:sz w:val="18"/>
          <w:szCs w:val="18"/>
        </w:rPr>
        <w:t>.</w:t>
      </w:r>
    </w:p>
  </w:footnote>
  <w:footnote w:id="8">
    <w:p w14:paraId="4E26149C" w14:textId="1D6FB00F" w:rsidR="00E02A35" w:rsidRPr="00E02A35" w:rsidRDefault="00E02A35">
      <w:pPr>
        <w:pStyle w:val="FootnoteText"/>
        <w:rPr>
          <w:sz w:val="18"/>
          <w:szCs w:val="18"/>
          <w:lang w:val="en-GB"/>
        </w:rPr>
      </w:pPr>
      <w:r>
        <w:rPr>
          <w:rStyle w:val="FootnoteReference"/>
        </w:rPr>
        <w:footnoteRef/>
      </w:r>
      <w:r>
        <w:t xml:space="preserve"> </w:t>
      </w:r>
      <w:r w:rsidRPr="00E02A35">
        <w:rPr>
          <w:sz w:val="18"/>
          <w:szCs w:val="18"/>
        </w:rPr>
        <w:t>Savings to be re-invested in community-led programs</w:t>
      </w:r>
      <w:r>
        <w:rPr>
          <w:sz w:val="18"/>
          <w:szCs w:val="18"/>
        </w:rPr>
        <w:t>.</w:t>
      </w:r>
    </w:p>
  </w:footnote>
  <w:footnote w:id="9">
    <w:p w14:paraId="08F2AC0E" w14:textId="049CA36C" w:rsidR="294F0AC8" w:rsidRDefault="294F0AC8" w:rsidP="294F0AC8">
      <w:pPr>
        <w:pStyle w:val="FootnoteText"/>
        <w:rPr>
          <w:rFonts w:eastAsia="Calibri" w:cs="Arial"/>
        </w:rPr>
      </w:pPr>
      <w:r w:rsidRPr="294F0AC8">
        <w:rPr>
          <w:rStyle w:val="FootnoteReference"/>
          <w:rFonts w:eastAsia="Verdana" w:cs="Verdana"/>
          <w:sz w:val="18"/>
          <w:szCs w:val="18"/>
        </w:rPr>
        <w:footnoteRef/>
      </w:r>
      <w:r w:rsidRPr="294F0AC8">
        <w:rPr>
          <w:rFonts w:eastAsia="Verdana" w:cs="Verdana"/>
          <w:sz w:val="18"/>
          <w:szCs w:val="18"/>
        </w:rPr>
        <w:t xml:space="preserve"> Deloitte Access Economics (2021) The economic impacts of the low-income national energy productivity program.  </w:t>
      </w:r>
      <w:hyperlink r:id="rId4">
        <w:r w:rsidRPr="294F0AC8">
          <w:rPr>
            <w:rStyle w:val="Hyperlink"/>
            <w:rFonts w:eastAsia="Verdana" w:cs="Verdana"/>
            <w:sz w:val="18"/>
            <w:szCs w:val="18"/>
          </w:rPr>
          <w:t>https://www.acoss.org.au/wp-content/uploads/2021/10/DAE-ACOSS_Economic_Impacts_of_NLEPP_Final_Report_211005.pdf</w:t>
        </w:r>
      </w:hyperlink>
      <w:r w:rsidRPr="294F0AC8">
        <w:rPr>
          <w:rFonts w:eastAsia="Verdana" w:cs="Verdana"/>
          <w:sz w:val="18"/>
          <w:szCs w:val="18"/>
        </w:rPr>
        <w:t xml:space="preserve"> </w:t>
      </w:r>
    </w:p>
  </w:footnote>
  <w:footnote w:id="10">
    <w:p w14:paraId="4F732A70" w14:textId="3266356E" w:rsidR="280C9BAE" w:rsidRDefault="280C9BAE" w:rsidP="294F0AC8">
      <w:pPr>
        <w:pStyle w:val="FootnoteText"/>
        <w:rPr>
          <w:rFonts w:eastAsia="Calibri" w:cs="Arial"/>
        </w:rPr>
      </w:pPr>
      <w:r w:rsidRPr="294F0AC8">
        <w:rPr>
          <w:rStyle w:val="FootnoteReference"/>
          <w:rFonts w:eastAsia="Verdana" w:cs="Verdana"/>
          <w:sz w:val="18"/>
          <w:szCs w:val="18"/>
        </w:rPr>
        <w:footnoteRef/>
      </w:r>
      <w:r w:rsidRPr="294F0AC8">
        <w:rPr>
          <w:rFonts w:eastAsia="Verdana" w:cs="Verdana"/>
          <w:sz w:val="18"/>
          <w:szCs w:val="18"/>
        </w:rPr>
        <w:t xml:space="preserve"> </w:t>
      </w:r>
      <w:hyperlink r:id="rId5">
        <w:r w:rsidRPr="294F0AC8">
          <w:rPr>
            <w:rStyle w:val="Hyperlink"/>
            <w:rFonts w:eastAsia="Verdana" w:cs="Verdana"/>
            <w:sz w:val="18"/>
            <w:szCs w:val="18"/>
          </w:rPr>
          <w:t>https://www.acoss.org.au/wp-content/uploads/2021/08/Brief-Proposal-and-implementaion-plan-for-National-Low-income-Energy-Productivity-Program-September-2021.pdf</w:t>
        </w:r>
      </w:hyperlink>
      <w:r w:rsidRPr="294F0AC8">
        <w:rPr>
          <w:rFonts w:eastAsia="Verdana" w:cs="Verdana"/>
          <w:sz w:val="18"/>
          <w:szCs w:val="18"/>
        </w:rPr>
        <w:t xml:space="preserve"> </w:t>
      </w:r>
    </w:p>
  </w:footnote>
  <w:footnote w:id="11">
    <w:p w14:paraId="6A060EF2" w14:textId="45819E87" w:rsidR="280C9BAE" w:rsidRDefault="280C9BAE" w:rsidP="294F0AC8">
      <w:pPr>
        <w:pStyle w:val="FootnoteText"/>
        <w:rPr>
          <w:rFonts w:eastAsia="Calibri" w:cs="Arial"/>
        </w:rPr>
      </w:pPr>
      <w:r w:rsidRPr="294F0AC8">
        <w:rPr>
          <w:rStyle w:val="FootnoteReference"/>
          <w:rFonts w:eastAsia="Verdana" w:cs="Verdana"/>
          <w:sz w:val="18"/>
          <w:szCs w:val="18"/>
        </w:rPr>
        <w:footnoteRef/>
      </w:r>
      <w:r w:rsidRPr="294F0AC8">
        <w:rPr>
          <w:rFonts w:eastAsia="Verdana" w:cs="Verdana"/>
          <w:sz w:val="18"/>
          <w:szCs w:val="18"/>
        </w:rPr>
        <w:t xml:space="preserve"> AER (2021) Annual retail markets report 2020-21 </w:t>
      </w:r>
      <w:hyperlink r:id="rId6">
        <w:r w:rsidRPr="294F0AC8">
          <w:rPr>
            <w:rStyle w:val="Hyperlink"/>
            <w:rFonts w:eastAsia="Verdana" w:cs="Verdana"/>
            <w:sz w:val="18"/>
            <w:szCs w:val="18"/>
          </w:rPr>
          <w:t>https://www.aer.gov.au/retail-markets/performance-reporting/annual-retail-markets-report-2020%E2%80%9321</w:t>
        </w:r>
      </w:hyperlink>
      <w:r w:rsidRPr="294F0AC8">
        <w:rPr>
          <w:rFonts w:eastAsia="Verdana" w:cs="Verdana"/>
          <w:sz w:val="18"/>
          <w:szCs w:val="18"/>
        </w:rPr>
        <w:t xml:space="preserve"> </w:t>
      </w:r>
    </w:p>
  </w:footnote>
  <w:footnote w:id="12">
    <w:p w14:paraId="0138D39C" w14:textId="266DB743" w:rsidR="280C9BAE" w:rsidRDefault="280C9BAE" w:rsidP="294F0AC8">
      <w:pPr>
        <w:pStyle w:val="FootnoteText"/>
        <w:rPr>
          <w:sz w:val="16"/>
          <w:szCs w:val="16"/>
        </w:rPr>
      </w:pPr>
      <w:r w:rsidRPr="294F0AC8">
        <w:rPr>
          <w:rStyle w:val="FootnoteReference"/>
          <w:rFonts w:eastAsia="Verdana" w:cs="Verdana"/>
          <w:sz w:val="18"/>
          <w:szCs w:val="18"/>
        </w:rPr>
        <w:footnoteRef/>
      </w:r>
      <w:r w:rsidRPr="294F0AC8">
        <w:rPr>
          <w:rFonts w:eastAsia="Verdana" w:cs="Verdana"/>
          <w:sz w:val="18"/>
          <w:szCs w:val="18"/>
        </w:rPr>
        <w:t xml:space="preserve"> Based on analysis of budget proposals of ALP and Greens, ACOSS proposes $15 million over 4 years, assuming less costs in first year of establishing the Just Transition Authority and programs.</w:t>
      </w:r>
    </w:p>
  </w:footnote>
  <w:footnote w:id="13">
    <w:p w14:paraId="0C5698DF" w14:textId="1BDE2853" w:rsidR="280C9BAE" w:rsidRDefault="280C9BAE" w:rsidP="294F0AC8">
      <w:pPr>
        <w:pStyle w:val="FootnoteText"/>
        <w:rPr>
          <w:rFonts w:eastAsia="Calibri" w:cs="Arial"/>
        </w:rPr>
      </w:pPr>
      <w:r w:rsidRPr="294F0AC8">
        <w:rPr>
          <w:rStyle w:val="FootnoteReference"/>
          <w:rFonts w:eastAsia="Verdana" w:cs="Verdana"/>
          <w:sz w:val="18"/>
          <w:szCs w:val="18"/>
        </w:rPr>
        <w:footnoteRef/>
      </w:r>
      <w:r w:rsidRPr="294F0AC8">
        <w:rPr>
          <w:rFonts w:eastAsia="Verdana" w:cs="Verdana"/>
          <w:sz w:val="18"/>
          <w:szCs w:val="18"/>
        </w:rPr>
        <w:t xml:space="preserve"> Australian Consumer and Competition Commission (2018) </w:t>
      </w:r>
      <w:hyperlink r:id="rId7">
        <w:r w:rsidRPr="294F0AC8">
          <w:rPr>
            <w:rStyle w:val="Hyperlink"/>
            <w:rFonts w:eastAsia="Verdana" w:cs="Verdana"/>
            <w:sz w:val="18"/>
            <w:szCs w:val="18"/>
          </w:rPr>
          <w:t>https://www.accc.gov.au/system/files/Retail%20Electricity%20Pricing%20Inquiry%e2%80%94Final%20Report%20June%202018_Exec%20summary.pdf</w:t>
        </w:r>
      </w:hyperlink>
      <w:r w:rsidRPr="294F0AC8">
        <w:rPr>
          <w:rFonts w:eastAsia="Verdana" w:cs="Verdana"/>
          <w:sz w:val="18"/>
          <w:szCs w:val="18"/>
        </w:rPr>
        <w:t xml:space="preserve"> recommendation 24.</w:t>
      </w:r>
    </w:p>
  </w:footnote>
  <w:footnote w:id="14">
    <w:p w14:paraId="6A27CFCD" w14:textId="04C6A37D" w:rsidR="000C6B7B" w:rsidRPr="00600920" w:rsidRDefault="000C6B7B" w:rsidP="294F0AC8">
      <w:pPr>
        <w:pStyle w:val="FootnoteText"/>
        <w:rPr>
          <w:sz w:val="16"/>
          <w:szCs w:val="16"/>
        </w:rPr>
      </w:pPr>
      <w:r w:rsidRPr="294F0AC8">
        <w:rPr>
          <w:rStyle w:val="FootnoteReference"/>
          <w:rFonts w:eastAsia="Verdana" w:cs="Verdana"/>
          <w:sz w:val="18"/>
          <w:szCs w:val="18"/>
        </w:rPr>
        <w:footnoteRef/>
      </w:r>
      <w:r w:rsidRPr="294F0AC8">
        <w:rPr>
          <w:rFonts w:eastAsia="Verdana" w:cs="Verdana"/>
          <w:sz w:val="18"/>
          <w:szCs w:val="18"/>
        </w:rPr>
        <w:t xml:space="preserve"> Calculations based on small-scale technology certificate (STC) forecast modelling produced for the Clean Energy Regulator by Jacobs </w:t>
      </w:r>
      <w:hyperlink r:id="rId8">
        <w:r w:rsidR="280C9BAE" w:rsidRPr="294F0AC8">
          <w:rPr>
            <w:rStyle w:val="Hyperlink"/>
            <w:rFonts w:eastAsia="Verdana" w:cs="Verdana"/>
            <w:sz w:val="18"/>
            <w:szCs w:val="18"/>
          </w:rPr>
          <w:t>http://www.cleanenergyregulator.gov.au/DocumentAssets/Documents/STC%20modelling%20report%20by%20Jacobs%20-%20January%202021.pdf</w:t>
        </w:r>
      </w:hyperlink>
      <w:r w:rsidR="280C9BAE" w:rsidRPr="294F0AC8">
        <w:rPr>
          <w:rFonts w:eastAsia="Verdana" w:cs="Verdana"/>
          <w:sz w:val="18"/>
          <w:szCs w:val="18"/>
        </w:rPr>
        <w:t xml:space="preserve"> The number of forecasts certificates were multiplied by STC spot price of $38.95 (the 2021 STC spot price averaged around $38.95 and is projected to stay this same in 2022 </w:t>
      </w:r>
      <w:hyperlink r:id="rId9">
        <w:r w:rsidR="280C9BAE" w:rsidRPr="294F0AC8">
          <w:rPr>
            <w:rStyle w:val="Hyperlink"/>
            <w:rFonts w:eastAsia="Verdana" w:cs="Verdana"/>
            <w:sz w:val="18"/>
            <w:szCs w:val="18"/>
          </w:rPr>
          <w:t>https://www.demandmanager.com.au/certificate-prices/</w:t>
        </w:r>
      </w:hyperlink>
      <w:r w:rsidR="280C9BAE" w:rsidRPr="294F0AC8">
        <w:rPr>
          <w:rFonts w:eastAsia="Verdana" w:cs="Verdana"/>
          <w:sz w:val="18"/>
          <w:szCs w:val="18"/>
        </w:rPr>
        <w:t xml:space="preserve"> )</w:t>
      </w:r>
    </w:p>
  </w:footnote>
  <w:footnote w:id="15">
    <w:p w14:paraId="58011F01" w14:textId="26F6BA32" w:rsidR="280C9BAE" w:rsidRDefault="280C9BAE" w:rsidP="294F0AC8">
      <w:r w:rsidRPr="294F0AC8">
        <w:rPr>
          <w:rStyle w:val="FootnoteReference"/>
          <w:rFonts w:eastAsia="Verdana" w:cs="Verdana"/>
          <w:sz w:val="18"/>
          <w:szCs w:val="18"/>
        </w:rPr>
        <w:footnoteRef/>
      </w:r>
      <w:r w:rsidRPr="294F0AC8">
        <w:rPr>
          <w:rFonts w:eastAsia="Verdana" w:cs="Verdana"/>
          <w:sz w:val="18"/>
          <w:szCs w:val="18"/>
        </w:rPr>
        <w:t xml:space="preserve"> COSS has estimated costings based on an initial investment of $1 million outlay per community hub in yr 1 and $1.1 million in yr 2, to staff, accommodate and resource the hub. There are approximately 537 local councils. Bringing total cost to $537 million in 2021/22 and 590 million in 22/23. The federal Government contribute half the costs, matched by States.</w:t>
      </w:r>
    </w:p>
  </w:footnote>
  <w:footnote w:id="16">
    <w:p w14:paraId="353C9A20" w14:textId="67460FCF" w:rsidR="294F0AC8" w:rsidRDefault="294F0AC8" w:rsidP="294F0AC8">
      <w:pPr>
        <w:pStyle w:val="FootnoteText"/>
        <w:rPr>
          <w:rFonts w:eastAsia="Calibri" w:cs="Arial"/>
        </w:rPr>
      </w:pPr>
      <w:r w:rsidRPr="294F0AC8">
        <w:rPr>
          <w:rStyle w:val="FootnoteReference"/>
          <w:rFonts w:eastAsia="Verdana" w:cs="Verdana"/>
          <w:sz w:val="18"/>
          <w:szCs w:val="18"/>
        </w:rPr>
        <w:footnoteRef/>
      </w:r>
      <w:r w:rsidRPr="294F0AC8">
        <w:rPr>
          <w:rFonts w:eastAsia="Verdana" w:cs="Verdana"/>
          <w:sz w:val="18"/>
          <w:szCs w:val="18"/>
        </w:rPr>
        <w:t xml:space="preserve"> ACOSS has estimated costings based on there being 537 local councils and </w:t>
      </w:r>
      <w:r w:rsidR="0071485E">
        <w:rPr>
          <w:rFonts w:eastAsia="Verdana" w:cs="Verdana"/>
          <w:sz w:val="18"/>
          <w:szCs w:val="18"/>
        </w:rPr>
        <w:t>F</w:t>
      </w:r>
      <w:r w:rsidRPr="294F0AC8">
        <w:rPr>
          <w:rFonts w:eastAsia="Verdana" w:cs="Verdana"/>
          <w:sz w:val="18"/>
          <w:szCs w:val="18"/>
        </w:rPr>
        <w:t>ederal Government contribute a minimum $100,000 to each council</w:t>
      </w:r>
    </w:p>
    <w:p w14:paraId="45D8FE92" w14:textId="3E20B483" w:rsidR="294F0AC8" w:rsidRDefault="294F0AC8" w:rsidP="294F0AC8">
      <w:pPr>
        <w:pStyle w:val="FootnoteText"/>
        <w:rPr>
          <w:rFonts w:eastAsia="Calibri" w:cs="Arial"/>
        </w:rPr>
      </w:pPr>
    </w:p>
  </w:footnote>
  <w:footnote w:id="17">
    <w:p w14:paraId="67942E26" w14:textId="4CCEEFA8" w:rsidR="280C9BAE" w:rsidRDefault="280C9BAE" w:rsidP="294F0AC8">
      <w:pPr>
        <w:pStyle w:val="FootnoteText"/>
        <w:rPr>
          <w:rFonts w:eastAsia="Calibri" w:cs="Arial"/>
        </w:rPr>
      </w:pPr>
      <w:r w:rsidRPr="294F0AC8">
        <w:rPr>
          <w:rStyle w:val="FootnoteReference"/>
          <w:rFonts w:eastAsia="Verdana" w:cs="Verdana"/>
          <w:sz w:val="18"/>
          <w:szCs w:val="18"/>
        </w:rPr>
        <w:footnoteRef/>
      </w:r>
      <w:r w:rsidRPr="294F0AC8">
        <w:rPr>
          <w:rFonts w:eastAsia="Verdana" w:cs="Verdana"/>
          <w:sz w:val="18"/>
          <w:szCs w:val="18"/>
        </w:rPr>
        <w:t xml:space="preserve"> Insurance Council Data Hub </w:t>
      </w:r>
      <w:hyperlink r:id="rId10">
        <w:r w:rsidRPr="294F0AC8">
          <w:rPr>
            <w:rStyle w:val="Hyperlink"/>
            <w:rFonts w:eastAsia="Verdana" w:cs="Verdana"/>
            <w:sz w:val="18"/>
            <w:szCs w:val="18"/>
          </w:rPr>
          <w:t>https://insurancecouncil.com.au/industry-members/data-hub/</w:t>
        </w:r>
      </w:hyperlink>
      <w:r w:rsidRPr="294F0AC8">
        <w:rPr>
          <w:rFonts w:eastAsia="Verdana" w:cs="Verdana"/>
          <w:sz w:val="18"/>
          <w:szCs w:val="18"/>
        </w:rPr>
        <w:t xml:space="preserve"> </w:t>
      </w:r>
    </w:p>
  </w:footnote>
  <w:footnote w:id="18">
    <w:p w14:paraId="6DB9CCD4" w14:textId="01F9F22D" w:rsidR="280C9BAE" w:rsidRDefault="280C9BAE" w:rsidP="294F0AC8">
      <w:pPr>
        <w:pStyle w:val="FootnoteText"/>
        <w:rPr>
          <w:rFonts w:eastAsia="Calibri" w:cs="Arial"/>
        </w:rPr>
      </w:pPr>
      <w:r w:rsidRPr="294F0AC8">
        <w:rPr>
          <w:rStyle w:val="FootnoteReference"/>
          <w:rFonts w:eastAsia="Verdana" w:cs="Verdana"/>
          <w:sz w:val="18"/>
          <w:szCs w:val="18"/>
        </w:rPr>
        <w:footnoteRef/>
      </w:r>
      <w:r w:rsidRPr="294F0AC8">
        <w:rPr>
          <w:rFonts w:eastAsia="Verdana" w:cs="Verdana"/>
          <w:sz w:val="18"/>
          <w:szCs w:val="18"/>
        </w:rPr>
        <w:t xml:space="preserve"> Disaster Recovery Allowance recipients are currently ineligible to receive Commonwealth Rent Assistance</w:t>
      </w:r>
    </w:p>
  </w:footnote>
  <w:footnote w:id="19">
    <w:p w14:paraId="4FC8C8F3" w14:textId="1079AA14" w:rsidR="280C9BAE" w:rsidRDefault="280C9BAE" w:rsidP="294F0AC8">
      <w:pPr>
        <w:pStyle w:val="FootnoteText"/>
        <w:rPr>
          <w:rFonts w:eastAsia="Calibri" w:cs="Arial"/>
        </w:rPr>
      </w:pPr>
      <w:r w:rsidRPr="294F0AC8">
        <w:rPr>
          <w:rStyle w:val="FootnoteReference"/>
          <w:rFonts w:eastAsia="Verdana" w:cs="Verdana"/>
          <w:sz w:val="18"/>
          <w:szCs w:val="18"/>
        </w:rPr>
        <w:footnoteRef/>
      </w:r>
      <w:r w:rsidRPr="294F0AC8">
        <w:rPr>
          <w:rFonts w:eastAsia="Verdana" w:cs="Verdana"/>
          <w:sz w:val="18"/>
          <w:szCs w:val="18"/>
        </w:rPr>
        <w:t xml:space="preserve"> Costs are challenging to quantify, as they will be dependent on frequency of extreme weather events and numbers of people impacted.</w:t>
      </w:r>
    </w:p>
  </w:footnote>
  <w:footnote w:id="20">
    <w:p w14:paraId="72E94482" w14:textId="0BF6F459" w:rsidR="000C6B7B" w:rsidRPr="00600920" w:rsidRDefault="000C6B7B" w:rsidP="294F0AC8">
      <w:pPr>
        <w:pStyle w:val="FootnoteText"/>
        <w:rPr>
          <w:sz w:val="16"/>
          <w:szCs w:val="16"/>
        </w:rPr>
      </w:pPr>
      <w:r w:rsidRPr="294F0AC8">
        <w:rPr>
          <w:rStyle w:val="FootnoteReference"/>
          <w:rFonts w:eastAsia="Verdana" w:cs="Verdana"/>
          <w:sz w:val="18"/>
          <w:szCs w:val="18"/>
        </w:rPr>
        <w:footnoteRef/>
      </w:r>
      <w:r w:rsidRPr="294F0AC8">
        <w:rPr>
          <w:rFonts w:eastAsia="Verdana" w:cs="Verdana"/>
          <w:sz w:val="18"/>
          <w:szCs w:val="18"/>
        </w:rPr>
        <w:t xml:space="preserve"> ACOSS has estimated costings utilising an estimation of 14,000 community service organisations under DSS service provision. ACOSS has assumed up to 50% of these organisations would be required to participate in local disaster management at an average cost of $30,000 per organisation.</w:t>
      </w:r>
    </w:p>
  </w:footnote>
  <w:footnote w:id="21">
    <w:p w14:paraId="4D7B20EA" w14:textId="77777777" w:rsidR="000C6B7B" w:rsidRPr="00600920" w:rsidRDefault="000C6B7B" w:rsidP="294F0AC8">
      <w:pPr>
        <w:pStyle w:val="FootnoteText"/>
        <w:rPr>
          <w:sz w:val="16"/>
          <w:szCs w:val="16"/>
        </w:rPr>
      </w:pPr>
      <w:r w:rsidRPr="294F0AC8">
        <w:rPr>
          <w:rStyle w:val="FootnoteReference"/>
          <w:rFonts w:eastAsia="Verdana" w:cs="Verdana"/>
          <w:sz w:val="18"/>
          <w:szCs w:val="18"/>
        </w:rPr>
        <w:footnoteRef/>
      </w:r>
      <w:r w:rsidRPr="294F0AC8">
        <w:rPr>
          <w:rFonts w:eastAsia="Verdana" w:cs="Verdana"/>
          <w:sz w:val="18"/>
          <w:szCs w:val="18"/>
        </w:rPr>
        <w:t xml:space="preserve"> ACOSS has estimated costings utilising an estimation of 14,000 community service organisations under DSS service provision. ACOSS has assumed up to 20% a year may be affected by extreme weather events and estimate an average of up to $50,000 per organisation would be required to manage surge capacity, compensation for additional service provision, and enable community sector organisations to adapt and recover.</w:t>
      </w:r>
    </w:p>
  </w:footnote>
  <w:footnote w:id="22">
    <w:p w14:paraId="42747B5D" w14:textId="77777777" w:rsidR="280C9BAE" w:rsidRDefault="280C9BAE" w:rsidP="294F0AC8">
      <w:pPr>
        <w:pStyle w:val="FootnoteText"/>
        <w:rPr>
          <w:rFonts w:eastAsia="Verdana" w:cs="Verdana"/>
          <w:sz w:val="16"/>
          <w:szCs w:val="16"/>
        </w:rPr>
      </w:pPr>
      <w:r w:rsidRPr="294F0AC8">
        <w:rPr>
          <w:rStyle w:val="FootnoteReference"/>
          <w:rFonts w:eastAsia="Verdana" w:cs="Verdana"/>
          <w:sz w:val="18"/>
          <w:szCs w:val="18"/>
        </w:rPr>
        <w:footnoteRef/>
      </w:r>
      <w:r w:rsidRPr="294F0AC8">
        <w:rPr>
          <w:rFonts w:eastAsia="Verdana" w:cs="Verdana"/>
          <w:sz w:val="18"/>
          <w:szCs w:val="18"/>
        </w:rPr>
        <w:t xml:space="preserve"> ACOSS has estimated costings utilising an estimation of 14,000 community service organisations under DSS service provision. ACOSS has allowed for up to 25% of community sector organisations to access the fund a year at an average cost to deliver RediPlan for clients and other relevant plans of up to $50,000 per organisation</w:t>
      </w:r>
    </w:p>
  </w:footnote>
  <w:footnote w:id="23">
    <w:p w14:paraId="6E9EF69E" w14:textId="0BF7F0A1" w:rsidR="17E90595" w:rsidRDefault="17E90595" w:rsidP="294F0AC8">
      <w:pPr>
        <w:pStyle w:val="FootnoteText"/>
      </w:pPr>
      <w:r w:rsidRPr="294F0AC8">
        <w:rPr>
          <w:rStyle w:val="FootnoteReference"/>
          <w:rFonts w:eastAsia="Verdana" w:cs="Verdana"/>
          <w:sz w:val="18"/>
          <w:szCs w:val="18"/>
        </w:rPr>
        <w:footnoteRef/>
      </w:r>
      <w:r w:rsidRPr="294F0AC8">
        <w:rPr>
          <w:rFonts w:eastAsia="Verdana" w:cs="Verdana"/>
          <w:sz w:val="18"/>
          <w:szCs w:val="18"/>
        </w:rPr>
        <w:t xml:space="preserve"> </w:t>
      </w:r>
      <w:hyperlink r:id="rId11">
        <w:r w:rsidRPr="294F0AC8">
          <w:rPr>
            <w:rStyle w:val="Hyperlink"/>
            <w:rFonts w:eastAsia="Verdana" w:cs="Verdana"/>
            <w:sz w:val="18"/>
            <w:szCs w:val="18"/>
          </w:rPr>
          <w:t>https://www.jbwere.com.au/insights/news/2021/07/jbwere_nab_charitabl</w:t>
        </w:r>
      </w:hyperlink>
      <w:r w:rsidRPr="294F0AC8">
        <w:rPr>
          <w:rFonts w:eastAsia="Verdana" w:cs="Verdana"/>
          <w:sz w:val="18"/>
          <w:szCs w:val="18"/>
        </w:rPr>
        <w:t xml:space="preserve"> </w:t>
      </w:r>
    </w:p>
  </w:footnote>
  <w:footnote w:id="24">
    <w:p w14:paraId="325E0706" w14:textId="717B832F" w:rsidR="17E90595" w:rsidRDefault="17E90595" w:rsidP="294F0AC8">
      <w:pPr>
        <w:pStyle w:val="FootnoteText"/>
        <w:rPr>
          <w:rFonts w:eastAsia="Calibri" w:cs="Arial"/>
        </w:rPr>
      </w:pPr>
      <w:r w:rsidRPr="294F0AC8">
        <w:rPr>
          <w:rStyle w:val="FootnoteReference"/>
          <w:rFonts w:eastAsia="Verdana" w:cs="Verdana"/>
          <w:sz w:val="18"/>
          <w:szCs w:val="18"/>
        </w:rPr>
        <w:footnoteRef/>
      </w:r>
      <w:r w:rsidRPr="294F0AC8">
        <w:rPr>
          <w:rFonts w:eastAsia="Verdana" w:cs="Verdana"/>
          <w:sz w:val="18"/>
          <w:szCs w:val="18"/>
        </w:rPr>
        <w:t xml:space="preserve"> Cortis, N &amp; Blaxland, M (2020): Australia’s community sector and COVID-19: Supporting communities through the crisis. Sydney: ACOSS </w:t>
      </w:r>
      <w:hyperlink r:id="rId12">
        <w:r w:rsidRPr="294F0AC8">
          <w:rPr>
            <w:rStyle w:val="Hyperlink"/>
            <w:rFonts w:eastAsia="Verdana" w:cs="Verdana"/>
            <w:sz w:val="18"/>
            <w:szCs w:val="18"/>
          </w:rPr>
          <w:t>https://www.acoss.org.au/wp-content/uploads/2020/09/Australias-community-sector-and-Covid-19_FINAL.pdf</w:t>
        </w:r>
      </w:hyperlink>
    </w:p>
  </w:footnote>
  <w:footnote w:id="25">
    <w:p w14:paraId="0D1EDE92" w14:textId="3E524B7F" w:rsidR="17E90595" w:rsidRDefault="17E90595" w:rsidP="294F0AC8">
      <w:pPr>
        <w:pStyle w:val="FootnoteText"/>
        <w:rPr>
          <w:rFonts w:eastAsia="Calibri" w:cs="Arial"/>
        </w:rPr>
      </w:pPr>
      <w:r w:rsidRPr="294F0AC8">
        <w:rPr>
          <w:rStyle w:val="FootnoteReference"/>
          <w:rFonts w:eastAsia="Verdana" w:cs="Verdana"/>
          <w:sz w:val="18"/>
          <w:szCs w:val="18"/>
        </w:rPr>
        <w:footnoteRef/>
      </w:r>
      <w:r w:rsidRPr="294F0AC8">
        <w:rPr>
          <w:rFonts w:eastAsia="Verdana" w:cs="Verdana"/>
          <w:sz w:val="18"/>
          <w:szCs w:val="18"/>
        </w:rPr>
        <w:t xml:space="preserve"> </w:t>
      </w:r>
      <w:hyperlink r:id="rId13">
        <w:r w:rsidRPr="294F0AC8">
          <w:rPr>
            <w:rStyle w:val="Hyperlink"/>
            <w:rFonts w:eastAsia="Verdana" w:cs="Verdana"/>
            <w:sz w:val="18"/>
            <w:szCs w:val="18"/>
          </w:rPr>
          <w:t>https://www.jbwere.com.au/insights/news/2021/07/jbwere_nab_charitabl</w:t>
        </w:r>
      </w:hyperlink>
      <w:r w:rsidRPr="294F0AC8">
        <w:rPr>
          <w:rFonts w:eastAsia="Verdana" w:cs="Verdana"/>
          <w:sz w:val="18"/>
          <w:szCs w:val="18"/>
        </w:rPr>
        <w:t xml:space="preserve"> July 2021</w:t>
      </w:r>
    </w:p>
  </w:footnote>
  <w:footnote w:id="26">
    <w:p w14:paraId="6A276204" w14:textId="372EF9AC" w:rsidR="79A6475B" w:rsidRDefault="79A6475B" w:rsidP="294F0AC8">
      <w:pPr>
        <w:pStyle w:val="FootnoteText"/>
      </w:pPr>
      <w:r w:rsidRPr="294F0AC8">
        <w:rPr>
          <w:rStyle w:val="FootnoteReference"/>
          <w:rFonts w:eastAsia="Verdana" w:cs="Verdana"/>
          <w:sz w:val="18"/>
          <w:szCs w:val="18"/>
        </w:rPr>
        <w:footnoteRef/>
      </w:r>
      <w:r w:rsidRPr="294F0AC8">
        <w:rPr>
          <w:rFonts w:eastAsia="Verdana" w:cs="Verdana"/>
          <w:sz w:val="18"/>
          <w:szCs w:val="18"/>
        </w:rPr>
        <w:t xml:space="preserve"> </w:t>
      </w:r>
      <w:hyperlink r:id="rId14">
        <w:r w:rsidRPr="294F0AC8">
          <w:rPr>
            <w:rStyle w:val="Hyperlink"/>
            <w:rFonts w:eastAsia="Verdana" w:cs="Verdana"/>
            <w:sz w:val="18"/>
            <w:szCs w:val="18"/>
          </w:rPr>
          <w:t>https://www.oecd.org/els/soc/PF3_2_Enrolment_childcare_preschool.pdf</w:t>
        </w:r>
      </w:hyperlink>
      <w:r w:rsidRPr="294F0AC8">
        <w:rPr>
          <w:rFonts w:eastAsia="Verdana" w:cs="Verdana"/>
          <w:sz w:val="18"/>
          <w:szCs w:val="18"/>
        </w:rPr>
        <w:t xml:space="preserve"> </w:t>
      </w:r>
    </w:p>
  </w:footnote>
  <w:footnote w:id="27">
    <w:p w14:paraId="07C5DA6D" w14:textId="5D02320D" w:rsidR="00271068" w:rsidRPr="00600920" w:rsidRDefault="00271068" w:rsidP="294F0AC8">
      <w:pPr>
        <w:spacing w:line="276" w:lineRule="auto"/>
        <w:rPr>
          <w:rFonts w:eastAsia="Calibri" w:cs="Calibri"/>
          <w:sz w:val="16"/>
          <w:szCs w:val="16"/>
        </w:rPr>
      </w:pPr>
      <w:r w:rsidRPr="294F0AC8">
        <w:rPr>
          <w:rStyle w:val="FootnoteReference"/>
          <w:rFonts w:eastAsia="Verdana" w:cs="Verdana"/>
          <w:sz w:val="18"/>
          <w:szCs w:val="18"/>
        </w:rPr>
        <w:footnoteRef/>
      </w:r>
      <w:r w:rsidRPr="294F0AC8">
        <w:rPr>
          <w:rFonts w:eastAsia="Verdana" w:cs="Verdana"/>
          <w:sz w:val="18"/>
          <w:szCs w:val="18"/>
        </w:rPr>
        <w:t xml:space="preserve"> Nous </w:t>
      </w:r>
      <w:r w:rsidR="003A1FEC">
        <w:rPr>
          <w:rFonts w:eastAsia="Verdana" w:cs="Verdana"/>
          <w:sz w:val="18"/>
          <w:szCs w:val="18"/>
        </w:rPr>
        <w:t>(</w:t>
      </w:r>
      <w:r w:rsidRPr="294F0AC8">
        <w:rPr>
          <w:rFonts w:eastAsia="Verdana" w:cs="Verdana"/>
          <w:sz w:val="18"/>
          <w:szCs w:val="18"/>
        </w:rPr>
        <w:t>2020</w:t>
      </w:r>
      <w:r w:rsidR="003A1FEC">
        <w:rPr>
          <w:rFonts w:eastAsia="Verdana" w:cs="Verdana"/>
          <w:sz w:val="18"/>
          <w:szCs w:val="18"/>
        </w:rPr>
        <w:t>)</w:t>
      </w:r>
      <w:r w:rsidRPr="294F0AC8">
        <w:rPr>
          <w:rFonts w:eastAsia="Verdana" w:cs="Verdana"/>
          <w:sz w:val="18"/>
          <w:szCs w:val="18"/>
        </w:rPr>
        <w:t xml:space="preserve">, </w:t>
      </w:r>
      <w:r w:rsidR="003A1FEC">
        <w:rPr>
          <w:rFonts w:eastAsia="Verdana" w:cs="Verdana"/>
          <w:sz w:val="18"/>
          <w:szCs w:val="18"/>
        </w:rPr>
        <w:t>‘</w:t>
      </w:r>
      <w:r w:rsidRPr="294F0AC8">
        <w:rPr>
          <w:rFonts w:eastAsia="Verdana" w:cs="Verdana"/>
          <w:i/>
          <w:iCs/>
          <w:sz w:val="18"/>
          <w:szCs w:val="18"/>
        </w:rPr>
        <w:t>UNAP Review – COAG Education Council</w:t>
      </w:r>
      <w:r w:rsidR="003A1FEC">
        <w:rPr>
          <w:rFonts w:eastAsia="Verdana" w:cs="Verdana"/>
          <w:i/>
          <w:iCs/>
          <w:sz w:val="18"/>
          <w:szCs w:val="18"/>
        </w:rPr>
        <w:t>’</w:t>
      </w:r>
      <w:r w:rsidRPr="294F0AC8">
        <w:rPr>
          <w:rFonts w:eastAsia="Verdana" w:cs="Verdana"/>
          <w:sz w:val="18"/>
          <w:szCs w:val="18"/>
        </w:rPr>
        <w:t>, Nous</w:t>
      </w:r>
      <w:r w:rsidR="003A1FEC">
        <w:rPr>
          <w:rFonts w:eastAsia="Verdana" w:cs="Verdana"/>
          <w:sz w:val="18"/>
          <w:szCs w:val="18"/>
        </w:rPr>
        <w:t xml:space="preserve"> Consulting.</w:t>
      </w:r>
      <w:r w:rsidRPr="294F0AC8">
        <w:rPr>
          <w:rFonts w:eastAsia="Verdana" w:cs="Verdana"/>
          <w:sz w:val="18"/>
          <w:szCs w:val="18"/>
        </w:rPr>
        <w:t xml:space="preserve"> </w:t>
      </w:r>
      <w:hyperlink r:id="rId15">
        <w:r w:rsidRPr="294F0AC8">
          <w:rPr>
            <w:rStyle w:val="Hyperlink"/>
            <w:rFonts w:eastAsia="Verdana" w:cs="Verdana"/>
            <w:sz w:val="18"/>
            <w:szCs w:val="18"/>
          </w:rPr>
          <w:t>http://www.educationcouncil.edu.au/site/DefaultSite/filesystem/documents/Reports%20and%20publications/UANP%20Review%20Report.pdf</w:t>
        </w:r>
      </w:hyperlink>
    </w:p>
  </w:footnote>
  <w:footnote w:id="28">
    <w:p w14:paraId="2FC57829" w14:textId="2F34B8BF" w:rsidR="79A6475B" w:rsidRDefault="79A6475B" w:rsidP="294F0AC8">
      <w:pPr>
        <w:pStyle w:val="FootnoteText"/>
      </w:pPr>
      <w:r w:rsidRPr="294F0AC8">
        <w:rPr>
          <w:rStyle w:val="FootnoteReference"/>
          <w:rFonts w:eastAsia="Verdana" w:cs="Verdana"/>
          <w:sz w:val="18"/>
          <w:szCs w:val="18"/>
        </w:rPr>
        <w:footnoteRef/>
      </w:r>
      <w:r w:rsidRPr="294F0AC8">
        <w:rPr>
          <w:rFonts w:eastAsia="Verdana" w:cs="Verdana"/>
          <w:sz w:val="18"/>
          <w:szCs w:val="18"/>
        </w:rPr>
        <w:t xml:space="preserve"> Grattan Institute</w:t>
      </w:r>
      <w:r w:rsidR="003A1FEC">
        <w:rPr>
          <w:rFonts w:eastAsia="Verdana" w:cs="Verdana"/>
          <w:sz w:val="18"/>
          <w:szCs w:val="18"/>
        </w:rPr>
        <w:t xml:space="preserve"> (2020)</w:t>
      </w:r>
      <w:r w:rsidRPr="294F0AC8">
        <w:rPr>
          <w:rFonts w:eastAsia="Verdana" w:cs="Verdana"/>
          <w:sz w:val="18"/>
          <w:szCs w:val="18"/>
        </w:rPr>
        <w:t xml:space="preserve">, </w:t>
      </w:r>
      <w:r w:rsidR="003A1FEC">
        <w:rPr>
          <w:rFonts w:eastAsia="Verdana" w:cs="Verdana"/>
          <w:sz w:val="18"/>
          <w:szCs w:val="18"/>
        </w:rPr>
        <w:t>‘</w:t>
      </w:r>
      <w:r w:rsidRPr="294F0AC8">
        <w:rPr>
          <w:rFonts w:eastAsia="Verdana" w:cs="Verdana"/>
          <w:sz w:val="18"/>
          <w:szCs w:val="18"/>
        </w:rPr>
        <w:t>Cheaper Childcare: A practical plan to boost female workforce participation, 2020</w:t>
      </w:r>
      <w:r w:rsidR="003A1FEC">
        <w:rPr>
          <w:rFonts w:eastAsia="Verdana" w:cs="Verdana"/>
          <w:sz w:val="18"/>
          <w:szCs w:val="18"/>
        </w:rPr>
        <w:t xml:space="preserve">’ </w:t>
      </w:r>
      <w:r w:rsidRPr="294F0AC8">
        <w:rPr>
          <w:rFonts w:eastAsia="Verdana" w:cs="Verdana"/>
          <w:sz w:val="18"/>
          <w:szCs w:val="18"/>
        </w:rPr>
        <w:t xml:space="preserve"> </w:t>
      </w:r>
      <w:hyperlink r:id="rId16">
        <w:r w:rsidRPr="294F0AC8">
          <w:rPr>
            <w:rStyle w:val="Hyperlink"/>
            <w:rFonts w:eastAsia="Verdana" w:cs="Verdana"/>
            <w:sz w:val="18"/>
            <w:szCs w:val="18"/>
          </w:rPr>
          <w:t>https://grattan.edu.au/wp-content/uploads/2020/08/Cheaper-Childcare-Grattan-Institute-Report.pdf</w:t>
        </w:r>
      </w:hyperlink>
      <w:r w:rsidRPr="294F0AC8">
        <w:rPr>
          <w:rFonts w:eastAsia="Verdana" w:cs="Verdana"/>
          <w:sz w:val="18"/>
          <w:szCs w:val="18"/>
        </w:rPr>
        <w:t xml:space="preserve"> p 55-56</w:t>
      </w:r>
    </w:p>
  </w:footnote>
  <w:footnote w:id="29">
    <w:p w14:paraId="0A75402A" w14:textId="6EB9DE02" w:rsidR="79A6475B" w:rsidRDefault="79A6475B" w:rsidP="294F0AC8">
      <w:pPr>
        <w:pStyle w:val="FootnoteText"/>
      </w:pPr>
      <w:r w:rsidRPr="294F0AC8">
        <w:rPr>
          <w:rStyle w:val="FootnoteReference"/>
          <w:rFonts w:eastAsia="Verdana" w:cs="Verdana"/>
          <w:sz w:val="18"/>
          <w:szCs w:val="18"/>
        </w:rPr>
        <w:footnoteRef/>
      </w:r>
      <w:r w:rsidRPr="294F0AC8">
        <w:rPr>
          <w:rFonts w:eastAsia="Verdana" w:cs="Verdana"/>
          <w:sz w:val="18"/>
          <w:szCs w:val="18"/>
        </w:rPr>
        <w:t xml:space="preserve"> </w:t>
      </w:r>
      <w:hyperlink r:id="rId17">
        <w:r w:rsidRPr="294F0AC8">
          <w:rPr>
            <w:rStyle w:val="Hyperlink"/>
            <w:rFonts w:eastAsia="Verdana" w:cs="Verdana"/>
            <w:sz w:val="18"/>
            <w:szCs w:val="18"/>
          </w:rPr>
          <w:t>https://www.pc.gov.au/research/ongoing/report-on-government-services/2021/community-services</w:t>
        </w:r>
      </w:hyperlink>
      <w:r w:rsidRPr="294F0AC8">
        <w:rPr>
          <w:rFonts w:eastAsia="Verdana" w:cs="Verdana"/>
          <w:sz w:val="18"/>
          <w:szCs w:val="18"/>
        </w:rPr>
        <w:t xml:space="preserve"> </w:t>
      </w:r>
    </w:p>
  </w:footnote>
  <w:footnote w:id="30">
    <w:p w14:paraId="4E7B2CBC" w14:textId="220056AB" w:rsidR="280C9BAE" w:rsidRDefault="280C9BAE" w:rsidP="294F0AC8">
      <w:pPr>
        <w:pStyle w:val="FootnoteText"/>
        <w:rPr>
          <w:rFonts w:eastAsia="Calibri" w:cs="Arial"/>
        </w:rPr>
      </w:pPr>
      <w:r w:rsidRPr="294F0AC8">
        <w:rPr>
          <w:rStyle w:val="FootnoteReference"/>
          <w:rFonts w:eastAsia="Verdana" w:cs="Verdana"/>
          <w:sz w:val="18"/>
          <w:szCs w:val="18"/>
        </w:rPr>
        <w:footnoteRef/>
      </w:r>
      <w:r w:rsidRPr="294F0AC8">
        <w:rPr>
          <w:rFonts w:eastAsia="Verdana" w:cs="Verdana"/>
          <w:sz w:val="18"/>
          <w:szCs w:val="18"/>
        </w:rPr>
        <w:t xml:space="preserve"> For a strong rationale for preventive services, see for example Preventative Health Task Force (2010): </w:t>
      </w:r>
      <w:r w:rsidRPr="294F0AC8">
        <w:rPr>
          <w:rFonts w:eastAsia="Verdana" w:cs="Verdana"/>
          <w:i/>
          <w:iCs/>
          <w:sz w:val="18"/>
          <w:szCs w:val="18"/>
        </w:rPr>
        <w:t>Taking preventative action – a response to Australia: The healthiest country by 2020</w:t>
      </w:r>
      <w:r w:rsidRPr="294F0AC8">
        <w:rPr>
          <w:rFonts w:eastAsia="Verdana" w:cs="Verdana"/>
          <w:sz w:val="18"/>
          <w:szCs w:val="18"/>
        </w:rPr>
        <w:t xml:space="preserve">, Preventative Health Task Force, Canberra. Available: </w:t>
      </w:r>
      <w:hyperlink r:id="rId18">
        <w:r w:rsidRPr="294F0AC8">
          <w:rPr>
            <w:rStyle w:val="Hyperlink"/>
            <w:rFonts w:eastAsia="Verdana" w:cs="Verdana"/>
            <w:sz w:val="18"/>
            <w:szCs w:val="18"/>
          </w:rPr>
          <w:t>https://apo.org.au/node/21989</w:t>
        </w:r>
      </w:hyperlink>
    </w:p>
  </w:footnote>
  <w:footnote w:id="31">
    <w:p w14:paraId="4894DA97" w14:textId="4EE3C697" w:rsidR="194D1029" w:rsidRDefault="194D1029" w:rsidP="294F0AC8">
      <w:pPr>
        <w:pStyle w:val="FootnoteText"/>
      </w:pPr>
      <w:r w:rsidRPr="294F0AC8">
        <w:rPr>
          <w:rStyle w:val="FootnoteReference"/>
          <w:rFonts w:eastAsia="Verdana" w:cs="Verdana"/>
          <w:sz w:val="18"/>
          <w:szCs w:val="18"/>
        </w:rPr>
        <w:footnoteRef/>
      </w:r>
      <w:r w:rsidRPr="294F0AC8">
        <w:rPr>
          <w:rFonts w:eastAsia="Verdana" w:cs="Verdana"/>
          <w:sz w:val="18"/>
          <w:szCs w:val="18"/>
        </w:rPr>
        <w:t xml:space="preserve"> Total Commonwealth health spending in 2022-23 is estimated to be $95,779 million. Wide propose a progressive increase to 5% by 2024-25.</w:t>
      </w:r>
    </w:p>
    <w:p w14:paraId="2A85DEA7" w14:textId="4E9CFDB4" w:rsidR="194D1029" w:rsidRDefault="194D1029" w:rsidP="294F0AC8">
      <w:pPr>
        <w:pStyle w:val="FootnoteText"/>
        <w:rPr>
          <w:rFonts w:eastAsia="Calibri" w:cs="Arial"/>
        </w:rPr>
      </w:pPr>
    </w:p>
  </w:footnote>
  <w:footnote w:id="32">
    <w:p w14:paraId="12229A37" w14:textId="644040C5" w:rsidR="194D1029" w:rsidRDefault="194D1029" w:rsidP="294F0AC8">
      <w:pPr>
        <w:pStyle w:val="FootnoteText"/>
      </w:pPr>
      <w:r w:rsidRPr="294F0AC8">
        <w:rPr>
          <w:rStyle w:val="FootnoteReference"/>
          <w:rFonts w:eastAsia="Verdana" w:cs="Verdana"/>
          <w:sz w:val="18"/>
          <w:szCs w:val="18"/>
        </w:rPr>
        <w:footnoteRef/>
      </w:r>
      <w:r w:rsidRPr="294F0AC8">
        <w:rPr>
          <w:rFonts w:eastAsia="Verdana" w:cs="Verdana"/>
          <w:sz w:val="18"/>
          <w:szCs w:val="18"/>
        </w:rPr>
        <w:t xml:space="preserve"> Expenditure in later years will be determined by the trajectory of the pandemic.</w:t>
      </w:r>
    </w:p>
  </w:footnote>
  <w:footnote w:id="33">
    <w:p w14:paraId="6BD89AD6" w14:textId="0C8ED642" w:rsidR="280C9BAE" w:rsidRDefault="280C9BAE" w:rsidP="294F0AC8">
      <w:pPr>
        <w:spacing w:line="257" w:lineRule="auto"/>
      </w:pPr>
      <w:r w:rsidRPr="294F0AC8">
        <w:rPr>
          <w:rStyle w:val="FootnoteReference"/>
          <w:rFonts w:eastAsia="Verdana" w:cs="Verdana"/>
          <w:sz w:val="18"/>
          <w:szCs w:val="18"/>
        </w:rPr>
        <w:footnoteRef/>
      </w:r>
      <w:r w:rsidRPr="294F0AC8">
        <w:rPr>
          <w:rFonts w:eastAsia="Verdana" w:cs="Verdana"/>
          <w:sz w:val="18"/>
          <w:szCs w:val="18"/>
        </w:rPr>
        <w:t xml:space="preserve"> The EMSN provides an additional rebate for people who incur out-of-pocket costs for Medicare eligible out-of-hospital services. Once the relevant annual threshold of out-of-pocket costs has been met, Medicare will pay for 80% of any future out-of-pocket costs for out-of-hospital Medicare services for the remainder of the calendar year. From 1 January 2021 the annual EMSN thresholds are: $697 for Commonwealth concession cardholders and Family Tax Benefit </w:t>
      </w:r>
      <w:r w:rsidR="003A1FEC">
        <w:rPr>
          <w:rFonts w:eastAsia="Verdana" w:cs="Verdana"/>
          <w:sz w:val="18"/>
          <w:szCs w:val="18"/>
        </w:rPr>
        <w:t>P</w:t>
      </w:r>
      <w:r w:rsidRPr="294F0AC8">
        <w:rPr>
          <w:rFonts w:eastAsia="Verdana" w:cs="Verdana"/>
          <w:sz w:val="18"/>
          <w:szCs w:val="18"/>
        </w:rPr>
        <w:t xml:space="preserve">art A, and $2,184.30 for all other singles and families. See Department of Health (2020): </w:t>
      </w:r>
      <w:r w:rsidR="003A1FEC">
        <w:rPr>
          <w:rFonts w:eastAsia="Verdana" w:cs="Verdana"/>
          <w:sz w:val="18"/>
          <w:szCs w:val="18"/>
        </w:rPr>
        <w:t>‘</w:t>
      </w:r>
      <w:r w:rsidRPr="294F0AC8">
        <w:rPr>
          <w:rFonts w:eastAsia="Verdana" w:cs="Verdana"/>
          <w:i/>
          <w:iCs/>
          <w:sz w:val="18"/>
          <w:szCs w:val="18"/>
        </w:rPr>
        <w:t>Medicare safety net arrangements - 1 January 2019</w:t>
      </w:r>
      <w:r w:rsidR="003A1FEC">
        <w:rPr>
          <w:rFonts w:eastAsia="Verdana" w:cs="Verdana"/>
          <w:i/>
          <w:iCs/>
          <w:sz w:val="18"/>
          <w:szCs w:val="18"/>
        </w:rPr>
        <w:t>’</w:t>
      </w:r>
      <w:r w:rsidRPr="294F0AC8">
        <w:rPr>
          <w:rFonts w:eastAsia="Verdana" w:cs="Verdana"/>
          <w:sz w:val="18"/>
          <w:szCs w:val="18"/>
        </w:rPr>
        <w:t xml:space="preserve">, Department of Health, Canberra. Available: </w:t>
      </w:r>
      <w:hyperlink r:id="rId19">
        <w:r w:rsidRPr="294F0AC8">
          <w:rPr>
            <w:rStyle w:val="Hyperlink"/>
            <w:rFonts w:eastAsia="Verdana" w:cs="Verdana"/>
            <w:sz w:val="18"/>
            <w:szCs w:val="18"/>
          </w:rPr>
          <w:t>http://www.mbsonline.gov.au/internet/mbsonline/publishing.nsf/Content/Factsheet-MSN_1Jan2021</w:t>
        </w:r>
        <w:r>
          <w:br/>
        </w:r>
      </w:hyperlink>
      <w:r w:rsidRPr="294F0AC8">
        <w:rPr>
          <w:rFonts w:eastAsia="Verdana" w:cs="Verdana"/>
          <w:sz w:val="18"/>
          <w:szCs w:val="18"/>
        </w:rPr>
        <w:t xml:space="preserve"> Centre for Health Economics Research and Evaluation (2011): </w:t>
      </w:r>
      <w:r w:rsidR="003A1FEC">
        <w:rPr>
          <w:rFonts w:eastAsia="Verdana" w:cs="Verdana"/>
          <w:sz w:val="18"/>
          <w:szCs w:val="18"/>
        </w:rPr>
        <w:t>‘</w:t>
      </w:r>
      <w:r w:rsidRPr="294F0AC8">
        <w:rPr>
          <w:rFonts w:eastAsia="Verdana" w:cs="Verdana"/>
          <w:i/>
          <w:iCs/>
          <w:sz w:val="18"/>
          <w:szCs w:val="18"/>
        </w:rPr>
        <w:t>Extended Medicare Safety Net: Review of capping arrangements report 2011</w:t>
      </w:r>
      <w:r w:rsidR="003A1FEC">
        <w:rPr>
          <w:rFonts w:eastAsia="Verdana" w:cs="Verdana"/>
          <w:i/>
          <w:iCs/>
          <w:sz w:val="18"/>
          <w:szCs w:val="18"/>
        </w:rPr>
        <w:t>’</w:t>
      </w:r>
      <w:r w:rsidRPr="294F0AC8">
        <w:rPr>
          <w:rFonts w:eastAsia="Verdana" w:cs="Verdana"/>
          <w:sz w:val="18"/>
          <w:szCs w:val="18"/>
        </w:rPr>
        <w:t xml:space="preserve">, CHERE, University of Technology, Sydney, Sydney. Available: </w:t>
      </w:r>
      <w:hyperlink r:id="rId20" w:history="1">
        <w:r w:rsidR="003A1FEC" w:rsidRPr="007D510E">
          <w:rPr>
            <w:rStyle w:val="Hyperlink"/>
            <w:rFonts w:eastAsia="Verdana" w:cs="Verdana"/>
            <w:sz w:val="18"/>
            <w:szCs w:val="18"/>
          </w:rPr>
          <w:t>https://www1.health.gov.au/internet/main/publishing.nsf/Content/2011_Review_Extended_Medicare_Safety_Net/$File/Final%20Report%20-%20Review%20of%20EMSN%20benefit%20capping%20June%202011.pdf</w:t>
        </w:r>
      </w:hyperlink>
    </w:p>
  </w:footnote>
  <w:footnote w:id="34">
    <w:p w14:paraId="4841F0C6" w14:textId="31E8CF78" w:rsidR="280C9BAE" w:rsidRDefault="280C9BAE" w:rsidP="294F0AC8">
      <w:pPr>
        <w:pStyle w:val="FootnoteText"/>
        <w:rPr>
          <w:rFonts w:eastAsia="Calibri" w:cs="Arial"/>
        </w:rPr>
      </w:pPr>
      <w:r w:rsidRPr="294F0AC8">
        <w:rPr>
          <w:rStyle w:val="FootnoteReference"/>
          <w:rFonts w:eastAsia="Verdana" w:cs="Verdana"/>
          <w:sz w:val="18"/>
          <w:szCs w:val="18"/>
        </w:rPr>
        <w:footnoteRef/>
      </w:r>
      <w:r w:rsidRPr="294F0AC8">
        <w:rPr>
          <w:rFonts w:eastAsia="Verdana" w:cs="Verdana"/>
          <w:sz w:val="18"/>
          <w:szCs w:val="18"/>
        </w:rPr>
        <w:t xml:space="preserve"> Retirement Income Review (2020), </w:t>
      </w:r>
      <w:r w:rsidR="0099084D">
        <w:rPr>
          <w:rFonts w:eastAsia="Verdana" w:cs="Verdana"/>
          <w:sz w:val="18"/>
          <w:szCs w:val="18"/>
        </w:rPr>
        <w:t>‘Final report’. Canberra.</w:t>
      </w:r>
    </w:p>
  </w:footnote>
  <w:footnote w:id="35">
    <w:p w14:paraId="14EFB679" w14:textId="6981FFA4" w:rsidR="280C9BAE" w:rsidRDefault="280C9BAE" w:rsidP="294F0AC8">
      <w:pPr>
        <w:pStyle w:val="FootnoteText"/>
        <w:rPr>
          <w:rFonts w:eastAsia="Calibri" w:cs="Arial"/>
        </w:rPr>
      </w:pPr>
      <w:r w:rsidRPr="294F0AC8">
        <w:rPr>
          <w:rStyle w:val="FootnoteReference"/>
          <w:rFonts w:eastAsia="Verdana" w:cs="Verdana"/>
          <w:sz w:val="18"/>
          <w:szCs w:val="18"/>
        </w:rPr>
        <w:footnoteRef/>
      </w:r>
      <w:r w:rsidRPr="294F0AC8">
        <w:rPr>
          <w:rFonts w:eastAsia="Verdana" w:cs="Verdana"/>
          <w:sz w:val="18"/>
          <w:szCs w:val="18"/>
        </w:rPr>
        <w:t xml:space="preserve"> </w:t>
      </w:r>
      <w:r w:rsidR="0099084D" w:rsidRPr="294F0AC8">
        <w:rPr>
          <w:rFonts w:eastAsia="Verdana" w:cs="Verdana"/>
          <w:sz w:val="18"/>
          <w:szCs w:val="18"/>
        </w:rPr>
        <w:t xml:space="preserve">Coates B (2018), </w:t>
      </w:r>
      <w:r w:rsidR="0099084D">
        <w:rPr>
          <w:rFonts w:eastAsia="Verdana" w:cs="Verdana"/>
          <w:sz w:val="18"/>
          <w:szCs w:val="18"/>
        </w:rPr>
        <w:t>‘</w:t>
      </w:r>
      <w:r w:rsidR="0099084D" w:rsidRPr="294F0AC8">
        <w:rPr>
          <w:rFonts w:eastAsia="Verdana" w:cs="Verdana"/>
          <w:sz w:val="18"/>
          <w:szCs w:val="18"/>
        </w:rPr>
        <w:t>The entitlement of age</w:t>
      </w:r>
      <w:r w:rsidR="0099084D">
        <w:rPr>
          <w:rFonts w:eastAsia="Verdana" w:cs="Verdana"/>
          <w:sz w:val="18"/>
          <w:szCs w:val="18"/>
        </w:rPr>
        <w:t>’</w:t>
      </w:r>
      <w:r w:rsidR="0099084D" w:rsidRPr="294F0AC8">
        <w:rPr>
          <w:rFonts w:eastAsia="Verdana" w:cs="Verdana"/>
          <w:sz w:val="18"/>
          <w:szCs w:val="18"/>
        </w:rPr>
        <w:t>, Grattan Institute</w:t>
      </w:r>
      <w:r w:rsidR="0099084D">
        <w:rPr>
          <w:rFonts w:eastAsia="Verdana" w:cs="Verdana"/>
          <w:sz w:val="18"/>
          <w:szCs w:val="18"/>
        </w:rPr>
        <w:t>.</w:t>
      </w:r>
    </w:p>
  </w:footnote>
  <w:footnote w:id="36">
    <w:p w14:paraId="57F022D5" w14:textId="7746822B" w:rsidR="294F0AC8" w:rsidRDefault="294F0AC8" w:rsidP="294F0AC8">
      <w:pPr>
        <w:pStyle w:val="FootnoteText"/>
      </w:pPr>
      <w:r w:rsidRPr="294F0AC8">
        <w:rPr>
          <w:rStyle w:val="FootnoteReference"/>
          <w:rFonts w:eastAsia="Verdana" w:cs="Verdana"/>
          <w:sz w:val="18"/>
          <w:szCs w:val="18"/>
        </w:rPr>
        <w:footnoteRef/>
      </w:r>
      <w:r w:rsidRPr="294F0AC8">
        <w:rPr>
          <w:rFonts w:eastAsia="Verdana" w:cs="Verdana"/>
          <w:sz w:val="18"/>
          <w:szCs w:val="18"/>
        </w:rPr>
        <w:t xml:space="preserve"> </w:t>
      </w:r>
      <w:r w:rsidR="0099084D" w:rsidRPr="4A8FE9A1">
        <w:rPr>
          <w:rFonts w:eastAsia="Verdana" w:cs="Verdana"/>
          <w:sz w:val="18"/>
          <w:szCs w:val="18"/>
        </w:rPr>
        <w:t>Retirement Income Review (2020),</w:t>
      </w:r>
      <w:r w:rsidR="0099084D">
        <w:rPr>
          <w:rFonts w:eastAsia="Verdana" w:cs="Verdana"/>
          <w:sz w:val="18"/>
          <w:szCs w:val="18"/>
        </w:rPr>
        <w:t xml:space="preserve"> op cit.</w:t>
      </w:r>
    </w:p>
  </w:footnote>
  <w:footnote w:id="37">
    <w:p w14:paraId="59966AB2" w14:textId="37FCE1FC" w:rsidR="280C9BAE" w:rsidRDefault="280C9BAE" w:rsidP="294F0AC8">
      <w:pPr>
        <w:pStyle w:val="FootnoteText"/>
        <w:rPr>
          <w:rFonts w:eastAsia="Calibri" w:cs="Arial"/>
        </w:rPr>
      </w:pPr>
      <w:r w:rsidRPr="294F0AC8">
        <w:rPr>
          <w:rStyle w:val="FootnoteReference"/>
          <w:rFonts w:eastAsia="Verdana" w:cs="Verdana"/>
          <w:sz w:val="18"/>
          <w:szCs w:val="18"/>
        </w:rPr>
        <w:footnoteRef/>
      </w:r>
      <w:r w:rsidRPr="294F0AC8">
        <w:rPr>
          <w:rFonts w:eastAsia="Verdana" w:cs="Verdana"/>
          <w:sz w:val="18"/>
          <w:szCs w:val="18"/>
        </w:rPr>
        <w:t xml:space="preserve"> Henry K et al. (2009)</w:t>
      </w:r>
      <w:r w:rsidR="0099084D">
        <w:rPr>
          <w:rFonts w:eastAsia="Verdana" w:cs="Verdana"/>
          <w:sz w:val="18"/>
          <w:szCs w:val="18"/>
        </w:rPr>
        <w:t>,</w:t>
      </w:r>
      <w:r w:rsidRPr="294F0AC8">
        <w:rPr>
          <w:rFonts w:eastAsia="Verdana" w:cs="Verdana"/>
          <w:sz w:val="18"/>
          <w:szCs w:val="18"/>
        </w:rPr>
        <w:t xml:space="preserve"> </w:t>
      </w:r>
      <w:r w:rsidR="0099084D" w:rsidRPr="294F0AC8">
        <w:rPr>
          <w:rFonts w:eastAsia="Verdana" w:cs="Verdana"/>
          <w:sz w:val="18"/>
          <w:szCs w:val="18"/>
        </w:rPr>
        <w:t>Henry K et al. (2009)</w:t>
      </w:r>
      <w:r w:rsidR="0099084D">
        <w:rPr>
          <w:rFonts w:eastAsia="Verdana" w:cs="Verdana"/>
          <w:sz w:val="18"/>
          <w:szCs w:val="18"/>
        </w:rPr>
        <w:t>,</w:t>
      </w:r>
      <w:r w:rsidR="0099084D" w:rsidRPr="294F0AC8">
        <w:rPr>
          <w:rFonts w:eastAsia="Verdana" w:cs="Verdana"/>
          <w:sz w:val="18"/>
          <w:szCs w:val="18"/>
        </w:rPr>
        <w:t xml:space="preserve"> </w:t>
      </w:r>
      <w:r w:rsidR="0099084D">
        <w:rPr>
          <w:rFonts w:eastAsia="Verdana" w:cs="Verdana"/>
          <w:sz w:val="18"/>
          <w:szCs w:val="18"/>
        </w:rPr>
        <w:t>‘</w:t>
      </w:r>
      <w:r w:rsidR="0099084D" w:rsidRPr="294F0AC8">
        <w:rPr>
          <w:rFonts w:eastAsia="Verdana" w:cs="Verdana"/>
          <w:sz w:val="18"/>
          <w:szCs w:val="18"/>
        </w:rPr>
        <w:t>Australia’s future tax system review final report</w:t>
      </w:r>
      <w:r w:rsidR="0099084D">
        <w:rPr>
          <w:rFonts w:eastAsia="Verdana" w:cs="Verdana"/>
          <w:sz w:val="18"/>
          <w:szCs w:val="18"/>
        </w:rPr>
        <w:t>’</w:t>
      </w:r>
      <w:r w:rsidR="0099084D" w:rsidRPr="294F0AC8">
        <w:rPr>
          <w:rFonts w:eastAsia="Verdana" w:cs="Verdana"/>
          <w:sz w:val="18"/>
          <w:szCs w:val="18"/>
        </w:rPr>
        <w:t>, The Treasury, Canberra, at</w:t>
      </w:r>
      <w:r w:rsidR="0099084D">
        <w:rPr>
          <w:rFonts w:eastAsia="Verdana" w:cs="Verdana"/>
          <w:sz w:val="18"/>
          <w:szCs w:val="18"/>
        </w:rPr>
        <w:t>:</w:t>
      </w:r>
      <w:r w:rsidRPr="294F0AC8">
        <w:rPr>
          <w:rFonts w:eastAsia="Verdana" w:cs="Verdana"/>
          <w:sz w:val="18"/>
          <w:szCs w:val="18"/>
        </w:rPr>
        <w:t xml:space="preserve"> </w:t>
      </w:r>
      <w:hyperlink r:id="rId21">
        <w:r w:rsidRPr="294F0AC8">
          <w:rPr>
            <w:rStyle w:val="Hyperlink"/>
            <w:rFonts w:eastAsia="Verdana" w:cs="Verdana"/>
            <w:sz w:val="18"/>
            <w:szCs w:val="18"/>
          </w:rPr>
          <w:t>https://treasury.gov.au/review/the-australias-future-tax-system-review/final-report</w:t>
        </w:r>
      </w:hyperlink>
      <w:r w:rsidRPr="294F0AC8">
        <w:rPr>
          <w:rFonts w:eastAsia="Verdana" w:cs="Verdana"/>
          <w:sz w:val="18"/>
          <w:szCs w:val="18"/>
        </w:rPr>
        <w:t xml:space="preserve"> . Tax avoidance through re-contribution strategies was addressed in part by the government’s decision in 2016 to apply the 15% tax rate to the investment income of Transition to Retirement accounts.</w:t>
      </w:r>
    </w:p>
  </w:footnote>
  <w:footnote w:id="38">
    <w:p w14:paraId="3EB69E66" w14:textId="77134BDC" w:rsidR="4A8FE9A1" w:rsidRDefault="4A8FE9A1" w:rsidP="294F0AC8">
      <w:pPr>
        <w:pStyle w:val="FootnoteText"/>
        <w:rPr>
          <w:rFonts w:eastAsia="Calibri" w:cs="Arial"/>
          <w:sz w:val="18"/>
          <w:szCs w:val="18"/>
        </w:rPr>
      </w:pPr>
      <w:r w:rsidRPr="294F0AC8">
        <w:rPr>
          <w:rStyle w:val="FootnoteReference"/>
          <w:rFonts w:eastAsia="Verdana" w:cs="Verdana"/>
          <w:sz w:val="18"/>
          <w:szCs w:val="18"/>
        </w:rPr>
        <w:footnoteRef/>
      </w:r>
      <w:r w:rsidRPr="294F0AC8">
        <w:rPr>
          <w:rFonts w:eastAsia="Verdana" w:cs="Verdana"/>
          <w:sz w:val="18"/>
          <w:szCs w:val="18"/>
        </w:rPr>
        <w:t xml:space="preserve"> Accommodation and other services would still attract charges, but the care component of aged care services would be free, as is the case for public hospital treatment and care.</w:t>
      </w:r>
    </w:p>
  </w:footnote>
  <w:footnote w:id="39">
    <w:p w14:paraId="218A57DD" w14:textId="4CB5E484" w:rsidR="294F0AC8" w:rsidRDefault="294F0AC8" w:rsidP="294F0AC8">
      <w:pPr>
        <w:pStyle w:val="FootnoteText"/>
      </w:pPr>
      <w:r w:rsidRPr="294F0AC8">
        <w:rPr>
          <w:rStyle w:val="FootnoteReference"/>
          <w:rFonts w:eastAsia="Verdana" w:cs="Verdana"/>
          <w:sz w:val="18"/>
          <w:szCs w:val="18"/>
        </w:rPr>
        <w:footnoteRef/>
      </w:r>
      <w:r w:rsidRPr="294F0AC8">
        <w:rPr>
          <w:rFonts w:eastAsia="Verdana" w:cs="Verdana"/>
          <w:sz w:val="18"/>
          <w:szCs w:val="18"/>
        </w:rPr>
        <w:t xml:space="preserve"> ’A Guarantee to the Nation – Community organisations’ call to the Parties’, ACOSS, 2021 </w:t>
      </w:r>
      <w:hyperlink r:id="rId22" w:history="1">
        <w:r w:rsidR="00EC00E7" w:rsidRPr="007D510E">
          <w:rPr>
            <w:rStyle w:val="Hyperlink"/>
            <w:rFonts w:eastAsia="Verdana" w:cs="Verdana"/>
            <w:sz w:val="18"/>
            <w:szCs w:val="18"/>
          </w:rPr>
          <w:t>https://www.acoss.org.au/wp-content/uploads/2021/08/A-Guarantee-To-The-Nation-Final-Release.pdf</w:t>
        </w:r>
      </w:hyperlink>
      <w:r w:rsidR="00EC00E7">
        <w:rPr>
          <w:rFonts w:eastAsia="Verdana" w:cs="Verdana"/>
          <w:sz w:val="18"/>
          <w:szCs w:val="18"/>
        </w:rPr>
        <w:t xml:space="preserve"> </w:t>
      </w:r>
    </w:p>
  </w:footnote>
  <w:footnote w:id="40">
    <w:p w14:paraId="54918F1B" w14:textId="6124C892" w:rsidR="280C9BAE" w:rsidRDefault="280C9BAE" w:rsidP="294F0AC8">
      <w:pPr>
        <w:pStyle w:val="FootnoteText"/>
      </w:pPr>
      <w:r w:rsidRPr="294F0AC8">
        <w:rPr>
          <w:rStyle w:val="FootnoteReference"/>
          <w:rFonts w:eastAsia="Verdana" w:cs="Verdana"/>
          <w:sz w:val="18"/>
          <w:szCs w:val="18"/>
        </w:rPr>
        <w:footnoteRef/>
      </w:r>
      <w:r w:rsidRPr="294F0AC8">
        <w:rPr>
          <w:rFonts w:eastAsia="Verdana" w:cs="Verdana"/>
          <w:sz w:val="18"/>
          <w:szCs w:val="18"/>
        </w:rPr>
        <w:t xml:space="preserve"> OECD (2021), 'Revenue statistics'; OECD (2020), 'Taxing wages'. </w:t>
      </w:r>
    </w:p>
  </w:footnote>
  <w:footnote w:id="41">
    <w:p w14:paraId="5E23F1C7" w14:textId="0E47D8CF" w:rsidR="79A6475B" w:rsidRDefault="79A6475B" w:rsidP="294F0AC8">
      <w:pPr>
        <w:pStyle w:val="FootnoteText"/>
      </w:pPr>
      <w:r w:rsidRPr="294F0AC8">
        <w:rPr>
          <w:rStyle w:val="FootnoteReference"/>
          <w:rFonts w:eastAsia="Verdana" w:cs="Verdana"/>
          <w:sz w:val="18"/>
          <w:szCs w:val="18"/>
        </w:rPr>
        <w:footnoteRef/>
      </w:r>
      <w:r w:rsidRPr="294F0AC8">
        <w:rPr>
          <w:rFonts w:eastAsia="Verdana" w:cs="Verdana"/>
          <w:sz w:val="18"/>
          <w:szCs w:val="18"/>
        </w:rPr>
        <w:t xml:space="preserve"> Parliamentary Budget Office (2021), '</w:t>
      </w:r>
      <w:r w:rsidRPr="294F0AC8">
        <w:rPr>
          <w:rFonts w:eastAsia="Verdana" w:cs="Verdana"/>
          <w:i/>
          <w:iCs/>
          <w:sz w:val="18"/>
          <w:szCs w:val="18"/>
        </w:rPr>
        <w:t>Beyond the Budget - 2021-22: Fiscal outlook and scenarios</w:t>
      </w:r>
      <w:r w:rsidRPr="294F0AC8">
        <w:rPr>
          <w:rFonts w:eastAsia="Verdana" w:cs="Verdana"/>
          <w:sz w:val="18"/>
          <w:szCs w:val="18"/>
        </w:rPr>
        <w:t>,' Report No 2/2021</w:t>
      </w:r>
    </w:p>
  </w:footnote>
  <w:footnote w:id="42">
    <w:p w14:paraId="4512DE0C" w14:textId="2310EA89" w:rsidR="79A6475B" w:rsidRDefault="79A6475B" w:rsidP="294F0AC8">
      <w:pPr>
        <w:pStyle w:val="FootnoteText"/>
        <w:rPr>
          <w:rFonts w:eastAsia="Calibri" w:cs="Arial"/>
          <w:sz w:val="18"/>
          <w:szCs w:val="18"/>
        </w:rPr>
      </w:pPr>
      <w:r w:rsidRPr="294F0AC8">
        <w:rPr>
          <w:rStyle w:val="FootnoteReference"/>
          <w:rFonts w:eastAsia="Verdana" w:cs="Verdana"/>
          <w:sz w:val="18"/>
          <w:szCs w:val="18"/>
        </w:rPr>
        <w:footnoteRef/>
      </w:r>
      <w:r w:rsidRPr="294F0AC8">
        <w:rPr>
          <w:rFonts w:eastAsia="Verdana" w:cs="Verdana"/>
          <w:sz w:val="18"/>
          <w:szCs w:val="18"/>
        </w:rPr>
        <w:t xml:space="preserve"> Parliamentary Budget Office (2021), '</w:t>
      </w:r>
      <w:r w:rsidRPr="294F0AC8">
        <w:rPr>
          <w:rFonts w:eastAsia="Verdana" w:cs="Verdana"/>
          <w:i/>
          <w:iCs/>
          <w:sz w:val="18"/>
          <w:szCs w:val="18"/>
        </w:rPr>
        <w:t>Distributional analysis of the Stage 3 tax cuts</w:t>
      </w:r>
      <w:r w:rsidRPr="294F0AC8">
        <w:rPr>
          <w:rFonts w:eastAsia="Verdana" w:cs="Verdana"/>
          <w:sz w:val="18"/>
          <w:szCs w:val="18"/>
        </w:rPr>
        <w:t>.'</w:t>
      </w:r>
    </w:p>
  </w:footnote>
  <w:footnote w:id="43">
    <w:p w14:paraId="57F874B3" w14:textId="30ED0BAC" w:rsidR="79A6475B" w:rsidRDefault="79A6475B" w:rsidP="294F0AC8">
      <w:pPr>
        <w:pStyle w:val="FootnoteText"/>
        <w:rPr>
          <w:rFonts w:eastAsia="Calibri" w:cs="Arial"/>
          <w:sz w:val="18"/>
          <w:szCs w:val="18"/>
        </w:rPr>
      </w:pPr>
      <w:r w:rsidRPr="294F0AC8">
        <w:rPr>
          <w:rStyle w:val="FootnoteReference"/>
          <w:rFonts w:eastAsia="Verdana" w:cs="Verdana"/>
          <w:sz w:val="18"/>
          <w:szCs w:val="18"/>
        </w:rPr>
        <w:footnoteRef/>
      </w:r>
      <w:r w:rsidRPr="294F0AC8">
        <w:rPr>
          <w:rFonts w:eastAsia="Verdana" w:cs="Verdana"/>
          <w:sz w:val="18"/>
          <w:szCs w:val="18"/>
        </w:rPr>
        <w:t xml:space="preserve"> ABS (2021), '</w:t>
      </w:r>
      <w:r w:rsidRPr="294F0AC8">
        <w:rPr>
          <w:rFonts w:eastAsia="Verdana" w:cs="Verdana"/>
          <w:i/>
          <w:iCs/>
          <w:sz w:val="18"/>
          <w:szCs w:val="18"/>
        </w:rPr>
        <w:t>Australian National Accounts'</w:t>
      </w:r>
      <w:r w:rsidRPr="294F0AC8">
        <w:rPr>
          <w:rFonts w:eastAsia="Verdana" w:cs="Verdana"/>
          <w:sz w:val="18"/>
          <w:szCs w:val="18"/>
        </w:rPr>
        <w:t>; Pawson H et al (2021), 'COVID1</w:t>
      </w:r>
      <w:r w:rsidRPr="294F0AC8">
        <w:rPr>
          <w:rFonts w:eastAsia="Verdana" w:cs="Verdana"/>
          <w:i/>
          <w:iCs/>
          <w:sz w:val="18"/>
          <w:szCs w:val="18"/>
        </w:rPr>
        <w:t>9, rental housing and homelessness impacts in Australia',</w:t>
      </w:r>
      <w:r w:rsidRPr="294F0AC8">
        <w:rPr>
          <w:rFonts w:eastAsia="Verdana" w:cs="Verdana"/>
          <w:sz w:val="18"/>
          <w:szCs w:val="18"/>
        </w:rPr>
        <w:t xml:space="preserve"> UNSW Sydney.</w:t>
      </w:r>
    </w:p>
  </w:footnote>
  <w:footnote w:id="44">
    <w:p w14:paraId="141C3AAF" w14:textId="73B14B63" w:rsidR="79A6475B" w:rsidRPr="00EC00E7" w:rsidRDefault="79A6475B" w:rsidP="00EC00E7">
      <w:pPr>
        <w:rPr>
          <w:rFonts w:eastAsia="Calibri" w:cs="Arial"/>
          <w:i/>
          <w:iCs/>
          <w:sz w:val="18"/>
          <w:szCs w:val="18"/>
        </w:rPr>
      </w:pPr>
      <w:r w:rsidRPr="294F0AC8">
        <w:rPr>
          <w:rStyle w:val="FootnoteReference"/>
          <w:rFonts w:eastAsia="Verdana" w:cs="Verdana"/>
          <w:sz w:val="18"/>
          <w:szCs w:val="18"/>
        </w:rPr>
        <w:footnoteRef/>
      </w:r>
      <w:r w:rsidRPr="294F0AC8">
        <w:rPr>
          <w:rFonts w:eastAsia="Verdana" w:cs="Verdana"/>
          <w:sz w:val="18"/>
          <w:szCs w:val="18"/>
        </w:rPr>
        <w:t xml:space="preserve"> Australian Taxation Office (2020), '</w:t>
      </w:r>
      <w:r w:rsidRPr="294F0AC8">
        <w:rPr>
          <w:rFonts w:eastAsia="Verdana" w:cs="Verdana"/>
          <w:i/>
          <w:iCs/>
          <w:sz w:val="18"/>
          <w:szCs w:val="18"/>
        </w:rPr>
        <w:t>Taxation Statistics'.</w:t>
      </w:r>
    </w:p>
  </w:footnote>
  <w:footnote w:id="45">
    <w:p w14:paraId="615EB550" w14:textId="7063C363" w:rsidR="79A6475B" w:rsidRDefault="79A6475B" w:rsidP="294F0AC8">
      <w:pPr>
        <w:pStyle w:val="FootnoteText"/>
      </w:pPr>
      <w:r w:rsidRPr="294F0AC8">
        <w:rPr>
          <w:rStyle w:val="FootnoteReference"/>
          <w:rFonts w:eastAsia="Verdana" w:cs="Verdana"/>
          <w:sz w:val="18"/>
          <w:szCs w:val="18"/>
        </w:rPr>
        <w:footnoteRef/>
      </w:r>
      <w:r w:rsidRPr="294F0AC8">
        <w:rPr>
          <w:rFonts w:eastAsia="Verdana" w:cs="Verdana"/>
          <w:sz w:val="18"/>
          <w:szCs w:val="18"/>
        </w:rPr>
        <w:t xml:space="preserve"> A more detailed explanation of this reform, including our responses to claims that it would mainly affect people on low or modest incomes, is in ACOSS (2016): '</w:t>
      </w:r>
      <w:r w:rsidRPr="294F0AC8">
        <w:rPr>
          <w:rFonts w:eastAsia="Verdana" w:cs="Verdana"/>
          <w:i/>
          <w:iCs/>
          <w:sz w:val="18"/>
          <w:szCs w:val="18"/>
        </w:rPr>
        <w:t>Fuel on the fire: Negative gearing, capital gains tax &amp; housing affordability,'</w:t>
      </w:r>
      <w:r w:rsidRPr="294F0AC8">
        <w:rPr>
          <w:rFonts w:eastAsia="Verdana" w:cs="Verdana"/>
          <w:sz w:val="18"/>
          <w:szCs w:val="18"/>
        </w:rPr>
        <w:t xml:space="preserve"> ACOSS, Sydney at: </w:t>
      </w:r>
      <w:hyperlink r:id="rId23">
        <w:r w:rsidRPr="294F0AC8">
          <w:rPr>
            <w:rStyle w:val="Hyperlink"/>
            <w:rFonts w:eastAsia="Verdana" w:cs="Verdana"/>
            <w:sz w:val="18"/>
            <w:szCs w:val="18"/>
          </w:rPr>
          <w:t>https://www.acoss.org.au/wp-content/uploads/2016/04/Fuel_on_the_fire_ACOSS.pdf</w:t>
        </w:r>
      </w:hyperlink>
      <w:r w:rsidRPr="294F0AC8">
        <w:rPr>
          <w:rFonts w:eastAsia="Verdana" w:cs="Verdana"/>
          <w:sz w:val="18"/>
          <w:szCs w:val="18"/>
        </w:rPr>
        <w:t xml:space="preserve">     </w:t>
      </w:r>
    </w:p>
  </w:footnote>
  <w:footnote w:id="46">
    <w:p w14:paraId="3E4D3E45" w14:textId="152E5ABF" w:rsidR="79A6475B" w:rsidRDefault="79A6475B" w:rsidP="294F0AC8">
      <w:pPr>
        <w:pStyle w:val="FootnoteText"/>
        <w:rPr>
          <w:rFonts w:eastAsia="Calibri" w:cs="Arial"/>
          <w:sz w:val="18"/>
          <w:szCs w:val="18"/>
        </w:rPr>
      </w:pPr>
      <w:r w:rsidRPr="294F0AC8">
        <w:rPr>
          <w:rStyle w:val="FootnoteReference"/>
          <w:rFonts w:eastAsia="Verdana" w:cs="Verdana"/>
          <w:sz w:val="18"/>
          <w:szCs w:val="18"/>
        </w:rPr>
        <w:footnoteRef/>
      </w:r>
      <w:r w:rsidRPr="294F0AC8">
        <w:rPr>
          <w:rFonts w:eastAsia="Verdana" w:cs="Verdana"/>
          <w:sz w:val="18"/>
          <w:szCs w:val="18"/>
        </w:rPr>
        <w:t xml:space="preserve"> Unlike the above change to CGT, grandfathering is appropriate in this case because otherwise some existing investors would lack the cashflow to pay the additional tax.</w:t>
      </w:r>
    </w:p>
  </w:footnote>
  <w:footnote w:id="47">
    <w:p w14:paraId="1703341E" w14:textId="68998EA8" w:rsidR="79A6475B" w:rsidRDefault="79A6475B" w:rsidP="294F0AC8">
      <w:pPr>
        <w:pStyle w:val="FootnoteText"/>
      </w:pPr>
      <w:r w:rsidRPr="294F0AC8">
        <w:rPr>
          <w:rStyle w:val="FootnoteReference"/>
          <w:rFonts w:eastAsia="Verdana" w:cs="Verdana"/>
          <w:sz w:val="18"/>
          <w:szCs w:val="18"/>
        </w:rPr>
        <w:footnoteRef/>
      </w:r>
      <w:r w:rsidRPr="294F0AC8">
        <w:rPr>
          <w:rFonts w:eastAsia="Verdana" w:cs="Verdana"/>
          <w:sz w:val="18"/>
          <w:szCs w:val="18"/>
        </w:rPr>
        <w:t xml:space="preserve"> Review of Business Taxation (1999): '</w:t>
      </w:r>
      <w:r w:rsidRPr="294F0AC8">
        <w:rPr>
          <w:rFonts w:eastAsia="Verdana" w:cs="Verdana"/>
          <w:i/>
          <w:iCs/>
          <w:sz w:val="18"/>
          <w:szCs w:val="18"/>
        </w:rPr>
        <w:t xml:space="preserve">A tax system redesigned: More certain, equitable and durable', </w:t>
      </w:r>
      <w:r w:rsidRPr="294F0AC8">
        <w:rPr>
          <w:rFonts w:eastAsia="Verdana" w:cs="Verdana"/>
          <w:sz w:val="18"/>
          <w:szCs w:val="18"/>
        </w:rPr>
        <w:t xml:space="preserve">Treasury, Canberra.  </w:t>
      </w:r>
    </w:p>
  </w:footnote>
  <w:footnote w:id="48">
    <w:p w14:paraId="0665B753" w14:textId="453B43D2" w:rsidR="79A6475B" w:rsidRDefault="79A6475B" w:rsidP="294F0AC8">
      <w:pPr>
        <w:pStyle w:val="FootnoteText"/>
        <w:rPr>
          <w:rFonts w:eastAsia="Calibri" w:cs="Arial"/>
          <w:sz w:val="18"/>
          <w:szCs w:val="18"/>
        </w:rPr>
      </w:pPr>
      <w:r w:rsidRPr="294F0AC8">
        <w:rPr>
          <w:rStyle w:val="FootnoteReference"/>
          <w:rFonts w:eastAsia="Verdana" w:cs="Verdana"/>
          <w:sz w:val="18"/>
          <w:szCs w:val="18"/>
        </w:rPr>
        <w:footnoteRef/>
      </w:r>
      <w:r w:rsidRPr="294F0AC8">
        <w:rPr>
          <w:rFonts w:eastAsia="Verdana" w:cs="Verdana"/>
          <w:sz w:val="18"/>
          <w:szCs w:val="18"/>
        </w:rPr>
        <w:t xml:space="preserve"> Group of 20 (2014): 'High-level principles on beneficial ownership transparency', G20, Brisbane, at: </w:t>
      </w:r>
      <w:hyperlink r:id="rId24">
        <w:r w:rsidRPr="294F0AC8">
          <w:rPr>
            <w:rStyle w:val="Hyperlink"/>
            <w:rFonts w:eastAsia="Verdana" w:cs="Verdana"/>
            <w:sz w:val="18"/>
            <w:szCs w:val="18"/>
          </w:rPr>
          <w:t>https://star.worldbank.org/sites/star/files/g20_high</w:t>
        </w:r>
        <w:r w:rsidRPr="294F0AC8">
          <w:rPr>
            <w:rStyle w:val="Hyperlink"/>
            <w:rFonts w:eastAsia="Verdana" w:cs="Verdana"/>
            <w:i/>
            <w:iCs/>
            <w:sz w:val="18"/>
            <w:szCs w:val="18"/>
          </w:rPr>
          <w:t>-level_principles_beneficial_ownership_transparency.pdf</w:t>
        </w:r>
      </w:hyperlink>
      <w:r w:rsidRPr="294F0AC8">
        <w:rPr>
          <w:rFonts w:eastAsia="Verdana" w:cs="Verdana"/>
          <w:i/>
          <w:iCs/>
          <w:sz w:val="18"/>
          <w:szCs w:val="18"/>
        </w:rPr>
        <w:t xml:space="preserve"> ; OECD (2017): 'Global forum on transparency and exchange of information for tax purposes: Australia 2017 (second round): Peer review report on the exchange of information on request'</w:t>
      </w:r>
      <w:r w:rsidRPr="294F0AC8">
        <w:rPr>
          <w:rFonts w:eastAsia="Verdana" w:cs="Verdana"/>
          <w:sz w:val="18"/>
          <w:szCs w:val="18"/>
        </w:rPr>
        <w:t xml:space="preserve">, OECD Publishing, Paris, at: </w:t>
      </w:r>
      <w:hyperlink r:id="rId25">
        <w:r w:rsidRPr="294F0AC8">
          <w:rPr>
            <w:rStyle w:val="Hyperlink"/>
            <w:rFonts w:eastAsia="Verdana" w:cs="Verdana"/>
            <w:sz w:val="18"/>
            <w:szCs w:val="18"/>
          </w:rPr>
          <w:t>https://doi.org/10.1787/9789264280069-en</w:t>
        </w:r>
      </w:hyperlink>
      <w:r w:rsidRPr="294F0AC8">
        <w:rPr>
          <w:rFonts w:eastAsia="Verdana" w:cs="Verdana"/>
          <w:sz w:val="18"/>
          <w:szCs w:val="18"/>
        </w:rPr>
        <w:t xml:space="preserve"> ; Financial Action Task Force (2018), 'A</w:t>
      </w:r>
      <w:r w:rsidRPr="294F0AC8">
        <w:rPr>
          <w:rFonts w:eastAsia="Verdana" w:cs="Verdana"/>
          <w:i/>
          <w:iCs/>
          <w:sz w:val="18"/>
          <w:szCs w:val="18"/>
        </w:rPr>
        <w:t xml:space="preserve">nti-money laundering and counter-terrorist financing measures - Australia, 3rd Enhanced Follow-up Report &amp; Technical Compliance Re-Rating.' </w:t>
      </w:r>
      <w:r w:rsidRPr="294F0AC8">
        <w:rPr>
          <w:rFonts w:eastAsia="Verdana" w:cs="Verdana"/>
          <w:sz w:val="18"/>
          <w:szCs w:val="18"/>
        </w:rPr>
        <w:t>Paris.</w:t>
      </w:r>
    </w:p>
    <w:p w14:paraId="2034F74E" w14:textId="60F74475" w:rsidR="79A6475B" w:rsidRDefault="00B10971" w:rsidP="294F0AC8">
      <w:pPr>
        <w:pStyle w:val="FootnoteText"/>
        <w:rPr>
          <w:rFonts w:eastAsia="Calibri" w:cs="Arial"/>
          <w:sz w:val="18"/>
          <w:szCs w:val="18"/>
        </w:rPr>
      </w:pPr>
      <w:hyperlink r:id="rId26">
        <w:r w:rsidR="294F0AC8" w:rsidRPr="294F0AC8">
          <w:rPr>
            <w:rStyle w:val="Hyperlink"/>
            <w:rFonts w:eastAsia="Verdana" w:cs="Verdana"/>
            <w:sz w:val="18"/>
            <w:szCs w:val="18"/>
          </w:rPr>
          <w:t>http://www.fatf-gafi.org/publications/mutualevaluations/documents/fur-australia-2018.html</w:t>
        </w:r>
      </w:hyperlink>
      <w:r w:rsidR="294F0AC8" w:rsidRPr="294F0AC8">
        <w:rPr>
          <w:rFonts w:eastAsia="Verdana" w:cs="Verdana"/>
          <w:sz w:val="18"/>
          <w:szCs w:val="18"/>
        </w:rPr>
        <w:t xml:space="preserve"> </w:t>
      </w:r>
    </w:p>
  </w:footnote>
  <w:footnote w:id="49">
    <w:p w14:paraId="36423B54" w14:textId="6D114B81" w:rsidR="79A6475B" w:rsidRDefault="79A6475B" w:rsidP="294F0AC8">
      <w:pPr>
        <w:pStyle w:val="FootnoteText"/>
        <w:rPr>
          <w:rFonts w:eastAsia="Calibri" w:cs="Arial"/>
          <w:sz w:val="18"/>
          <w:szCs w:val="18"/>
        </w:rPr>
      </w:pPr>
      <w:r w:rsidRPr="294F0AC8">
        <w:rPr>
          <w:rStyle w:val="FootnoteReference"/>
          <w:rFonts w:eastAsia="Verdana" w:cs="Verdana"/>
          <w:sz w:val="18"/>
          <w:szCs w:val="18"/>
        </w:rPr>
        <w:footnoteRef/>
      </w:r>
      <w:r w:rsidRPr="294F0AC8">
        <w:rPr>
          <w:rFonts w:eastAsia="Verdana" w:cs="Verdana"/>
          <w:sz w:val="18"/>
          <w:szCs w:val="18"/>
        </w:rPr>
        <w:t xml:space="preserve"> In a family trust election, the transfer of income or losses beyond beneficiaries who belong to the family that owns the trust is discouraged by a penalty tax. Private companies exempted from disclosure requirements by previous grandfathering arrangements should be included.</w:t>
      </w:r>
    </w:p>
  </w:footnote>
  <w:footnote w:id="50">
    <w:p w14:paraId="2B6481B1" w14:textId="10675D48" w:rsidR="79A6475B" w:rsidRDefault="79A6475B" w:rsidP="294F0AC8">
      <w:pPr>
        <w:pStyle w:val="FootnoteText"/>
      </w:pPr>
      <w:r w:rsidRPr="294F0AC8">
        <w:rPr>
          <w:rStyle w:val="FootnoteReference"/>
          <w:rFonts w:eastAsia="Verdana" w:cs="Verdana"/>
          <w:sz w:val="18"/>
          <w:szCs w:val="18"/>
        </w:rPr>
        <w:footnoteRef/>
      </w:r>
      <w:r w:rsidRPr="294F0AC8">
        <w:rPr>
          <w:rFonts w:eastAsia="Verdana" w:cs="Verdana"/>
          <w:sz w:val="18"/>
          <w:szCs w:val="18"/>
        </w:rPr>
        <w:t xml:space="preserve"> The lower company tax rate is restricted to active businesses, as distinct from passive investment vehicles. Nevertheless, incorporated active business entities with turnover of up to $50 million include many owned by high income-earners (for example, professional practices). Business owners with low to modest incomes are less likely to incorporate.  </w:t>
      </w:r>
    </w:p>
  </w:footnote>
  <w:footnote w:id="51">
    <w:p w14:paraId="1ABEDA75" w14:textId="77777777" w:rsidR="009734DD" w:rsidRPr="00600920" w:rsidRDefault="009734DD" w:rsidP="009734DD">
      <w:pPr>
        <w:pStyle w:val="FootnoteText"/>
        <w:rPr>
          <w:sz w:val="16"/>
          <w:szCs w:val="16"/>
        </w:rPr>
      </w:pPr>
      <w:r w:rsidRPr="00600920">
        <w:rPr>
          <w:rStyle w:val="FootnoteReference"/>
          <w:sz w:val="16"/>
          <w:szCs w:val="16"/>
        </w:rPr>
        <w:footnoteRef/>
      </w:r>
      <w:r w:rsidRPr="00600920">
        <w:rPr>
          <w:sz w:val="16"/>
          <w:szCs w:val="16"/>
        </w:rPr>
        <w:t xml:space="preserve"> That tax applies to drinks with sugar content above 5g/100ml and at a higher rate for drinks with over 8g/100ml. Soft drink manufacturers quickly reduced the sugar content of their products to bring them under the thresholds for higher taxation.</w:t>
      </w:r>
    </w:p>
  </w:footnote>
  <w:footnote w:id="52">
    <w:p w14:paraId="26CF81EA" w14:textId="77777777" w:rsidR="009734DD" w:rsidRPr="00600920" w:rsidRDefault="009734DD" w:rsidP="009734DD">
      <w:pPr>
        <w:pStyle w:val="FootnoteText"/>
        <w:rPr>
          <w:sz w:val="16"/>
          <w:szCs w:val="16"/>
        </w:rPr>
      </w:pPr>
      <w:r w:rsidRPr="00600920">
        <w:rPr>
          <w:rStyle w:val="FootnoteReference"/>
          <w:sz w:val="16"/>
          <w:szCs w:val="16"/>
        </w:rPr>
        <w:footnoteRef/>
      </w:r>
      <w:r w:rsidRPr="00600920">
        <w:rPr>
          <w:sz w:val="16"/>
          <w:szCs w:val="16"/>
        </w:rPr>
        <w:t xml:space="preserve"> This could be modelled on a Canadian program, ‘Nutrition North America’, which provides a transport subsidy to food providers in remote, isolated regions. Funding is based on the total weight of fresh food products shipped to eligible communities, who must then pass on the savings to consumers.</w:t>
      </w:r>
    </w:p>
  </w:footnote>
  <w:footnote w:id="53">
    <w:p w14:paraId="01B7A575" w14:textId="77777777" w:rsidR="009734DD" w:rsidRPr="00600920" w:rsidRDefault="009734DD" w:rsidP="009734DD">
      <w:pPr>
        <w:pStyle w:val="FootnoteText"/>
        <w:rPr>
          <w:sz w:val="16"/>
          <w:szCs w:val="16"/>
        </w:rPr>
      </w:pPr>
      <w:r w:rsidRPr="00600920">
        <w:rPr>
          <w:rStyle w:val="FootnoteReference"/>
          <w:sz w:val="16"/>
          <w:szCs w:val="16"/>
        </w:rPr>
        <w:footnoteRef/>
      </w:r>
      <w:r w:rsidRPr="00600920">
        <w:rPr>
          <w:sz w:val="16"/>
          <w:szCs w:val="16"/>
        </w:rPr>
        <w:t xml:space="preserve"> ACIL Allen Consulting (2015): Alcohol tax reform: Economic modelling, ACIL Allen Consulting, Sydney for FARE. Available: </w:t>
      </w:r>
      <w:hyperlink r:id="rId27">
        <w:r w:rsidRPr="00600920">
          <w:rPr>
            <w:rStyle w:val="Hyperlink"/>
            <w:sz w:val="16"/>
            <w:szCs w:val="16"/>
          </w:rPr>
          <w:t>https://www.acilallen.com.au/uploads/files/projects/177/ACILAllen_AlcoholTax_2015.pdf</w:t>
        </w:r>
      </w:hyperlink>
      <w:r w:rsidRPr="00600920">
        <w:rPr>
          <w:sz w:val="16"/>
          <w:szCs w:val="16"/>
        </w:rPr>
        <w:t xml:space="preserve"> A common volumetric tax rate for wine at $56.46 (half way between the full-strength draught beer rate of $33.16 and the spirits rate of $79.77) would raise $2.3 billion in annual revenue and reduce overall alcohol consumption by 7.1% (mainly by raising the cost of cask wines); The Henry Report also proposed a uniform volumetric tax. See Henry et al (2009): op. cit.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A33E" w14:textId="77777777" w:rsidR="000C6B7B" w:rsidRDefault="000C6B7B">
    <w:pPr>
      <w:pStyle w:val="Header"/>
      <w:rPr>
        <w:noProof/>
      </w:rPr>
    </w:pPr>
  </w:p>
  <w:p w14:paraId="377A0038" w14:textId="77777777" w:rsidR="000C6B7B" w:rsidRDefault="000C6B7B">
    <w:pPr>
      <w:pStyle w:val="Header"/>
    </w:pPr>
    <w:r>
      <w:rPr>
        <w:noProof/>
        <w:color w:val="2B579A"/>
        <w:shd w:val="clear" w:color="auto" w:fill="E6E6E6"/>
        <w:lang w:val="en-AU" w:eastAsia="en-AU"/>
      </w:rPr>
      <w:drawing>
        <wp:anchor distT="0" distB="0" distL="114300" distR="114300" simplePos="0" relativeHeight="251658240" behindDoc="1" locked="1" layoutInCell="1" allowOverlap="1" wp14:anchorId="09711CAD" wp14:editId="07777777">
          <wp:simplePos x="0" y="0"/>
          <wp:positionH relativeFrom="page">
            <wp:posOffset>6637655</wp:posOffset>
          </wp:positionH>
          <wp:positionV relativeFrom="page">
            <wp:align>top</wp:align>
          </wp:positionV>
          <wp:extent cx="925830" cy="925830"/>
          <wp:effectExtent l="0" t="0" r="0"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830" cy="9258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5ACF59A"/>
    <w:lvl w:ilvl="0">
      <w:start w:val="1"/>
      <w:numFmt w:val="decimal"/>
      <w:pStyle w:val="ListNumber"/>
      <w:lvlText w:val="%1."/>
      <w:lvlJc w:val="left"/>
      <w:pPr>
        <w:tabs>
          <w:tab w:val="num" w:pos="360"/>
        </w:tabs>
        <w:ind w:left="360" w:hanging="360"/>
      </w:pPr>
    </w:lvl>
  </w:abstractNum>
  <w:abstractNum w:abstractNumId="1" w15:restartNumberingAfterBreak="0">
    <w:nsid w:val="00F15C22"/>
    <w:multiLevelType w:val="hybridMultilevel"/>
    <w:tmpl w:val="FFFFFFFF"/>
    <w:lvl w:ilvl="0" w:tplc="B6323D90">
      <w:start w:val="1"/>
      <w:numFmt w:val="decimal"/>
      <w:lvlText w:val="%1."/>
      <w:lvlJc w:val="left"/>
      <w:pPr>
        <w:ind w:left="720" w:hanging="360"/>
      </w:pPr>
    </w:lvl>
    <w:lvl w:ilvl="1" w:tplc="335A8E8C">
      <w:start w:val="1"/>
      <w:numFmt w:val="lowerLetter"/>
      <w:lvlText w:val="%2."/>
      <w:lvlJc w:val="left"/>
      <w:pPr>
        <w:ind w:left="1440" w:hanging="360"/>
      </w:pPr>
    </w:lvl>
    <w:lvl w:ilvl="2" w:tplc="3CC4A3B4">
      <w:start w:val="1"/>
      <w:numFmt w:val="lowerRoman"/>
      <w:lvlText w:val="%3."/>
      <w:lvlJc w:val="right"/>
      <w:pPr>
        <w:ind w:left="2160" w:hanging="180"/>
      </w:pPr>
    </w:lvl>
    <w:lvl w:ilvl="3" w:tplc="B032EEB8">
      <w:start w:val="1"/>
      <w:numFmt w:val="decimal"/>
      <w:lvlText w:val="%4."/>
      <w:lvlJc w:val="left"/>
      <w:pPr>
        <w:ind w:left="2880" w:hanging="360"/>
      </w:pPr>
    </w:lvl>
    <w:lvl w:ilvl="4" w:tplc="C6F88CE8">
      <w:start w:val="1"/>
      <w:numFmt w:val="lowerLetter"/>
      <w:lvlText w:val="%5."/>
      <w:lvlJc w:val="left"/>
      <w:pPr>
        <w:ind w:left="3600" w:hanging="360"/>
      </w:pPr>
    </w:lvl>
    <w:lvl w:ilvl="5" w:tplc="4B3CB974">
      <w:start w:val="1"/>
      <w:numFmt w:val="lowerRoman"/>
      <w:lvlText w:val="%6."/>
      <w:lvlJc w:val="right"/>
      <w:pPr>
        <w:ind w:left="4320" w:hanging="180"/>
      </w:pPr>
    </w:lvl>
    <w:lvl w:ilvl="6" w:tplc="3B9C4C12">
      <w:start w:val="1"/>
      <w:numFmt w:val="decimal"/>
      <w:lvlText w:val="%7."/>
      <w:lvlJc w:val="left"/>
      <w:pPr>
        <w:ind w:left="5040" w:hanging="360"/>
      </w:pPr>
    </w:lvl>
    <w:lvl w:ilvl="7" w:tplc="BFC2E730">
      <w:start w:val="1"/>
      <w:numFmt w:val="lowerLetter"/>
      <w:lvlText w:val="%8."/>
      <w:lvlJc w:val="left"/>
      <w:pPr>
        <w:ind w:left="5760" w:hanging="360"/>
      </w:pPr>
    </w:lvl>
    <w:lvl w:ilvl="8" w:tplc="B5864886">
      <w:start w:val="1"/>
      <w:numFmt w:val="lowerRoman"/>
      <w:lvlText w:val="%9."/>
      <w:lvlJc w:val="right"/>
      <w:pPr>
        <w:ind w:left="6480" w:hanging="180"/>
      </w:pPr>
    </w:lvl>
  </w:abstractNum>
  <w:abstractNum w:abstractNumId="2" w15:restartNumberingAfterBreak="0">
    <w:nsid w:val="01472FD5"/>
    <w:multiLevelType w:val="hybridMultilevel"/>
    <w:tmpl w:val="72A0CAF6"/>
    <w:lvl w:ilvl="0" w:tplc="E7961FDE">
      <w:start w:val="1"/>
      <w:numFmt w:val="decimal"/>
      <w:lvlText w:val="%1."/>
      <w:lvlJc w:val="left"/>
      <w:pPr>
        <w:ind w:left="720" w:hanging="360"/>
      </w:pPr>
    </w:lvl>
    <w:lvl w:ilvl="1" w:tplc="02B2AED4">
      <w:start w:val="1"/>
      <w:numFmt w:val="lowerLetter"/>
      <w:lvlText w:val="%2."/>
      <w:lvlJc w:val="left"/>
      <w:pPr>
        <w:ind w:left="1440" w:hanging="360"/>
      </w:pPr>
    </w:lvl>
    <w:lvl w:ilvl="2" w:tplc="6E52B7DA">
      <w:start w:val="1"/>
      <w:numFmt w:val="lowerRoman"/>
      <w:lvlText w:val="%3."/>
      <w:lvlJc w:val="right"/>
      <w:pPr>
        <w:ind w:left="2160" w:hanging="180"/>
      </w:pPr>
    </w:lvl>
    <w:lvl w:ilvl="3" w:tplc="A7340054">
      <w:start w:val="1"/>
      <w:numFmt w:val="decimal"/>
      <w:lvlText w:val="%4."/>
      <w:lvlJc w:val="left"/>
      <w:pPr>
        <w:ind w:left="2880" w:hanging="360"/>
      </w:pPr>
    </w:lvl>
    <w:lvl w:ilvl="4" w:tplc="DF9AC534">
      <w:start w:val="1"/>
      <w:numFmt w:val="lowerLetter"/>
      <w:lvlText w:val="%5."/>
      <w:lvlJc w:val="left"/>
      <w:pPr>
        <w:ind w:left="3600" w:hanging="360"/>
      </w:pPr>
    </w:lvl>
    <w:lvl w:ilvl="5" w:tplc="D4707ECE">
      <w:start w:val="1"/>
      <w:numFmt w:val="lowerRoman"/>
      <w:lvlText w:val="%6."/>
      <w:lvlJc w:val="right"/>
      <w:pPr>
        <w:ind w:left="4320" w:hanging="180"/>
      </w:pPr>
    </w:lvl>
    <w:lvl w:ilvl="6" w:tplc="265627F0">
      <w:start w:val="1"/>
      <w:numFmt w:val="decimal"/>
      <w:lvlText w:val="%7."/>
      <w:lvlJc w:val="left"/>
      <w:pPr>
        <w:ind w:left="5040" w:hanging="360"/>
      </w:pPr>
    </w:lvl>
    <w:lvl w:ilvl="7" w:tplc="AB0ED57E">
      <w:start w:val="1"/>
      <w:numFmt w:val="lowerLetter"/>
      <w:lvlText w:val="%8."/>
      <w:lvlJc w:val="left"/>
      <w:pPr>
        <w:ind w:left="5760" w:hanging="360"/>
      </w:pPr>
    </w:lvl>
    <w:lvl w:ilvl="8" w:tplc="E00495B4">
      <w:start w:val="1"/>
      <w:numFmt w:val="lowerRoman"/>
      <w:lvlText w:val="%9."/>
      <w:lvlJc w:val="right"/>
      <w:pPr>
        <w:ind w:left="6480" w:hanging="180"/>
      </w:pPr>
    </w:lvl>
  </w:abstractNum>
  <w:abstractNum w:abstractNumId="3" w15:restartNumberingAfterBreak="0">
    <w:nsid w:val="034521CF"/>
    <w:multiLevelType w:val="hybridMultilevel"/>
    <w:tmpl w:val="FFFFFFFF"/>
    <w:lvl w:ilvl="0" w:tplc="6A8047C6">
      <w:start w:val="1"/>
      <w:numFmt w:val="decimal"/>
      <w:lvlText w:val="%1)"/>
      <w:lvlJc w:val="left"/>
      <w:pPr>
        <w:ind w:left="720" w:hanging="360"/>
      </w:pPr>
    </w:lvl>
    <w:lvl w:ilvl="1" w:tplc="C9EAA4F8">
      <w:start w:val="1"/>
      <w:numFmt w:val="lowerLetter"/>
      <w:lvlText w:val="%2."/>
      <w:lvlJc w:val="left"/>
      <w:pPr>
        <w:ind w:left="1440" w:hanging="360"/>
      </w:pPr>
    </w:lvl>
    <w:lvl w:ilvl="2" w:tplc="361C2F44">
      <w:start w:val="1"/>
      <w:numFmt w:val="lowerRoman"/>
      <w:lvlText w:val="%3."/>
      <w:lvlJc w:val="right"/>
      <w:pPr>
        <w:ind w:left="2160" w:hanging="180"/>
      </w:pPr>
    </w:lvl>
    <w:lvl w:ilvl="3" w:tplc="9DB828D2">
      <w:start w:val="1"/>
      <w:numFmt w:val="decimal"/>
      <w:lvlText w:val="%4."/>
      <w:lvlJc w:val="left"/>
      <w:pPr>
        <w:ind w:left="2880" w:hanging="360"/>
      </w:pPr>
    </w:lvl>
    <w:lvl w:ilvl="4" w:tplc="83B8BA7E">
      <w:start w:val="1"/>
      <w:numFmt w:val="lowerLetter"/>
      <w:lvlText w:val="%5."/>
      <w:lvlJc w:val="left"/>
      <w:pPr>
        <w:ind w:left="3600" w:hanging="360"/>
      </w:pPr>
    </w:lvl>
    <w:lvl w:ilvl="5" w:tplc="03F64B1E">
      <w:start w:val="1"/>
      <w:numFmt w:val="lowerRoman"/>
      <w:lvlText w:val="%6."/>
      <w:lvlJc w:val="right"/>
      <w:pPr>
        <w:ind w:left="4320" w:hanging="180"/>
      </w:pPr>
    </w:lvl>
    <w:lvl w:ilvl="6" w:tplc="27E4A98C">
      <w:start w:val="1"/>
      <w:numFmt w:val="decimal"/>
      <w:lvlText w:val="%7."/>
      <w:lvlJc w:val="left"/>
      <w:pPr>
        <w:ind w:left="5040" w:hanging="360"/>
      </w:pPr>
    </w:lvl>
    <w:lvl w:ilvl="7" w:tplc="E0CC6FA4">
      <w:start w:val="1"/>
      <w:numFmt w:val="lowerLetter"/>
      <w:lvlText w:val="%8."/>
      <w:lvlJc w:val="left"/>
      <w:pPr>
        <w:ind w:left="5760" w:hanging="360"/>
      </w:pPr>
    </w:lvl>
    <w:lvl w:ilvl="8" w:tplc="488C9A40">
      <w:start w:val="1"/>
      <w:numFmt w:val="lowerRoman"/>
      <w:lvlText w:val="%9."/>
      <w:lvlJc w:val="right"/>
      <w:pPr>
        <w:ind w:left="6480" w:hanging="180"/>
      </w:pPr>
    </w:lvl>
  </w:abstractNum>
  <w:abstractNum w:abstractNumId="4" w15:restartNumberingAfterBreak="0">
    <w:nsid w:val="050D6DD7"/>
    <w:multiLevelType w:val="hybridMultilevel"/>
    <w:tmpl w:val="FFFFFFFF"/>
    <w:lvl w:ilvl="0" w:tplc="294A6BB2">
      <w:start w:val="1"/>
      <w:numFmt w:val="decimal"/>
      <w:lvlText w:val="%1)"/>
      <w:lvlJc w:val="left"/>
      <w:pPr>
        <w:ind w:left="720" w:hanging="360"/>
      </w:pPr>
    </w:lvl>
    <w:lvl w:ilvl="1" w:tplc="F196A5E6">
      <w:start w:val="1"/>
      <w:numFmt w:val="lowerLetter"/>
      <w:lvlText w:val="%2."/>
      <w:lvlJc w:val="left"/>
      <w:pPr>
        <w:ind w:left="1440" w:hanging="360"/>
      </w:pPr>
    </w:lvl>
    <w:lvl w:ilvl="2" w:tplc="DDE057A0">
      <w:start w:val="1"/>
      <w:numFmt w:val="lowerRoman"/>
      <w:lvlText w:val="%3."/>
      <w:lvlJc w:val="right"/>
      <w:pPr>
        <w:ind w:left="2160" w:hanging="180"/>
      </w:pPr>
    </w:lvl>
    <w:lvl w:ilvl="3" w:tplc="2BC0BBA8">
      <w:start w:val="1"/>
      <w:numFmt w:val="decimal"/>
      <w:lvlText w:val="%4."/>
      <w:lvlJc w:val="left"/>
      <w:pPr>
        <w:ind w:left="2880" w:hanging="360"/>
      </w:pPr>
    </w:lvl>
    <w:lvl w:ilvl="4" w:tplc="D4C0670C">
      <w:start w:val="1"/>
      <w:numFmt w:val="lowerLetter"/>
      <w:lvlText w:val="%5."/>
      <w:lvlJc w:val="left"/>
      <w:pPr>
        <w:ind w:left="3600" w:hanging="360"/>
      </w:pPr>
    </w:lvl>
    <w:lvl w:ilvl="5" w:tplc="9D76266C">
      <w:start w:val="1"/>
      <w:numFmt w:val="lowerRoman"/>
      <w:lvlText w:val="%6."/>
      <w:lvlJc w:val="right"/>
      <w:pPr>
        <w:ind w:left="4320" w:hanging="180"/>
      </w:pPr>
    </w:lvl>
    <w:lvl w:ilvl="6" w:tplc="72D49FFC">
      <w:start w:val="1"/>
      <w:numFmt w:val="decimal"/>
      <w:lvlText w:val="%7."/>
      <w:lvlJc w:val="left"/>
      <w:pPr>
        <w:ind w:left="5040" w:hanging="360"/>
      </w:pPr>
    </w:lvl>
    <w:lvl w:ilvl="7" w:tplc="FFBEA6CC">
      <w:start w:val="1"/>
      <w:numFmt w:val="lowerLetter"/>
      <w:lvlText w:val="%8."/>
      <w:lvlJc w:val="left"/>
      <w:pPr>
        <w:ind w:left="5760" w:hanging="360"/>
      </w:pPr>
    </w:lvl>
    <w:lvl w:ilvl="8" w:tplc="7E90E13E">
      <w:start w:val="1"/>
      <w:numFmt w:val="lowerRoman"/>
      <w:lvlText w:val="%9."/>
      <w:lvlJc w:val="right"/>
      <w:pPr>
        <w:ind w:left="6480" w:hanging="180"/>
      </w:pPr>
    </w:lvl>
  </w:abstractNum>
  <w:abstractNum w:abstractNumId="5" w15:restartNumberingAfterBreak="0">
    <w:nsid w:val="070D237B"/>
    <w:multiLevelType w:val="hybridMultilevel"/>
    <w:tmpl w:val="FFFFFFFF"/>
    <w:lvl w:ilvl="0" w:tplc="B95C79BE">
      <w:start w:val="1"/>
      <w:numFmt w:val="decimal"/>
      <w:lvlText w:val="%1."/>
      <w:lvlJc w:val="left"/>
      <w:pPr>
        <w:ind w:left="720" w:hanging="360"/>
      </w:pPr>
    </w:lvl>
    <w:lvl w:ilvl="1" w:tplc="10500BA6">
      <w:start w:val="1"/>
      <w:numFmt w:val="lowerLetter"/>
      <w:lvlText w:val="%2."/>
      <w:lvlJc w:val="left"/>
      <w:pPr>
        <w:ind w:left="1440" w:hanging="360"/>
      </w:pPr>
    </w:lvl>
    <w:lvl w:ilvl="2" w:tplc="4C2A663E">
      <w:start w:val="1"/>
      <w:numFmt w:val="lowerRoman"/>
      <w:lvlText w:val="%3."/>
      <w:lvlJc w:val="right"/>
      <w:pPr>
        <w:ind w:left="2160" w:hanging="180"/>
      </w:pPr>
    </w:lvl>
    <w:lvl w:ilvl="3" w:tplc="E2C8C80C">
      <w:start w:val="1"/>
      <w:numFmt w:val="decimal"/>
      <w:lvlText w:val="%4."/>
      <w:lvlJc w:val="left"/>
      <w:pPr>
        <w:ind w:left="2880" w:hanging="360"/>
      </w:pPr>
    </w:lvl>
    <w:lvl w:ilvl="4" w:tplc="2D1850B2">
      <w:start w:val="1"/>
      <w:numFmt w:val="lowerLetter"/>
      <w:lvlText w:val="%5."/>
      <w:lvlJc w:val="left"/>
      <w:pPr>
        <w:ind w:left="3600" w:hanging="360"/>
      </w:pPr>
    </w:lvl>
    <w:lvl w:ilvl="5" w:tplc="0BC00F70">
      <w:start w:val="1"/>
      <w:numFmt w:val="lowerRoman"/>
      <w:lvlText w:val="%6."/>
      <w:lvlJc w:val="right"/>
      <w:pPr>
        <w:ind w:left="4320" w:hanging="180"/>
      </w:pPr>
    </w:lvl>
    <w:lvl w:ilvl="6" w:tplc="7E945FC2">
      <w:start w:val="1"/>
      <w:numFmt w:val="decimal"/>
      <w:lvlText w:val="%7."/>
      <w:lvlJc w:val="left"/>
      <w:pPr>
        <w:ind w:left="5040" w:hanging="360"/>
      </w:pPr>
    </w:lvl>
    <w:lvl w:ilvl="7" w:tplc="EDCE7EA6">
      <w:start w:val="1"/>
      <w:numFmt w:val="lowerLetter"/>
      <w:lvlText w:val="%8."/>
      <w:lvlJc w:val="left"/>
      <w:pPr>
        <w:ind w:left="5760" w:hanging="360"/>
      </w:pPr>
    </w:lvl>
    <w:lvl w:ilvl="8" w:tplc="4C8AB686">
      <w:start w:val="1"/>
      <w:numFmt w:val="lowerRoman"/>
      <w:lvlText w:val="%9."/>
      <w:lvlJc w:val="right"/>
      <w:pPr>
        <w:ind w:left="6480" w:hanging="180"/>
      </w:pPr>
    </w:lvl>
  </w:abstractNum>
  <w:abstractNum w:abstractNumId="6" w15:restartNumberingAfterBreak="0">
    <w:nsid w:val="089858F2"/>
    <w:multiLevelType w:val="hybridMultilevel"/>
    <w:tmpl w:val="FFFFFFFF"/>
    <w:lvl w:ilvl="0" w:tplc="21C8740A">
      <w:start w:val="1"/>
      <w:numFmt w:val="bullet"/>
      <w:lvlText w:val=""/>
      <w:lvlJc w:val="left"/>
      <w:pPr>
        <w:ind w:left="720" w:hanging="360"/>
      </w:pPr>
      <w:rPr>
        <w:rFonts w:ascii="Symbol" w:hAnsi="Symbol" w:hint="default"/>
      </w:rPr>
    </w:lvl>
    <w:lvl w:ilvl="1" w:tplc="3F8E9398">
      <w:start w:val="1"/>
      <w:numFmt w:val="bullet"/>
      <w:lvlText w:val="o"/>
      <w:lvlJc w:val="left"/>
      <w:pPr>
        <w:ind w:left="1440" w:hanging="360"/>
      </w:pPr>
      <w:rPr>
        <w:rFonts w:ascii="Courier New" w:hAnsi="Courier New" w:hint="default"/>
      </w:rPr>
    </w:lvl>
    <w:lvl w:ilvl="2" w:tplc="D338B704">
      <w:start w:val="1"/>
      <w:numFmt w:val="bullet"/>
      <w:lvlText w:val=""/>
      <w:lvlJc w:val="left"/>
      <w:pPr>
        <w:ind w:left="2160" w:hanging="360"/>
      </w:pPr>
      <w:rPr>
        <w:rFonts w:ascii="Wingdings" w:hAnsi="Wingdings" w:hint="default"/>
      </w:rPr>
    </w:lvl>
    <w:lvl w:ilvl="3" w:tplc="9E22FF90">
      <w:start w:val="1"/>
      <w:numFmt w:val="bullet"/>
      <w:lvlText w:val=""/>
      <w:lvlJc w:val="left"/>
      <w:pPr>
        <w:ind w:left="2880" w:hanging="360"/>
      </w:pPr>
      <w:rPr>
        <w:rFonts w:ascii="Symbol" w:hAnsi="Symbol" w:hint="default"/>
      </w:rPr>
    </w:lvl>
    <w:lvl w:ilvl="4" w:tplc="E82C934E">
      <w:start w:val="1"/>
      <w:numFmt w:val="bullet"/>
      <w:lvlText w:val="o"/>
      <w:lvlJc w:val="left"/>
      <w:pPr>
        <w:ind w:left="3600" w:hanging="360"/>
      </w:pPr>
      <w:rPr>
        <w:rFonts w:ascii="Courier New" w:hAnsi="Courier New" w:hint="default"/>
      </w:rPr>
    </w:lvl>
    <w:lvl w:ilvl="5" w:tplc="B58C4012">
      <w:start w:val="1"/>
      <w:numFmt w:val="bullet"/>
      <w:lvlText w:val=""/>
      <w:lvlJc w:val="left"/>
      <w:pPr>
        <w:ind w:left="4320" w:hanging="360"/>
      </w:pPr>
      <w:rPr>
        <w:rFonts w:ascii="Wingdings" w:hAnsi="Wingdings" w:hint="default"/>
      </w:rPr>
    </w:lvl>
    <w:lvl w:ilvl="6" w:tplc="61929D7A">
      <w:start w:val="1"/>
      <w:numFmt w:val="bullet"/>
      <w:lvlText w:val=""/>
      <w:lvlJc w:val="left"/>
      <w:pPr>
        <w:ind w:left="5040" w:hanging="360"/>
      </w:pPr>
      <w:rPr>
        <w:rFonts w:ascii="Symbol" w:hAnsi="Symbol" w:hint="default"/>
      </w:rPr>
    </w:lvl>
    <w:lvl w:ilvl="7" w:tplc="CB54DB90">
      <w:start w:val="1"/>
      <w:numFmt w:val="bullet"/>
      <w:lvlText w:val="o"/>
      <w:lvlJc w:val="left"/>
      <w:pPr>
        <w:ind w:left="5760" w:hanging="360"/>
      </w:pPr>
      <w:rPr>
        <w:rFonts w:ascii="Courier New" w:hAnsi="Courier New" w:hint="default"/>
      </w:rPr>
    </w:lvl>
    <w:lvl w:ilvl="8" w:tplc="C9A69660">
      <w:start w:val="1"/>
      <w:numFmt w:val="bullet"/>
      <w:lvlText w:val=""/>
      <w:lvlJc w:val="left"/>
      <w:pPr>
        <w:ind w:left="6480" w:hanging="360"/>
      </w:pPr>
      <w:rPr>
        <w:rFonts w:ascii="Wingdings" w:hAnsi="Wingdings" w:hint="default"/>
      </w:rPr>
    </w:lvl>
  </w:abstractNum>
  <w:abstractNum w:abstractNumId="7" w15:restartNumberingAfterBreak="0">
    <w:nsid w:val="0CF41D17"/>
    <w:multiLevelType w:val="hybridMultilevel"/>
    <w:tmpl w:val="FFFFFFFF"/>
    <w:lvl w:ilvl="0" w:tplc="70F60C8A">
      <w:start w:val="1"/>
      <w:numFmt w:val="decimal"/>
      <w:lvlText w:val="%1)"/>
      <w:lvlJc w:val="left"/>
      <w:pPr>
        <w:ind w:left="720" w:hanging="360"/>
      </w:pPr>
    </w:lvl>
    <w:lvl w:ilvl="1" w:tplc="48D21492">
      <w:start w:val="1"/>
      <w:numFmt w:val="lowerLetter"/>
      <w:lvlText w:val="%2."/>
      <w:lvlJc w:val="left"/>
      <w:pPr>
        <w:ind w:left="1440" w:hanging="360"/>
      </w:pPr>
    </w:lvl>
    <w:lvl w:ilvl="2" w:tplc="6272159A">
      <w:start w:val="1"/>
      <w:numFmt w:val="lowerRoman"/>
      <w:lvlText w:val="%3."/>
      <w:lvlJc w:val="right"/>
      <w:pPr>
        <w:ind w:left="2160" w:hanging="180"/>
      </w:pPr>
    </w:lvl>
    <w:lvl w:ilvl="3" w:tplc="FC563316">
      <w:start w:val="1"/>
      <w:numFmt w:val="decimal"/>
      <w:lvlText w:val="%4."/>
      <w:lvlJc w:val="left"/>
      <w:pPr>
        <w:ind w:left="2880" w:hanging="360"/>
      </w:pPr>
    </w:lvl>
    <w:lvl w:ilvl="4" w:tplc="5962837A">
      <w:start w:val="1"/>
      <w:numFmt w:val="lowerLetter"/>
      <w:lvlText w:val="%5."/>
      <w:lvlJc w:val="left"/>
      <w:pPr>
        <w:ind w:left="3600" w:hanging="360"/>
      </w:pPr>
    </w:lvl>
    <w:lvl w:ilvl="5" w:tplc="5C2453F0">
      <w:start w:val="1"/>
      <w:numFmt w:val="lowerRoman"/>
      <w:lvlText w:val="%6."/>
      <w:lvlJc w:val="right"/>
      <w:pPr>
        <w:ind w:left="4320" w:hanging="180"/>
      </w:pPr>
    </w:lvl>
    <w:lvl w:ilvl="6" w:tplc="9B5CC072">
      <w:start w:val="1"/>
      <w:numFmt w:val="decimal"/>
      <w:lvlText w:val="%7."/>
      <w:lvlJc w:val="left"/>
      <w:pPr>
        <w:ind w:left="5040" w:hanging="360"/>
      </w:pPr>
    </w:lvl>
    <w:lvl w:ilvl="7" w:tplc="65529114">
      <w:start w:val="1"/>
      <w:numFmt w:val="lowerLetter"/>
      <w:lvlText w:val="%8."/>
      <w:lvlJc w:val="left"/>
      <w:pPr>
        <w:ind w:left="5760" w:hanging="360"/>
      </w:pPr>
    </w:lvl>
    <w:lvl w:ilvl="8" w:tplc="4C7465E0">
      <w:start w:val="1"/>
      <w:numFmt w:val="lowerRoman"/>
      <w:lvlText w:val="%9."/>
      <w:lvlJc w:val="right"/>
      <w:pPr>
        <w:ind w:left="6480" w:hanging="180"/>
      </w:pPr>
    </w:lvl>
  </w:abstractNum>
  <w:abstractNum w:abstractNumId="8" w15:restartNumberingAfterBreak="0">
    <w:nsid w:val="174031DC"/>
    <w:multiLevelType w:val="hybridMultilevel"/>
    <w:tmpl w:val="FFFFFFFF"/>
    <w:lvl w:ilvl="0" w:tplc="FD0A1398">
      <w:start w:val="1"/>
      <w:numFmt w:val="bullet"/>
      <w:lvlText w:val=""/>
      <w:lvlJc w:val="left"/>
      <w:pPr>
        <w:ind w:left="720" w:hanging="360"/>
      </w:pPr>
      <w:rPr>
        <w:rFonts w:ascii="Symbol" w:hAnsi="Symbol" w:hint="default"/>
      </w:rPr>
    </w:lvl>
    <w:lvl w:ilvl="1" w:tplc="1A128800">
      <w:start w:val="1"/>
      <w:numFmt w:val="bullet"/>
      <w:lvlText w:val="o"/>
      <w:lvlJc w:val="left"/>
      <w:pPr>
        <w:ind w:left="1440" w:hanging="360"/>
      </w:pPr>
      <w:rPr>
        <w:rFonts w:ascii="Courier New" w:hAnsi="Courier New" w:hint="default"/>
      </w:rPr>
    </w:lvl>
    <w:lvl w:ilvl="2" w:tplc="FD94BCF6">
      <w:start w:val="1"/>
      <w:numFmt w:val="bullet"/>
      <w:lvlText w:val=""/>
      <w:lvlJc w:val="left"/>
      <w:pPr>
        <w:ind w:left="2160" w:hanging="360"/>
      </w:pPr>
      <w:rPr>
        <w:rFonts w:ascii="Wingdings" w:hAnsi="Wingdings" w:hint="default"/>
      </w:rPr>
    </w:lvl>
    <w:lvl w:ilvl="3" w:tplc="A888006E">
      <w:start w:val="1"/>
      <w:numFmt w:val="bullet"/>
      <w:lvlText w:val=""/>
      <w:lvlJc w:val="left"/>
      <w:pPr>
        <w:ind w:left="2880" w:hanging="360"/>
      </w:pPr>
      <w:rPr>
        <w:rFonts w:ascii="Symbol" w:hAnsi="Symbol" w:hint="default"/>
      </w:rPr>
    </w:lvl>
    <w:lvl w:ilvl="4" w:tplc="F8F6C0AC">
      <w:start w:val="1"/>
      <w:numFmt w:val="bullet"/>
      <w:lvlText w:val="o"/>
      <w:lvlJc w:val="left"/>
      <w:pPr>
        <w:ind w:left="3600" w:hanging="360"/>
      </w:pPr>
      <w:rPr>
        <w:rFonts w:ascii="Courier New" w:hAnsi="Courier New" w:hint="default"/>
      </w:rPr>
    </w:lvl>
    <w:lvl w:ilvl="5" w:tplc="3740D9B2">
      <w:start w:val="1"/>
      <w:numFmt w:val="bullet"/>
      <w:lvlText w:val=""/>
      <w:lvlJc w:val="left"/>
      <w:pPr>
        <w:ind w:left="4320" w:hanging="360"/>
      </w:pPr>
      <w:rPr>
        <w:rFonts w:ascii="Wingdings" w:hAnsi="Wingdings" w:hint="default"/>
      </w:rPr>
    </w:lvl>
    <w:lvl w:ilvl="6" w:tplc="FA84452C">
      <w:start w:val="1"/>
      <w:numFmt w:val="bullet"/>
      <w:lvlText w:val=""/>
      <w:lvlJc w:val="left"/>
      <w:pPr>
        <w:ind w:left="5040" w:hanging="360"/>
      </w:pPr>
      <w:rPr>
        <w:rFonts w:ascii="Symbol" w:hAnsi="Symbol" w:hint="default"/>
      </w:rPr>
    </w:lvl>
    <w:lvl w:ilvl="7" w:tplc="F7FAD3E2">
      <w:start w:val="1"/>
      <w:numFmt w:val="bullet"/>
      <w:lvlText w:val="o"/>
      <w:lvlJc w:val="left"/>
      <w:pPr>
        <w:ind w:left="5760" w:hanging="360"/>
      </w:pPr>
      <w:rPr>
        <w:rFonts w:ascii="Courier New" w:hAnsi="Courier New" w:hint="default"/>
      </w:rPr>
    </w:lvl>
    <w:lvl w:ilvl="8" w:tplc="279CE9A6">
      <w:start w:val="1"/>
      <w:numFmt w:val="bullet"/>
      <w:lvlText w:val=""/>
      <w:lvlJc w:val="left"/>
      <w:pPr>
        <w:ind w:left="6480" w:hanging="360"/>
      </w:pPr>
      <w:rPr>
        <w:rFonts w:ascii="Wingdings" w:hAnsi="Wingdings" w:hint="default"/>
      </w:rPr>
    </w:lvl>
  </w:abstractNum>
  <w:abstractNum w:abstractNumId="9" w15:restartNumberingAfterBreak="0">
    <w:nsid w:val="19B85062"/>
    <w:multiLevelType w:val="hybridMultilevel"/>
    <w:tmpl w:val="FFFFFFFF"/>
    <w:lvl w:ilvl="0" w:tplc="2CCE6278">
      <w:start w:val="1"/>
      <w:numFmt w:val="decimal"/>
      <w:lvlText w:val="%1."/>
      <w:lvlJc w:val="left"/>
      <w:pPr>
        <w:ind w:left="720" w:hanging="360"/>
      </w:pPr>
    </w:lvl>
    <w:lvl w:ilvl="1" w:tplc="F822F65E">
      <w:start w:val="1"/>
      <w:numFmt w:val="lowerLetter"/>
      <w:lvlText w:val="%2."/>
      <w:lvlJc w:val="left"/>
      <w:pPr>
        <w:ind w:left="1440" w:hanging="360"/>
      </w:pPr>
    </w:lvl>
    <w:lvl w:ilvl="2" w:tplc="0D246D66">
      <w:start w:val="1"/>
      <w:numFmt w:val="lowerRoman"/>
      <w:lvlText w:val="%3."/>
      <w:lvlJc w:val="right"/>
      <w:pPr>
        <w:ind w:left="2160" w:hanging="180"/>
      </w:pPr>
    </w:lvl>
    <w:lvl w:ilvl="3" w:tplc="8354BED4">
      <w:start w:val="1"/>
      <w:numFmt w:val="decimal"/>
      <w:lvlText w:val="%4."/>
      <w:lvlJc w:val="left"/>
      <w:pPr>
        <w:ind w:left="2880" w:hanging="360"/>
      </w:pPr>
    </w:lvl>
    <w:lvl w:ilvl="4" w:tplc="72D27CDC">
      <w:start w:val="1"/>
      <w:numFmt w:val="lowerLetter"/>
      <w:lvlText w:val="%5."/>
      <w:lvlJc w:val="left"/>
      <w:pPr>
        <w:ind w:left="3600" w:hanging="360"/>
      </w:pPr>
    </w:lvl>
    <w:lvl w:ilvl="5" w:tplc="8DC8D55E">
      <w:start w:val="1"/>
      <w:numFmt w:val="lowerRoman"/>
      <w:lvlText w:val="%6."/>
      <w:lvlJc w:val="right"/>
      <w:pPr>
        <w:ind w:left="4320" w:hanging="180"/>
      </w:pPr>
    </w:lvl>
    <w:lvl w:ilvl="6" w:tplc="16D65AD0">
      <w:start w:val="1"/>
      <w:numFmt w:val="decimal"/>
      <w:lvlText w:val="%7."/>
      <w:lvlJc w:val="left"/>
      <w:pPr>
        <w:ind w:left="5040" w:hanging="360"/>
      </w:pPr>
    </w:lvl>
    <w:lvl w:ilvl="7" w:tplc="488EC0A8">
      <w:start w:val="1"/>
      <w:numFmt w:val="lowerLetter"/>
      <w:lvlText w:val="%8."/>
      <w:lvlJc w:val="left"/>
      <w:pPr>
        <w:ind w:left="5760" w:hanging="360"/>
      </w:pPr>
    </w:lvl>
    <w:lvl w:ilvl="8" w:tplc="7ACEA0D6">
      <w:start w:val="1"/>
      <w:numFmt w:val="lowerRoman"/>
      <w:lvlText w:val="%9."/>
      <w:lvlJc w:val="right"/>
      <w:pPr>
        <w:ind w:left="6480" w:hanging="180"/>
      </w:pPr>
    </w:lvl>
  </w:abstractNum>
  <w:abstractNum w:abstractNumId="10" w15:restartNumberingAfterBreak="0">
    <w:nsid w:val="214D4E76"/>
    <w:multiLevelType w:val="hybridMultilevel"/>
    <w:tmpl w:val="FFFFFFFF"/>
    <w:lvl w:ilvl="0" w:tplc="84DC960A">
      <w:start w:val="1"/>
      <w:numFmt w:val="decimal"/>
      <w:lvlText w:val="%1)"/>
      <w:lvlJc w:val="left"/>
      <w:pPr>
        <w:ind w:left="720" w:hanging="360"/>
      </w:pPr>
    </w:lvl>
    <w:lvl w:ilvl="1" w:tplc="9A182C96">
      <w:start w:val="1"/>
      <w:numFmt w:val="lowerLetter"/>
      <w:lvlText w:val="%2."/>
      <w:lvlJc w:val="left"/>
      <w:pPr>
        <w:ind w:left="1440" w:hanging="360"/>
      </w:pPr>
    </w:lvl>
    <w:lvl w:ilvl="2" w:tplc="CEF40332">
      <w:start w:val="1"/>
      <w:numFmt w:val="lowerRoman"/>
      <w:lvlText w:val="%3."/>
      <w:lvlJc w:val="right"/>
      <w:pPr>
        <w:ind w:left="2160" w:hanging="180"/>
      </w:pPr>
    </w:lvl>
    <w:lvl w:ilvl="3" w:tplc="E876BD12">
      <w:start w:val="1"/>
      <w:numFmt w:val="decimal"/>
      <w:lvlText w:val="%4."/>
      <w:lvlJc w:val="left"/>
      <w:pPr>
        <w:ind w:left="2880" w:hanging="360"/>
      </w:pPr>
    </w:lvl>
    <w:lvl w:ilvl="4" w:tplc="E43C634A">
      <w:start w:val="1"/>
      <w:numFmt w:val="lowerLetter"/>
      <w:lvlText w:val="%5."/>
      <w:lvlJc w:val="left"/>
      <w:pPr>
        <w:ind w:left="3600" w:hanging="360"/>
      </w:pPr>
    </w:lvl>
    <w:lvl w:ilvl="5" w:tplc="70D29AB0">
      <w:start w:val="1"/>
      <w:numFmt w:val="lowerRoman"/>
      <w:lvlText w:val="%6."/>
      <w:lvlJc w:val="right"/>
      <w:pPr>
        <w:ind w:left="4320" w:hanging="180"/>
      </w:pPr>
    </w:lvl>
    <w:lvl w:ilvl="6" w:tplc="C30C5A3A">
      <w:start w:val="1"/>
      <w:numFmt w:val="decimal"/>
      <w:lvlText w:val="%7."/>
      <w:lvlJc w:val="left"/>
      <w:pPr>
        <w:ind w:left="5040" w:hanging="360"/>
      </w:pPr>
    </w:lvl>
    <w:lvl w:ilvl="7" w:tplc="E7B0E9E2">
      <w:start w:val="1"/>
      <w:numFmt w:val="lowerLetter"/>
      <w:lvlText w:val="%8."/>
      <w:lvlJc w:val="left"/>
      <w:pPr>
        <w:ind w:left="5760" w:hanging="360"/>
      </w:pPr>
    </w:lvl>
    <w:lvl w:ilvl="8" w:tplc="2C62F7F6">
      <w:start w:val="1"/>
      <w:numFmt w:val="lowerRoman"/>
      <w:lvlText w:val="%9."/>
      <w:lvlJc w:val="right"/>
      <w:pPr>
        <w:ind w:left="6480" w:hanging="180"/>
      </w:pPr>
    </w:lvl>
  </w:abstractNum>
  <w:abstractNum w:abstractNumId="11" w15:restartNumberingAfterBreak="0">
    <w:nsid w:val="22915A74"/>
    <w:multiLevelType w:val="hybridMultilevel"/>
    <w:tmpl w:val="FFFFFFFF"/>
    <w:lvl w:ilvl="0" w:tplc="A24A58BA">
      <w:start w:val="1"/>
      <w:numFmt w:val="bullet"/>
      <w:lvlText w:val=""/>
      <w:lvlJc w:val="left"/>
      <w:pPr>
        <w:ind w:left="720" w:hanging="360"/>
      </w:pPr>
      <w:rPr>
        <w:rFonts w:ascii="Symbol" w:hAnsi="Symbol" w:hint="default"/>
      </w:rPr>
    </w:lvl>
    <w:lvl w:ilvl="1" w:tplc="6EE8514C">
      <w:start w:val="1"/>
      <w:numFmt w:val="bullet"/>
      <w:lvlText w:val="o"/>
      <w:lvlJc w:val="left"/>
      <w:pPr>
        <w:ind w:left="1440" w:hanging="360"/>
      </w:pPr>
      <w:rPr>
        <w:rFonts w:ascii="Courier New" w:hAnsi="Courier New" w:hint="default"/>
      </w:rPr>
    </w:lvl>
    <w:lvl w:ilvl="2" w:tplc="32705B36">
      <w:start w:val="1"/>
      <w:numFmt w:val="bullet"/>
      <w:lvlText w:val=""/>
      <w:lvlJc w:val="left"/>
      <w:pPr>
        <w:ind w:left="2160" w:hanging="360"/>
      </w:pPr>
      <w:rPr>
        <w:rFonts w:ascii="Wingdings" w:hAnsi="Wingdings" w:hint="default"/>
      </w:rPr>
    </w:lvl>
    <w:lvl w:ilvl="3" w:tplc="93026218">
      <w:start w:val="1"/>
      <w:numFmt w:val="bullet"/>
      <w:lvlText w:val=""/>
      <w:lvlJc w:val="left"/>
      <w:pPr>
        <w:ind w:left="2880" w:hanging="360"/>
      </w:pPr>
      <w:rPr>
        <w:rFonts w:ascii="Symbol" w:hAnsi="Symbol" w:hint="default"/>
      </w:rPr>
    </w:lvl>
    <w:lvl w:ilvl="4" w:tplc="CFB0087A">
      <w:start w:val="1"/>
      <w:numFmt w:val="bullet"/>
      <w:lvlText w:val="o"/>
      <w:lvlJc w:val="left"/>
      <w:pPr>
        <w:ind w:left="3600" w:hanging="360"/>
      </w:pPr>
      <w:rPr>
        <w:rFonts w:ascii="Courier New" w:hAnsi="Courier New" w:hint="default"/>
      </w:rPr>
    </w:lvl>
    <w:lvl w:ilvl="5" w:tplc="706E8CB0">
      <w:start w:val="1"/>
      <w:numFmt w:val="bullet"/>
      <w:lvlText w:val=""/>
      <w:lvlJc w:val="left"/>
      <w:pPr>
        <w:ind w:left="4320" w:hanging="360"/>
      </w:pPr>
      <w:rPr>
        <w:rFonts w:ascii="Wingdings" w:hAnsi="Wingdings" w:hint="default"/>
      </w:rPr>
    </w:lvl>
    <w:lvl w:ilvl="6" w:tplc="E7540008">
      <w:start w:val="1"/>
      <w:numFmt w:val="bullet"/>
      <w:lvlText w:val=""/>
      <w:lvlJc w:val="left"/>
      <w:pPr>
        <w:ind w:left="5040" w:hanging="360"/>
      </w:pPr>
      <w:rPr>
        <w:rFonts w:ascii="Symbol" w:hAnsi="Symbol" w:hint="default"/>
      </w:rPr>
    </w:lvl>
    <w:lvl w:ilvl="7" w:tplc="7B8295BE">
      <w:start w:val="1"/>
      <w:numFmt w:val="bullet"/>
      <w:lvlText w:val="o"/>
      <w:lvlJc w:val="left"/>
      <w:pPr>
        <w:ind w:left="5760" w:hanging="360"/>
      </w:pPr>
      <w:rPr>
        <w:rFonts w:ascii="Courier New" w:hAnsi="Courier New" w:hint="default"/>
      </w:rPr>
    </w:lvl>
    <w:lvl w:ilvl="8" w:tplc="438806BE">
      <w:start w:val="1"/>
      <w:numFmt w:val="bullet"/>
      <w:lvlText w:val=""/>
      <w:lvlJc w:val="left"/>
      <w:pPr>
        <w:ind w:left="6480" w:hanging="360"/>
      </w:pPr>
      <w:rPr>
        <w:rFonts w:ascii="Wingdings" w:hAnsi="Wingdings" w:hint="default"/>
      </w:rPr>
    </w:lvl>
  </w:abstractNum>
  <w:abstractNum w:abstractNumId="12" w15:restartNumberingAfterBreak="0">
    <w:nsid w:val="25735952"/>
    <w:multiLevelType w:val="hybridMultilevel"/>
    <w:tmpl w:val="FFFFFFFF"/>
    <w:lvl w:ilvl="0" w:tplc="B454A5B8">
      <w:start w:val="1"/>
      <w:numFmt w:val="bullet"/>
      <w:lvlText w:val=""/>
      <w:lvlJc w:val="left"/>
      <w:pPr>
        <w:ind w:left="720" w:hanging="360"/>
      </w:pPr>
      <w:rPr>
        <w:rFonts w:ascii="Symbol" w:hAnsi="Symbol" w:hint="default"/>
      </w:rPr>
    </w:lvl>
    <w:lvl w:ilvl="1" w:tplc="FC7A6DF2">
      <w:start w:val="1"/>
      <w:numFmt w:val="bullet"/>
      <w:lvlText w:val="o"/>
      <w:lvlJc w:val="left"/>
      <w:pPr>
        <w:ind w:left="1440" w:hanging="360"/>
      </w:pPr>
      <w:rPr>
        <w:rFonts w:ascii="Courier New" w:hAnsi="Courier New" w:hint="default"/>
      </w:rPr>
    </w:lvl>
    <w:lvl w:ilvl="2" w:tplc="6366D424">
      <w:start w:val="1"/>
      <w:numFmt w:val="bullet"/>
      <w:lvlText w:val=""/>
      <w:lvlJc w:val="left"/>
      <w:pPr>
        <w:ind w:left="2160" w:hanging="360"/>
      </w:pPr>
      <w:rPr>
        <w:rFonts w:ascii="Wingdings" w:hAnsi="Wingdings" w:hint="default"/>
      </w:rPr>
    </w:lvl>
    <w:lvl w:ilvl="3" w:tplc="241CA476">
      <w:start w:val="1"/>
      <w:numFmt w:val="bullet"/>
      <w:lvlText w:val=""/>
      <w:lvlJc w:val="left"/>
      <w:pPr>
        <w:ind w:left="2880" w:hanging="360"/>
      </w:pPr>
      <w:rPr>
        <w:rFonts w:ascii="Symbol" w:hAnsi="Symbol" w:hint="default"/>
      </w:rPr>
    </w:lvl>
    <w:lvl w:ilvl="4" w:tplc="AAB6A5B2">
      <w:start w:val="1"/>
      <w:numFmt w:val="bullet"/>
      <w:lvlText w:val="o"/>
      <w:lvlJc w:val="left"/>
      <w:pPr>
        <w:ind w:left="3600" w:hanging="360"/>
      </w:pPr>
      <w:rPr>
        <w:rFonts w:ascii="Courier New" w:hAnsi="Courier New" w:hint="default"/>
      </w:rPr>
    </w:lvl>
    <w:lvl w:ilvl="5" w:tplc="3D16D618">
      <w:start w:val="1"/>
      <w:numFmt w:val="bullet"/>
      <w:lvlText w:val=""/>
      <w:lvlJc w:val="left"/>
      <w:pPr>
        <w:ind w:left="4320" w:hanging="360"/>
      </w:pPr>
      <w:rPr>
        <w:rFonts w:ascii="Wingdings" w:hAnsi="Wingdings" w:hint="default"/>
      </w:rPr>
    </w:lvl>
    <w:lvl w:ilvl="6" w:tplc="1346C768">
      <w:start w:val="1"/>
      <w:numFmt w:val="bullet"/>
      <w:lvlText w:val=""/>
      <w:lvlJc w:val="left"/>
      <w:pPr>
        <w:ind w:left="5040" w:hanging="360"/>
      </w:pPr>
      <w:rPr>
        <w:rFonts w:ascii="Symbol" w:hAnsi="Symbol" w:hint="default"/>
      </w:rPr>
    </w:lvl>
    <w:lvl w:ilvl="7" w:tplc="74CC2FF4">
      <w:start w:val="1"/>
      <w:numFmt w:val="bullet"/>
      <w:lvlText w:val="o"/>
      <w:lvlJc w:val="left"/>
      <w:pPr>
        <w:ind w:left="5760" w:hanging="360"/>
      </w:pPr>
      <w:rPr>
        <w:rFonts w:ascii="Courier New" w:hAnsi="Courier New" w:hint="default"/>
      </w:rPr>
    </w:lvl>
    <w:lvl w:ilvl="8" w:tplc="2850071C">
      <w:start w:val="1"/>
      <w:numFmt w:val="bullet"/>
      <w:lvlText w:val=""/>
      <w:lvlJc w:val="left"/>
      <w:pPr>
        <w:ind w:left="6480" w:hanging="360"/>
      </w:pPr>
      <w:rPr>
        <w:rFonts w:ascii="Wingdings" w:hAnsi="Wingdings" w:hint="default"/>
      </w:rPr>
    </w:lvl>
  </w:abstractNum>
  <w:abstractNum w:abstractNumId="13" w15:restartNumberingAfterBreak="0">
    <w:nsid w:val="27FA4CC7"/>
    <w:multiLevelType w:val="hybridMultilevel"/>
    <w:tmpl w:val="FFFFFFFF"/>
    <w:lvl w:ilvl="0" w:tplc="4A446DFC">
      <w:start w:val="1"/>
      <w:numFmt w:val="bullet"/>
      <w:lvlText w:val=""/>
      <w:lvlJc w:val="left"/>
      <w:pPr>
        <w:ind w:left="720" w:hanging="360"/>
      </w:pPr>
      <w:rPr>
        <w:rFonts w:ascii="Symbol" w:hAnsi="Symbol" w:hint="default"/>
      </w:rPr>
    </w:lvl>
    <w:lvl w:ilvl="1" w:tplc="BC848638">
      <w:start w:val="1"/>
      <w:numFmt w:val="bullet"/>
      <w:lvlText w:val="o"/>
      <w:lvlJc w:val="left"/>
      <w:pPr>
        <w:ind w:left="1440" w:hanging="360"/>
      </w:pPr>
      <w:rPr>
        <w:rFonts w:ascii="Courier New" w:hAnsi="Courier New" w:hint="default"/>
      </w:rPr>
    </w:lvl>
    <w:lvl w:ilvl="2" w:tplc="8D86D3DC">
      <w:start w:val="1"/>
      <w:numFmt w:val="bullet"/>
      <w:lvlText w:val=""/>
      <w:lvlJc w:val="left"/>
      <w:pPr>
        <w:ind w:left="2160" w:hanging="360"/>
      </w:pPr>
      <w:rPr>
        <w:rFonts w:ascii="Wingdings" w:hAnsi="Wingdings" w:hint="default"/>
      </w:rPr>
    </w:lvl>
    <w:lvl w:ilvl="3" w:tplc="4CC23860">
      <w:start w:val="1"/>
      <w:numFmt w:val="bullet"/>
      <w:lvlText w:val=""/>
      <w:lvlJc w:val="left"/>
      <w:pPr>
        <w:ind w:left="2880" w:hanging="360"/>
      </w:pPr>
      <w:rPr>
        <w:rFonts w:ascii="Symbol" w:hAnsi="Symbol" w:hint="default"/>
      </w:rPr>
    </w:lvl>
    <w:lvl w:ilvl="4" w:tplc="33FEF03C">
      <w:start w:val="1"/>
      <w:numFmt w:val="bullet"/>
      <w:lvlText w:val="o"/>
      <w:lvlJc w:val="left"/>
      <w:pPr>
        <w:ind w:left="3600" w:hanging="360"/>
      </w:pPr>
      <w:rPr>
        <w:rFonts w:ascii="Courier New" w:hAnsi="Courier New" w:hint="default"/>
      </w:rPr>
    </w:lvl>
    <w:lvl w:ilvl="5" w:tplc="E9700ACC">
      <w:start w:val="1"/>
      <w:numFmt w:val="bullet"/>
      <w:lvlText w:val=""/>
      <w:lvlJc w:val="left"/>
      <w:pPr>
        <w:ind w:left="4320" w:hanging="360"/>
      </w:pPr>
      <w:rPr>
        <w:rFonts w:ascii="Wingdings" w:hAnsi="Wingdings" w:hint="default"/>
      </w:rPr>
    </w:lvl>
    <w:lvl w:ilvl="6" w:tplc="727EC91A">
      <w:start w:val="1"/>
      <w:numFmt w:val="bullet"/>
      <w:lvlText w:val=""/>
      <w:lvlJc w:val="left"/>
      <w:pPr>
        <w:ind w:left="5040" w:hanging="360"/>
      </w:pPr>
      <w:rPr>
        <w:rFonts w:ascii="Symbol" w:hAnsi="Symbol" w:hint="default"/>
      </w:rPr>
    </w:lvl>
    <w:lvl w:ilvl="7" w:tplc="A3624E34">
      <w:start w:val="1"/>
      <w:numFmt w:val="bullet"/>
      <w:lvlText w:val="o"/>
      <w:lvlJc w:val="left"/>
      <w:pPr>
        <w:ind w:left="5760" w:hanging="360"/>
      </w:pPr>
      <w:rPr>
        <w:rFonts w:ascii="Courier New" w:hAnsi="Courier New" w:hint="default"/>
      </w:rPr>
    </w:lvl>
    <w:lvl w:ilvl="8" w:tplc="B752543A">
      <w:start w:val="1"/>
      <w:numFmt w:val="bullet"/>
      <w:lvlText w:val=""/>
      <w:lvlJc w:val="left"/>
      <w:pPr>
        <w:ind w:left="6480" w:hanging="360"/>
      </w:pPr>
      <w:rPr>
        <w:rFonts w:ascii="Wingdings" w:hAnsi="Wingdings" w:hint="default"/>
      </w:rPr>
    </w:lvl>
  </w:abstractNum>
  <w:abstractNum w:abstractNumId="14" w15:restartNumberingAfterBreak="0">
    <w:nsid w:val="295859B4"/>
    <w:multiLevelType w:val="hybridMultilevel"/>
    <w:tmpl w:val="220C8B54"/>
    <w:lvl w:ilvl="0" w:tplc="8CA64CDC">
      <w:start w:val="1"/>
      <w:numFmt w:val="bullet"/>
      <w:lvlText w:val=""/>
      <w:lvlJc w:val="left"/>
      <w:pPr>
        <w:ind w:left="1080" w:hanging="360"/>
      </w:pPr>
      <w:rPr>
        <w:rFonts w:ascii="Symbol" w:hAnsi="Symbol" w:hint="default"/>
      </w:rPr>
    </w:lvl>
    <w:lvl w:ilvl="1" w:tplc="0CF0B23C">
      <w:start w:val="1"/>
      <w:numFmt w:val="bullet"/>
      <w:lvlText w:val="o"/>
      <w:lvlJc w:val="left"/>
      <w:pPr>
        <w:ind w:left="1800" w:hanging="360"/>
      </w:pPr>
      <w:rPr>
        <w:rFonts w:ascii="Courier New" w:hAnsi="Courier New" w:hint="default"/>
      </w:rPr>
    </w:lvl>
    <w:lvl w:ilvl="2" w:tplc="376A32E2">
      <w:start w:val="1"/>
      <w:numFmt w:val="bullet"/>
      <w:lvlText w:val=""/>
      <w:lvlJc w:val="left"/>
      <w:pPr>
        <w:ind w:left="2520" w:hanging="360"/>
      </w:pPr>
      <w:rPr>
        <w:rFonts w:ascii="Wingdings" w:hAnsi="Wingdings" w:hint="default"/>
      </w:rPr>
    </w:lvl>
    <w:lvl w:ilvl="3" w:tplc="7DE05876">
      <w:start w:val="1"/>
      <w:numFmt w:val="bullet"/>
      <w:lvlText w:val=""/>
      <w:lvlJc w:val="left"/>
      <w:pPr>
        <w:ind w:left="3240" w:hanging="360"/>
      </w:pPr>
      <w:rPr>
        <w:rFonts w:ascii="Symbol" w:hAnsi="Symbol" w:hint="default"/>
      </w:rPr>
    </w:lvl>
    <w:lvl w:ilvl="4" w:tplc="27E26822">
      <w:start w:val="1"/>
      <w:numFmt w:val="bullet"/>
      <w:lvlText w:val="o"/>
      <w:lvlJc w:val="left"/>
      <w:pPr>
        <w:ind w:left="3960" w:hanging="360"/>
      </w:pPr>
      <w:rPr>
        <w:rFonts w:ascii="Courier New" w:hAnsi="Courier New" w:hint="default"/>
      </w:rPr>
    </w:lvl>
    <w:lvl w:ilvl="5" w:tplc="6304E550">
      <w:start w:val="1"/>
      <w:numFmt w:val="bullet"/>
      <w:lvlText w:val=""/>
      <w:lvlJc w:val="left"/>
      <w:pPr>
        <w:ind w:left="4680" w:hanging="360"/>
      </w:pPr>
      <w:rPr>
        <w:rFonts w:ascii="Wingdings" w:hAnsi="Wingdings" w:hint="default"/>
      </w:rPr>
    </w:lvl>
    <w:lvl w:ilvl="6" w:tplc="ED9E4B4C">
      <w:start w:val="1"/>
      <w:numFmt w:val="bullet"/>
      <w:lvlText w:val=""/>
      <w:lvlJc w:val="left"/>
      <w:pPr>
        <w:ind w:left="5400" w:hanging="360"/>
      </w:pPr>
      <w:rPr>
        <w:rFonts w:ascii="Symbol" w:hAnsi="Symbol" w:hint="default"/>
      </w:rPr>
    </w:lvl>
    <w:lvl w:ilvl="7" w:tplc="298A0EBE">
      <w:start w:val="1"/>
      <w:numFmt w:val="bullet"/>
      <w:lvlText w:val="o"/>
      <w:lvlJc w:val="left"/>
      <w:pPr>
        <w:ind w:left="6120" w:hanging="360"/>
      </w:pPr>
      <w:rPr>
        <w:rFonts w:ascii="Courier New" w:hAnsi="Courier New" w:hint="default"/>
      </w:rPr>
    </w:lvl>
    <w:lvl w:ilvl="8" w:tplc="0A4C622E">
      <w:start w:val="1"/>
      <w:numFmt w:val="bullet"/>
      <w:lvlText w:val=""/>
      <w:lvlJc w:val="left"/>
      <w:pPr>
        <w:ind w:left="6840" w:hanging="360"/>
      </w:pPr>
      <w:rPr>
        <w:rFonts w:ascii="Wingdings" w:hAnsi="Wingdings" w:hint="default"/>
      </w:rPr>
    </w:lvl>
  </w:abstractNum>
  <w:abstractNum w:abstractNumId="15" w15:restartNumberingAfterBreak="0">
    <w:nsid w:val="296B31C2"/>
    <w:multiLevelType w:val="hybridMultilevel"/>
    <w:tmpl w:val="4B964E6E"/>
    <w:lvl w:ilvl="0" w:tplc="36802F90">
      <w:start w:val="1"/>
      <w:numFmt w:val="bullet"/>
      <w:lvlText w:val="-"/>
      <w:lvlJc w:val="left"/>
      <w:pPr>
        <w:ind w:left="720" w:hanging="360"/>
      </w:pPr>
      <w:rPr>
        <w:rFonts w:ascii="Calibri" w:hAnsi="Calibri" w:hint="default"/>
      </w:rPr>
    </w:lvl>
    <w:lvl w:ilvl="1" w:tplc="F34A1200">
      <w:start w:val="1"/>
      <w:numFmt w:val="bullet"/>
      <w:lvlText w:val="o"/>
      <w:lvlJc w:val="left"/>
      <w:pPr>
        <w:ind w:left="1440" w:hanging="360"/>
      </w:pPr>
      <w:rPr>
        <w:rFonts w:ascii="Courier New" w:hAnsi="Courier New" w:hint="default"/>
      </w:rPr>
    </w:lvl>
    <w:lvl w:ilvl="2" w:tplc="F8F44A7C">
      <w:start w:val="1"/>
      <w:numFmt w:val="bullet"/>
      <w:lvlText w:val=""/>
      <w:lvlJc w:val="left"/>
      <w:pPr>
        <w:ind w:left="2160" w:hanging="360"/>
      </w:pPr>
      <w:rPr>
        <w:rFonts w:ascii="Wingdings" w:hAnsi="Wingdings" w:hint="default"/>
      </w:rPr>
    </w:lvl>
    <w:lvl w:ilvl="3" w:tplc="DCCC249C">
      <w:start w:val="1"/>
      <w:numFmt w:val="bullet"/>
      <w:lvlText w:val=""/>
      <w:lvlJc w:val="left"/>
      <w:pPr>
        <w:ind w:left="2880" w:hanging="360"/>
      </w:pPr>
      <w:rPr>
        <w:rFonts w:ascii="Symbol" w:hAnsi="Symbol" w:hint="default"/>
      </w:rPr>
    </w:lvl>
    <w:lvl w:ilvl="4" w:tplc="BD1A0C02">
      <w:start w:val="1"/>
      <w:numFmt w:val="bullet"/>
      <w:lvlText w:val="o"/>
      <w:lvlJc w:val="left"/>
      <w:pPr>
        <w:ind w:left="3600" w:hanging="360"/>
      </w:pPr>
      <w:rPr>
        <w:rFonts w:ascii="Courier New" w:hAnsi="Courier New" w:hint="default"/>
      </w:rPr>
    </w:lvl>
    <w:lvl w:ilvl="5" w:tplc="F76460F8">
      <w:start w:val="1"/>
      <w:numFmt w:val="bullet"/>
      <w:lvlText w:val=""/>
      <w:lvlJc w:val="left"/>
      <w:pPr>
        <w:ind w:left="4320" w:hanging="360"/>
      </w:pPr>
      <w:rPr>
        <w:rFonts w:ascii="Wingdings" w:hAnsi="Wingdings" w:hint="default"/>
      </w:rPr>
    </w:lvl>
    <w:lvl w:ilvl="6" w:tplc="788AA0B8">
      <w:start w:val="1"/>
      <w:numFmt w:val="bullet"/>
      <w:lvlText w:val=""/>
      <w:lvlJc w:val="left"/>
      <w:pPr>
        <w:ind w:left="5040" w:hanging="360"/>
      </w:pPr>
      <w:rPr>
        <w:rFonts w:ascii="Symbol" w:hAnsi="Symbol" w:hint="default"/>
      </w:rPr>
    </w:lvl>
    <w:lvl w:ilvl="7" w:tplc="2F0E7654">
      <w:start w:val="1"/>
      <w:numFmt w:val="bullet"/>
      <w:lvlText w:val="o"/>
      <w:lvlJc w:val="left"/>
      <w:pPr>
        <w:ind w:left="5760" w:hanging="360"/>
      </w:pPr>
      <w:rPr>
        <w:rFonts w:ascii="Courier New" w:hAnsi="Courier New" w:hint="default"/>
      </w:rPr>
    </w:lvl>
    <w:lvl w:ilvl="8" w:tplc="EA1EFF5E">
      <w:start w:val="1"/>
      <w:numFmt w:val="bullet"/>
      <w:lvlText w:val=""/>
      <w:lvlJc w:val="left"/>
      <w:pPr>
        <w:ind w:left="6480" w:hanging="360"/>
      </w:pPr>
      <w:rPr>
        <w:rFonts w:ascii="Wingdings" w:hAnsi="Wingdings" w:hint="default"/>
      </w:rPr>
    </w:lvl>
  </w:abstractNum>
  <w:abstractNum w:abstractNumId="16" w15:restartNumberingAfterBreak="0">
    <w:nsid w:val="2A374644"/>
    <w:multiLevelType w:val="hybridMultilevel"/>
    <w:tmpl w:val="FFFFFFFF"/>
    <w:lvl w:ilvl="0" w:tplc="DD22179C">
      <w:start w:val="1"/>
      <w:numFmt w:val="decimal"/>
      <w:lvlText w:val="%1)"/>
      <w:lvlJc w:val="left"/>
      <w:pPr>
        <w:ind w:left="720" w:hanging="360"/>
      </w:pPr>
    </w:lvl>
    <w:lvl w:ilvl="1" w:tplc="23805676">
      <w:start w:val="1"/>
      <w:numFmt w:val="lowerLetter"/>
      <w:lvlText w:val="%2."/>
      <w:lvlJc w:val="left"/>
      <w:pPr>
        <w:ind w:left="1440" w:hanging="360"/>
      </w:pPr>
    </w:lvl>
    <w:lvl w:ilvl="2" w:tplc="88E2DFA8">
      <w:start w:val="1"/>
      <w:numFmt w:val="lowerRoman"/>
      <w:lvlText w:val="%3."/>
      <w:lvlJc w:val="right"/>
      <w:pPr>
        <w:ind w:left="2160" w:hanging="180"/>
      </w:pPr>
    </w:lvl>
    <w:lvl w:ilvl="3" w:tplc="DA7A1FAC">
      <w:start w:val="1"/>
      <w:numFmt w:val="decimal"/>
      <w:lvlText w:val="%4."/>
      <w:lvlJc w:val="left"/>
      <w:pPr>
        <w:ind w:left="2880" w:hanging="360"/>
      </w:pPr>
    </w:lvl>
    <w:lvl w:ilvl="4" w:tplc="93107ABC">
      <w:start w:val="1"/>
      <w:numFmt w:val="lowerLetter"/>
      <w:lvlText w:val="%5."/>
      <w:lvlJc w:val="left"/>
      <w:pPr>
        <w:ind w:left="3600" w:hanging="360"/>
      </w:pPr>
    </w:lvl>
    <w:lvl w:ilvl="5" w:tplc="0D3278C8">
      <w:start w:val="1"/>
      <w:numFmt w:val="lowerRoman"/>
      <w:lvlText w:val="%6."/>
      <w:lvlJc w:val="right"/>
      <w:pPr>
        <w:ind w:left="4320" w:hanging="180"/>
      </w:pPr>
    </w:lvl>
    <w:lvl w:ilvl="6" w:tplc="0EF2C94E">
      <w:start w:val="1"/>
      <w:numFmt w:val="decimal"/>
      <w:lvlText w:val="%7."/>
      <w:lvlJc w:val="left"/>
      <w:pPr>
        <w:ind w:left="5040" w:hanging="360"/>
      </w:pPr>
    </w:lvl>
    <w:lvl w:ilvl="7" w:tplc="41EC5C76">
      <w:start w:val="1"/>
      <w:numFmt w:val="lowerLetter"/>
      <w:lvlText w:val="%8."/>
      <w:lvlJc w:val="left"/>
      <w:pPr>
        <w:ind w:left="5760" w:hanging="360"/>
      </w:pPr>
    </w:lvl>
    <w:lvl w:ilvl="8" w:tplc="80049A16">
      <w:start w:val="1"/>
      <w:numFmt w:val="lowerRoman"/>
      <w:lvlText w:val="%9."/>
      <w:lvlJc w:val="right"/>
      <w:pPr>
        <w:ind w:left="6480" w:hanging="180"/>
      </w:pPr>
    </w:lvl>
  </w:abstractNum>
  <w:abstractNum w:abstractNumId="17" w15:restartNumberingAfterBreak="0">
    <w:nsid w:val="2AE0099F"/>
    <w:multiLevelType w:val="hybridMultilevel"/>
    <w:tmpl w:val="FFFFFFFF"/>
    <w:lvl w:ilvl="0" w:tplc="756E79DC">
      <w:start w:val="1"/>
      <w:numFmt w:val="decimal"/>
      <w:lvlText w:val="%1)"/>
      <w:lvlJc w:val="left"/>
      <w:pPr>
        <w:ind w:left="720" w:hanging="360"/>
      </w:pPr>
    </w:lvl>
    <w:lvl w:ilvl="1" w:tplc="61463CB4">
      <w:start w:val="1"/>
      <w:numFmt w:val="lowerLetter"/>
      <w:lvlText w:val="%2."/>
      <w:lvlJc w:val="left"/>
      <w:pPr>
        <w:ind w:left="1440" w:hanging="360"/>
      </w:pPr>
    </w:lvl>
    <w:lvl w:ilvl="2" w:tplc="25325C86">
      <w:start w:val="1"/>
      <w:numFmt w:val="lowerRoman"/>
      <w:lvlText w:val="%3."/>
      <w:lvlJc w:val="right"/>
      <w:pPr>
        <w:ind w:left="2160" w:hanging="180"/>
      </w:pPr>
    </w:lvl>
    <w:lvl w:ilvl="3" w:tplc="0D9A4B88">
      <w:start w:val="1"/>
      <w:numFmt w:val="decimal"/>
      <w:lvlText w:val="%4."/>
      <w:lvlJc w:val="left"/>
      <w:pPr>
        <w:ind w:left="2880" w:hanging="360"/>
      </w:pPr>
    </w:lvl>
    <w:lvl w:ilvl="4" w:tplc="195AE0B2">
      <w:start w:val="1"/>
      <w:numFmt w:val="lowerLetter"/>
      <w:lvlText w:val="%5."/>
      <w:lvlJc w:val="left"/>
      <w:pPr>
        <w:ind w:left="3600" w:hanging="360"/>
      </w:pPr>
    </w:lvl>
    <w:lvl w:ilvl="5" w:tplc="94389A8A">
      <w:start w:val="1"/>
      <w:numFmt w:val="lowerRoman"/>
      <w:lvlText w:val="%6."/>
      <w:lvlJc w:val="right"/>
      <w:pPr>
        <w:ind w:left="4320" w:hanging="180"/>
      </w:pPr>
    </w:lvl>
    <w:lvl w:ilvl="6" w:tplc="42504624">
      <w:start w:val="1"/>
      <w:numFmt w:val="decimal"/>
      <w:lvlText w:val="%7."/>
      <w:lvlJc w:val="left"/>
      <w:pPr>
        <w:ind w:left="5040" w:hanging="360"/>
      </w:pPr>
    </w:lvl>
    <w:lvl w:ilvl="7" w:tplc="433CB512">
      <w:start w:val="1"/>
      <w:numFmt w:val="lowerLetter"/>
      <w:lvlText w:val="%8."/>
      <w:lvlJc w:val="left"/>
      <w:pPr>
        <w:ind w:left="5760" w:hanging="360"/>
      </w:pPr>
    </w:lvl>
    <w:lvl w:ilvl="8" w:tplc="29982098">
      <w:start w:val="1"/>
      <w:numFmt w:val="lowerRoman"/>
      <w:lvlText w:val="%9."/>
      <w:lvlJc w:val="right"/>
      <w:pPr>
        <w:ind w:left="6480" w:hanging="180"/>
      </w:pPr>
    </w:lvl>
  </w:abstractNum>
  <w:abstractNum w:abstractNumId="18" w15:restartNumberingAfterBreak="0">
    <w:nsid w:val="2F9B0646"/>
    <w:multiLevelType w:val="hybridMultilevel"/>
    <w:tmpl w:val="CA162C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4CD6163"/>
    <w:multiLevelType w:val="hybridMultilevel"/>
    <w:tmpl w:val="A260C2A6"/>
    <w:lvl w:ilvl="0" w:tplc="E38ABE62">
      <w:start w:val="1"/>
      <w:numFmt w:val="bullet"/>
      <w:lvlText w:val="-"/>
      <w:lvlJc w:val="left"/>
      <w:pPr>
        <w:ind w:left="720" w:hanging="360"/>
      </w:pPr>
      <w:rPr>
        <w:rFonts w:ascii="Calibri" w:hAnsi="Calibri" w:hint="default"/>
      </w:rPr>
    </w:lvl>
    <w:lvl w:ilvl="1" w:tplc="33EAEB6C">
      <w:start w:val="1"/>
      <w:numFmt w:val="bullet"/>
      <w:lvlText w:val="o"/>
      <w:lvlJc w:val="left"/>
      <w:pPr>
        <w:ind w:left="1440" w:hanging="360"/>
      </w:pPr>
      <w:rPr>
        <w:rFonts w:ascii="Courier New" w:hAnsi="Courier New" w:hint="default"/>
      </w:rPr>
    </w:lvl>
    <w:lvl w:ilvl="2" w:tplc="1716255A">
      <w:start w:val="1"/>
      <w:numFmt w:val="bullet"/>
      <w:lvlText w:val=""/>
      <w:lvlJc w:val="left"/>
      <w:pPr>
        <w:ind w:left="2160" w:hanging="360"/>
      </w:pPr>
      <w:rPr>
        <w:rFonts w:ascii="Wingdings" w:hAnsi="Wingdings" w:hint="default"/>
      </w:rPr>
    </w:lvl>
    <w:lvl w:ilvl="3" w:tplc="49CA3C20">
      <w:start w:val="1"/>
      <w:numFmt w:val="bullet"/>
      <w:lvlText w:val=""/>
      <w:lvlJc w:val="left"/>
      <w:pPr>
        <w:ind w:left="2880" w:hanging="360"/>
      </w:pPr>
      <w:rPr>
        <w:rFonts w:ascii="Symbol" w:hAnsi="Symbol" w:hint="default"/>
      </w:rPr>
    </w:lvl>
    <w:lvl w:ilvl="4" w:tplc="247C252E">
      <w:start w:val="1"/>
      <w:numFmt w:val="bullet"/>
      <w:lvlText w:val="o"/>
      <w:lvlJc w:val="left"/>
      <w:pPr>
        <w:ind w:left="3600" w:hanging="360"/>
      </w:pPr>
      <w:rPr>
        <w:rFonts w:ascii="Courier New" w:hAnsi="Courier New" w:hint="default"/>
      </w:rPr>
    </w:lvl>
    <w:lvl w:ilvl="5" w:tplc="D7544E92">
      <w:start w:val="1"/>
      <w:numFmt w:val="bullet"/>
      <w:lvlText w:val=""/>
      <w:lvlJc w:val="left"/>
      <w:pPr>
        <w:ind w:left="4320" w:hanging="360"/>
      </w:pPr>
      <w:rPr>
        <w:rFonts w:ascii="Wingdings" w:hAnsi="Wingdings" w:hint="default"/>
      </w:rPr>
    </w:lvl>
    <w:lvl w:ilvl="6" w:tplc="A2ECCCBA">
      <w:start w:val="1"/>
      <w:numFmt w:val="bullet"/>
      <w:lvlText w:val=""/>
      <w:lvlJc w:val="left"/>
      <w:pPr>
        <w:ind w:left="5040" w:hanging="360"/>
      </w:pPr>
      <w:rPr>
        <w:rFonts w:ascii="Symbol" w:hAnsi="Symbol" w:hint="default"/>
      </w:rPr>
    </w:lvl>
    <w:lvl w:ilvl="7" w:tplc="8FC26FEA">
      <w:start w:val="1"/>
      <w:numFmt w:val="bullet"/>
      <w:lvlText w:val="o"/>
      <w:lvlJc w:val="left"/>
      <w:pPr>
        <w:ind w:left="5760" w:hanging="360"/>
      </w:pPr>
      <w:rPr>
        <w:rFonts w:ascii="Courier New" w:hAnsi="Courier New" w:hint="default"/>
      </w:rPr>
    </w:lvl>
    <w:lvl w:ilvl="8" w:tplc="C24C6B40">
      <w:start w:val="1"/>
      <w:numFmt w:val="bullet"/>
      <w:lvlText w:val=""/>
      <w:lvlJc w:val="left"/>
      <w:pPr>
        <w:ind w:left="6480" w:hanging="360"/>
      </w:pPr>
      <w:rPr>
        <w:rFonts w:ascii="Wingdings" w:hAnsi="Wingdings" w:hint="default"/>
      </w:rPr>
    </w:lvl>
  </w:abstractNum>
  <w:abstractNum w:abstractNumId="20" w15:restartNumberingAfterBreak="0">
    <w:nsid w:val="3914797D"/>
    <w:multiLevelType w:val="hybridMultilevel"/>
    <w:tmpl w:val="FFFFFFFF"/>
    <w:lvl w:ilvl="0" w:tplc="1F38ECE2">
      <w:start w:val="1"/>
      <w:numFmt w:val="bullet"/>
      <w:lvlText w:val=""/>
      <w:lvlJc w:val="left"/>
      <w:pPr>
        <w:ind w:left="720" w:hanging="360"/>
      </w:pPr>
      <w:rPr>
        <w:rFonts w:ascii="Symbol" w:hAnsi="Symbol" w:hint="default"/>
      </w:rPr>
    </w:lvl>
    <w:lvl w:ilvl="1" w:tplc="50D6B040">
      <w:start w:val="1"/>
      <w:numFmt w:val="bullet"/>
      <w:lvlText w:val="o"/>
      <w:lvlJc w:val="left"/>
      <w:pPr>
        <w:ind w:left="1440" w:hanging="360"/>
      </w:pPr>
      <w:rPr>
        <w:rFonts w:ascii="Courier New" w:hAnsi="Courier New" w:hint="default"/>
      </w:rPr>
    </w:lvl>
    <w:lvl w:ilvl="2" w:tplc="F5DEED2A">
      <w:start w:val="1"/>
      <w:numFmt w:val="bullet"/>
      <w:lvlText w:val=""/>
      <w:lvlJc w:val="left"/>
      <w:pPr>
        <w:ind w:left="2160" w:hanging="360"/>
      </w:pPr>
      <w:rPr>
        <w:rFonts w:ascii="Wingdings" w:hAnsi="Wingdings" w:hint="default"/>
      </w:rPr>
    </w:lvl>
    <w:lvl w:ilvl="3" w:tplc="00E229E6">
      <w:start w:val="1"/>
      <w:numFmt w:val="bullet"/>
      <w:lvlText w:val=""/>
      <w:lvlJc w:val="left"/>
      <w:pPr>
        <w:ind w:left="2880" w:hanging="360"/>
      </w:pPr>
      <w:rPr>
        <w:rFonts w:ascii="Symbol" w:hAnsi="Symbol" w:hint="default"/>
      </w:rPr>
    </w:lvl>
    <w:lvl w:ilvl="4" w:tplc="C3A2D438">
      <w:start w:val="1"/>
      <w:numFmt w:val="bullet"/>
      <w:lvlText w:val="o"/>
      <w:lvlJc w:val="left"/>
      <w:pPr>
        <w:ind w:left="3600" w:hanging="360"/>
      </w:pPr>
      <w:rPr>
        <w:rFonts w:ascii="Courier New" w:hAnsi="Courier New" w:hint="default"/>
      </w:rPr>
    </w:lvl>
    <w:lvl w:ilvl="5" w:tplc="08863E24">
      <w:start w:val="1"/>
      <w:numFmt w:val="bullet"/>
      <w:lvlText w:val=""/>
      <w:lvlJc w:val="left"/>
      <w:pPr>
        <w:ind w:left="4320" w:hanging="360"/>
      </w:pPr>
      <w:rPr>
        <w:rFonts w:ascii="Wingdings" w:hAnsi="Wingdings" w:hint="default"/>
      </w:rPr>
    </w:lvl>
    <w:lvl w:ilvl="6" w:tplc="67989C9C">
      <w:start w:val="1"/>
      <w:numFmt w:val="bullet"/>
      <w:lvlText w:val=""/>
      <w:lvlJc w:val="left"/>
      <w:pPr>
        <w:ind w:left="5040" w:hanging="360"/>
      </w:pPr>
      <w:rPr>
        <w:rFonts w:ascii="Symbol" w:hAnsi="Symbol" w:hint="default"/>
      </w:rPr>
    </w:lvl>
    <w:lvl w:ilvl="7" w:tplc="890629D8">
      <w:start w:val="1"/>
      <w:numFmt w:val="bullet"/>
      <w:lvlText w:val="o"/>
      <w:lvlJc w:val="left"/>
      <w:pPr>
        <w:ind w:left="5760" w:hanging="360"/>
      </w:pPr>
      <w:rPr>
        <w:rFonts w:ascii="Courier New" w:hAnsi="Courier New" w:hint="default"/>
      </w:rPr>
    </w:lvl>
    <w:lvl w:ilvl="8" w:tplc="9C841F98">
      <w:start w:val="1"/>
      <w:numFmt w:val="bullet"/>
      <w:lvlText w:val=""/>
      <w:lvlJc w:val="left"/>
      <w:pPr>
        <w:ind w:left="6480" w:hanging="360"/>
      </w:pPr>
      <w:rPr>
        <w:rFonts w:ascii="Wingdings" w:hAnsi="Wingdings" w:hint="default"/>
      </w:rPr>
    </w:lvl>
  </w:abstractNum>
  <w:abstractNum w:abstractNumId="21" w15:restartNumberingAfterBreak="0">
    <w:nsid w:val="3D913020"/>
    <w:multiLevelType w:val="hybridMultilevel"/>
    <w:tmpl w:val="FFFFFFFF"/>
    <w:lvl w:ilvl="0" w:tplc="15E6844C">
      <w:start w:val="1"/>
      <w:numFmt w:val="decimal"/>
      <w:lvlText w:val="%1)"/>
      <w:lvlJc w:val="left"/>
      <w:pPr>
        <w:ind w:left="720" w:hanging="360"/>
      </w:pPr>
    </w:lvl>
    <w:lvl w:ilvl="1" w:tplc="BE9019AE">
      <w:start w:val="1"/>
      <w:numFmt w:val="lowerLetter"/>
      <w:lvlText w:val="%2."/>
      <w:lvlJc w:val="left"/>
      <w:pPr>
        <w:ind w:left="1440" w:hanging="360"/>
      </w:pPr>
    </w:lvl>
    <w:lvl w:ilvl="2" w:tplc="89BA3124">
      <w:start w:val="1"/>
      <w:numFmt w:val="lowerRoman"/>
      <w:lvlText w:val="%3."/>
      <w:lvlJc w:val="right"/>
      <w:pPr>
        <w:ind w:left="2160" w:hanging="180"/>
      </w:pPr>
    </w:lvl>
    <w:lvl w:ilvl="3" w:tplc="80166C42">
      <w:start w:val="1"/>
      <w:numFmt w:val="decimal"/>
      <w:lvlText w:val="%4."/>
      <w:lvlJc w:val="left"/>
      <w:pPr>
        <w:ind w:left="2880" w:hanging="360"/>
      </w:pPr>
    </w:lvl>
    <w:lvl w:ilvl="4" w:tplc="76FC0D22">
      <w:start w:val="1"/>
      <w:numFmt w:val="lowerLetter"/>
      <w:lvlText w:val="%5."/>
      <w:lvlJc w:val="left"/>
      <w:pPr>
        <w:ind w:left="3600" w:hanging="360"/>
      </w:pPr>
    </w:lvl>
    <w:lvl w:ilvl="5" w:tplc="5580845E">
      <w:start w:val="1"/>
      <w:numFmt w:val="lowerRoman"/>
      <w:lvlText w:val="%6."/>
      <w:lvlJc w:val="right"/>
      <w:pPr>
        <w:ind w:left="4320" w:hanging="180"/>
      </w:pPr>
    </w:lvl>
    <w:lvl w:ilvl="6" w:tplc="7A6013F0">
      <w:start w:val="1"/>
      <w:numFmt w:val="decimal"/>
      <w:lvlText w:val="%7."/>
      <w:lvlJc w:val="left"/>
      <w:pPr>
        <w:ind w:left="5040" w:hanging="360"/>
      </w:pPr>
    </w:lvl>
    <w:lvl w:ilvl="7" w:tplc="2A402A3A">
      <w:start w:val="1"/>
      <w:numFmt w:val="lowerLetter"/>
      <w:lvlText w:val="%8."/>
      <w:lvlJc w:val="left"/>
      <w:pPr>
        <w:ind w:left="5760" w:hanging="360"/>
      </w:pPr>
    </w:lvl>
    <w:lvl w:ilvl="8" w:tplc="74C4FB88">
      <w:start w:val="1"/>
      <w:numFmt w:val="lowerRoman"/>
      <w:lvlText w:val="%9."/>
      <w:lvlJc w:val="right"/>
      <w:pPr>
        <w:ind w:left="6480" w:hanging="180"/>
      </w:pPr>
    </w:lvl>
  </w:abstractNum>
  <w:abstractNum w:abstractNumId="22" w15:restartNumberingAfterBreak="0">
    <w:nsid w:val="40A40551"/>
    <w:multiLevelType w:val="hybridMultilevel"/>
    <w:tmpl w:val="FFFFFFFF"/>
    <w:lvl w:ilvl="0" w:tplc="58AE832A">
      <w:start w:val="1"/>
      <w:numFmt w:val="bullet"/>
      <w:lvlText w:val=""/>
      <w:lvlJc w:val="left"/>
      <w:pPr>
        <w:ind w:left="720" w:hanging="360"/>
      </w:pPr>
      <w:rPr>
        <w:rFonts w:ascii="Symbol" w:hAnsi="Symbol" w:hint="default"/>
      </w:rPr>
    </w:lvl>
    <w:lvl w:ilvl="1" w:tplc="653AFF48">
      <w:start w:val="1"/>
      <w:numFmt w:val="bullet"/>
      <w:lvlText w:val="o"/>
      <w:lvlJc w:val="left"/>
      <w:pPr>
        <w:ind w:left="1440" w:hanging="360"/>
      </w:pPr>
      <w:rPr>
        <w:rFonts w:ascii="Courier New" w:hAnsi="Courier New" w:hint="default"/>
      </w:rPr>
    </w:lvl>
    <w:lvl w:ilvl="2" w:tplc="0144E550">
      <w:start w:val="1"/>
      <w:numFmt w:val="bullet"/>
      <w:lvlText w:val=""/>
      <w:lvlJc w:val="left"/>
      <w:pPr>
        <w:ind w:left="2160" w:hanging="360"/>
      </w:pPr>
      <w:rPr>
        <w:rFonts w:ascii="Wingdings" w:hAnsi="Wingdings" w:hint="default"/>
      </w:rPr>
    </w:lvl>
    <w:lvl w:ilvl="3" w:tplc="E72AC26E">
      <w:start w:val="1"/>
      <w:numFmt w:val="bullet"/>
      <w:lvlText w:val=""/>
      <w:lvlJc w:val="left"/>
      <w:pPr>
        <w:ind w:left="2880" w:hanging="360"/>
      </w:pPr>
      <w:rPr>
        <w:rFonts w:ascii="Symbol" w:hAnsi="Symbol" w:hint="default"/>
      </w:rPr>
    </w:lvl>
    <w:lvl w:ilvl="4" w:tplc="81006C3E">
      <w:start w:val="1"/>
      <w:numFmt w:val="bullet"/>
      <w:lvlText w:val="o"/>
      <w:lvlJc w:val="left"/>
      <w:pPr>
        <w:ind w:left="3600" w:hanging="360"/>
      </w:pPr>
      <w:rPr>
        <w:rFonts w:ascii="Courier New" w:hAnsi="Courier New" w:hint="default"/>
      </w:rPr>
    </w:lvl>
    <w:lvl w:ilvl="5" w:tplc="FCCA75CA">
      <w:start w:val="1"/>
      <w:numFmt w:val="bullet"/>
      <w:lvlText w:val=""/>
      <w:lvlJc w:val="left"/>
      <w:pPr>
        <w:ind w:left="4320" w:hanging="360"/>
      </w:pPr>
      <w:rPr>
        <w:rFonts w:ascii="Wingdings" w:hAnsi="Wingdings" w:hint="default"/>
      </w:rPr>
    </w:lvl>
    <w:lvl w:ilvl="6" w:tplc="254A0A22">
      <w:start w:val="1"/>
      <w:numFmt w:val="bullet"/>
      <w:lvlText w:val=""/>
      <w:lvlJc w:val="left"/>
      <w:pPr>
        <w:ind w:left="5040" w:hanging="360"/>
      </w:pPr>
      <w:rPr>
        <w:rFonts w:ascii="Symbol" w:hAnsi="Symbol" w:hint="default"/>
      </w:rPr>
    </w:lvl>
    <w:lvl w:ilvl="7" w:tplc="18D4DD8E">
      <w:start w:val="1"/>
      <w:numFmt w:val="bullet"/>
      <w:lvlText w:val="o"/>
      <w:lvlJc w:val="left"/>
      <w:pPr>
        <w:ind w:left="5760" w:hanging="360"/>
      </w:pPr>
      <w:rPr>
        <w:rFonts w:ascii="Courier New" w:hAnsi="Courier New" w:hint="default"/>
      </w:rPr>
    </w:lvl>
    <w:lvl w:ilvl="8" w:tplc="10ACDD3A">
      <w:start w:val="1"/>
      <w:numFmt w:val="bullet"/>
      <w:lvlText w:val=""/>
      <w:lvlJc w:val="left"/>
      <w:pPr>
        <w:ind w:left="6480" w:hanging="360"/>
      </w:pPr>
      <w:rPr>
        <w:rFonts w:ascii="Wingdings" w:hAnsi="Wingdings" w:hint="default"/>
      </w:rPr>
    </w:lvl>
  </w:abstractNum>
  <w:abstractNum w:abstractNumId="23" w15:restartNumberingAfterBreak="0">
    <w:nsid w:val="40DD1C2C"/>
    <w:multiLevelType w:val="hybridMultilevel"/>
    <w:tmpl w:val="FFFFFFFF"/>
    <w:lvl w:ilvl="0" w:tplc="E4E24CF6">
      <w:start w:val="1"/>
      <w:numFmt w:val="bullet"/>
      <w:lvlText w:val=""/>
      <w:lvlJc w:val="left"/>
      <w:pPr>
        <w:ind w:left="720" w:hanging="360"/>
      </w:pPr>
      <w:rPr>
        <w:rFonts w:ascii="Symbol" w:hAnsi="Symbol" w:hint="default"/>
      </w:rPr>
    </w:lvl>
    <w:lvl w:ilvl="1" w:tplc="0D9089EC">
      <w:start w:val="1"/>
      <w:numFmt w:val="bullet"/>
      <w:lvlText w:val=""/>
      <w:lvlJc w:val="left"/>
      <w:pPr>
        <w:ind w:left="1440" w:hanging="360"/>
      </w:pPr>
      <w:rPr>
        <w:rFonts w:ascii="Symbol" w:hAnsi="Symbol" w:hint="default"/>
      </w:rPr>
    </w:lvl>
    <w:lvl w:ilvl="2" w:tplc="986AB49A">
      <w:start w:val="1"/>
      <w:numFmt w:val="bullet"/>
      <w:lvlText w:val=""/>
      <w:lvlJc w:val="left"/>
      <w:pPr>
        <w:ind w:left="2160" w:hanging="360"/>
      </w:pPr>
      <w:rPr>
        <w:rFonts w:ascii="Wingdings" w:hAnsi="Wingdings" w:hint="default"/>
      </w:rPr>
    </w:lvl>
    <w:lvl w:ilvl="3" w:tplc="0B26F0D4">
      <w:start w:val="1"/>
      <w:numFmt w:val="bullet"/>
      <w:lvlText w:val=""/>
      <w:lvlJc w:val="left"/>
      <w:pPr>
        <w:ind w:left="2880" w:hanging="360"/>
      </w:pPr>
      <w:rPr>
        <w:rFonts w:ascii="Symbol" w:hAnsi="Symbol" w:hint="default"/>
      </w:rPr>
    </w:lvl>
    <w:lvl w:ilvl="4" w:tplc="9A9CF934">
      <w:start w:val="1"/>
      <w:numFmt w:val="bullet"/>
      <w:lvlText w:val="o"/>
      <w:lvlJc w:val="left"/>
      <w:pPr>
        <w:ind w:left="3600" w:hanging="360"/>
      </w:pPr>
      <w:rPr>
        <w:rFonts w:ascii="Courier New" w:hAnsi="Courier New" w:hint="default"/>
      </w:rPr>
    </w:lvl>
    <w:lvl w:ilvl="5" w:tplc="081EC56E">
      <w:start w:val="1"/>
      <w:numFmt w:val="bullet"/>
      <w:lvlText w:val=""/>
      <w:lvlJc w:val="left"/>
      <w:pPr>
        <w:ind w:left="4320" w:hanging="360"/>
      </w:pPr>
      <w:rPr>
        <w:rFonts w:ascii="Wingdings" w:hAnsi="Wingdings" w:hint="default"/>
      </w:rPr>
    </w:lvl>
    <w:lvl w:ilvl="6" w:tplc="A7C0E5E8">
      <w:start w:val="1"/>
      <w:numFmt w:val="bullet"/>
      <w:lvlText w:val=""/>
      <w:lvlJc w:val="left"/>
      <w:pPr>
        <w:ind w:left="5040" w:hanging="360"/>
      </w:pPr>
      <w:rPr>
        <w:rFonts w:ascii="Symbol" w:hAnsi="Symbol" w:hint="default"/>
      </w:rPr>
    </w:lvl>
    <w:lvl w:ilvl="7" w:tplc="AD287BBE">
      <w:start w:val="1"/>
      <w:numFmt w:val="bullet"/>
      <w:lvlText w:val="o"/>
      <w:lvlJc w:val="left"/>
      <w:pPr>
        <w:ind w:left="5760" w:hanging="360"/>
      </w:pPr>
      <w:rPr>
        <w:rFonts w:ascii="Courier New" w:hAnsi="Courier New" w:hint="default"/>
      </w:rPr>
    </w:lvl>
    <w:lvl w:ilvl="8" w:tplc="84B0B590">
      <w:start w:val="1"/>
      <w:numFmt w:val="bullet"/>
      <w:lvlText w:val=""/>
      <w:lvlJc w:val="left"/>
      <w:pPr>
        <w:ind w:left="6480" w:hanging="360"/>
      </w:pPr>
      <w:rPr>
        <w:rFonts w:ascii="Wingdings" w:hAnsi="Wingdings" w:hint="default"/>
      </w:rPr>
    </w:lvl>
  </w:abstractNum>
  <w:abstractNum w:abstractNumId="24" w15:restartNumberingAfterBreak="0">
    <w:nsid w:val="42F0298C"/>
    <w:multiLevelType w:val="hybridMultilevel"/>
    <w:tmpl w:val="FFFFFFFF"/>
    <w:lvl w:ilvl="0" w:tplc="19203764">
      <w:start w:val="1"/>
      <w:numFmt w:val="bullet"/>
      <w:lvlText w:val=""/>
      <w:lvlJc w:val="left"/>
      <w:pPr>
        <w:ind w:left="720" w:hanging="360"/>
      </w:pPr>
      <w:rPr>
        <w:rFonts w:ascii="Symbol" w:hAnsi="Symbol" w:hint="default"/>
      </w:rPr>
    </w:lvl>
    <w:lvl w:ilvl="1" w:tplc="524475AC">
      <w:start w:val="1"/>
      <w:numFmt w:val="bullet"/>
      <w:lvlText w:val="o"/>
      <w:lvlJc w:val="left"/>
      <w:pPr>
        <w:ind w:left="1440" w:hanging="360"/>
      </w:pPr>
      <w:rPr>
        <w:rFonts w:ascii="Courier New" w:hAnsi="Courier New" w:hint="default"/>
      </w:rPr>
    </w:lvl>
    <w:lvl w:ilvl="2" w:tplc="D38E86E4">
      <w:start w:val="1"/>
      <w:numFmt w:val="bullet"/>
      <w:lvlText w:val=""/>
      <w:lvlJc w:val="left"/>
      <w:pPr>
        <w:ind w:left="2160" w:hanging="360"/>
      </w:pPr>
      <w:rPr>
        <w:rFonts w:ascii="Wingdings" w:hAnsi="Wingdings" w:hint="default"/>
      </w:rPr>
    </w:lvl>
    <w:lvl w:ilvl="3" w:tplc="7C569004">
      <w:start w:val="1"/>
      <w:numFmt w:val="bullet"/>
      <w:lvlText w:val=""/>
      <w:lvlJc w:val="left"/>
      <w:pPr>
        <w:ind w:left="2880" w:hanging="360"/>
      </w:pPr>
      <w:rPr>
        <w:rFonts w:ascii="Symbol" w:hAnsi="Symbol" w:hint="default"/>
      </w:rPr>
    </w:lvl>
    <w:lvl w:ilvl="4" w:tplc="6C404E34">
      <w:start w:val="1"/>
      <w:numFmt w:val="bullet"/>
      <w:lvlText w:val="o"/>
      <w:lvlJc w:val="left"/>
      <w:pPr>
        <w:ind w:left="3600" w:hanging="360"/>
      </w:pPr>
      <w:rPr>
        <w:rFonts w:ascii="Courier New" w:hAnsi="Courier New" w:hint="default"/>
      </w:rPr>
    </w:lvl>
    <w:lvl w:ilvl="5" w:tplc="714C0C4E">
      <w:start w:val="1"/>
      <w:numFmt w:val="bullet"/>
      <w:lvlText w:val=""/>
      <w:lvlJc w:val="left"/>
      <w:pPr>
        <w:ind w:left="4320" w:hanging="360"/>
      </w:pPr>
      <w:rPr>
        <w:rFonts w:ascii="Wingdings" w:hAnsi="Wingdings" w:hint="default"/>
      </w:rPr>
    </w:lvl>
    <w:lvl w:ilvl="6" w:tplc="91284170">
      <w:start w:val="1"/>
      <w:numFmt w:val="bullet"/>
      <w:lvlText w:val=""/>
      <w:lvlJc w:val="left"/>
      <w:pPr>
        <w:ind w:left="5040" w:hanging="360"/>
      </w:pPr>
      <w:rPr>
        <w:rFonts w:ascii="Symbol" w:hAnsi="Symbol" w:hint="default"/>
      </w:rPr>
    </w:lvl>
    <w:lvl w:ilvl="7" w:tplc="F822E568">
      <w:start w:val="1"/>
      <w:numFmt w:val="bullet"/>
      <w:lvlText w:val="o"/>
      <w:lvlJc w:val="left"/>
      <w:pPr>
        <w:ind w:left="5760" w:hanging="360"/>
      </w:pPr>
      <w:rPr>
        <w:rFonts w:ascii="Courier New" w:hAnsi="Courier New" w:hint="default"/>
      </w:rPr>
    </w:lvl>
    <w:lvl w:ilvl="8" w:tplc="529814E4">
      <w:start w:val="1"/>
      <w:numFmt w:val="bullet"/>
      <w:lvlText w:val=""/>
      <w:lvlJc w:val="left"/>
      <w:pPr>
        <w:ind w:left="6480" w:hanging="360"/>
      </w:pPr>
      <w:rPr>
        <w:rFonts w:ascii="Wingdings" w:hAnsi="Wingdings" w:hint="default"/>
      </w:rPr>
    </w:lvl>
  </w:abstractNum>
  <w:abstractNum w:abstractNumId="25" w15:restartNumberingAfterBreak="0">
    <w:nsid w:val="44A52410"/>
    <w:multiLevelType w:val="hybridMultilevel"/>
    <w:tmpl w:val="AFA286FA"/>
    <w:lvl w:ilvl="0" w:tplc="C9D22C8C">
      <w:start w:val="1"/>
      <w:numFmt w:val="bullet"/>
      <w:pStyle w:val="ListParagraph"/>
      <w:lvlText w:val=""/>
      <w:lvlJc w:val="left"/>
      <w:pPr>
        <w:ind w:left="720" w:hanging="360"/>
      </w:pPr>
      <w:rPr>
        <w:rFonts w:ascii="Symbol" w:hAnsi="Symbol" w:hint="default"/>
      </w:rPr>
    </w:lvl>
    <w:lvl w:ilvl="1" w:tplc="871E12DA">
      <w:start w:val="1"/>
      <w:numFmt w:val="lowerLetter"/>
      <w:lvlText w:val="(%2)"/>
      <w:lvlJc w:val="left"/>
      <w:pPr>
        <w:ind w:left="1440" w:hanging="360"/>
      </w:pPr>
      <w:rPr>
        <w:rFonts w:ascii="Verdana" w:eastAsiaTheme="minorHAnsi" w:hAnsi="Verdana" w:cstheme="minorBidi"/>
      </w:rPr>
    </w:lvl>
    <w:lvl w:ilvl="2" w:tplc="8FC8644E">
      <w:start w:val="1"/>
      <w:numFmt w:val="bullet"/>
      <w:lvlText w:val=""/>
      <w:lvlJc w:val="left"/>
      <w:pPr>
        <w:ind w:left="2160" w:hanging="360"/>
      </w:pPr>
      <w:rPr>
        <w:rFonts w:ascii="Wingdings" w:hAnsi="Wingdings" w:hint="default"/>
      </w:rPr>
    </w:lvl>
    <w:lvl w:ilvl="3" w:tplc="8ECCB944">
      <w:start w:val="1"/>
      <w:numFmt w:val="bullet"/>
      <w:lvlText w:val=""/>
      <w:lvlJc w:val="left"/>
      <w:pPr>
        <w:ind w:left="2880" w:hanging="360"/>
      </w:pPr>
      <w:rPr>
        <w:rFonts w:ascii="Symbol" w:hAnsi="Symbol" w:hint="default"/>
      </w:rPr>
    </w:lvl>
    <w:lvl w:ilvl="4" w:tplc="069876E4">
      <w:start w:val="1"/>
      <w:numFmt w:val="bullet"/>
      <w:lvlText w:val="o"/>
      <w:lvlJc w:val="left"/>
      <w:pPr>
        <w:ind w:left="3600" w:hanging="360"/>
      </w:pPr>
      <w:rPr>
        <w:rFonts w:ascii="Courier New" w:hAnsi="Courier New" w:hint="default"/>
      </w:rPr>
    </w:lvl>
    <w:lvl w:ilvl="5" w:tplc="97C02854">
      <w:start w:val="1"/>
      <w:numFmt w:val="bullet"/>
      <w:lvlText w:val=""/>
      <w:lvlJc w:val="left"/>
      <w:pPr>
        <w:ind w:left="4320" w:hanging="360"/>
      </w:pPr>
      <w:rPr>
        <w:rFonts w:ascii="Wingdings" w:hAnsi="Wingdings" w:hint="default"/>
      </w:rPr>
    </w:lvl>
    <w:lvl w:ilvl="6" w:tplc="86CA9906">
      <w:start w:val="1"/>
      <w:numFmt w:val="bullet"/>
      <w:lvlText w:val=""/>
      <w:lvlJc w:val="left"/>
      <w:pPr>
        <w:ind w:left="5040" w:hanging="360"/>
      </w:pPr>
      <w:rPr>
        <w:rFonts w:ascii="Symbol" w:hAnsi="Symbol" w:hint="default"/>
      </w:rPr>
    </w:lvl>
    <w:lvl w:ilvl="7" w:tplc="1214E7A6">
      <w:start w:val="1"/>
      <w:numFmt w:val="bullet"/>
      <w:lvlText w:val="o"/>
      <w:lvlJc w:val="left"/>
      <w:pPr>
        <w:ind w:left="5760" w:hanging="360"/>
      </w:pPr>
      <w:rPr>
        <w:rFonts w:ascii="Courier New" w:hAnsi="Courier New" w:hint="default"/>
      </w:rPr>
    </w:lvl>
    <w:lvl w:ilvl="8" w:tplc="913895C2">
      <w:start w:val="1"/>
      <w:numFmt w:val="bullet"/>
      <w:lvlText w:val=""/>
      <w:lvlJc w:val="left"/>
      <w:pPr>
        <w:ind w:left="6480" w:hanging="360"/>
      </w:pPr>
      <w:rPr>
        <w:rFonts w:ascii="Wingdings" w:hAnsi="Wingdings" w:hint="default"/>
      </w:rPr>
    </w:lvl>
  </w:abstractNum>
  <w:abstractNum w:abstractNumId="26" w15:restartNumberingAfterBreak="0">
    <w:nsid w:val="45202892"/>
    <w:multiLevelType w:val="hybridMultilevel"/>
    <w:tmpl w:val="FFFFFFFF"/>
    <w:lvl w:ilvl="0" w:tplc="4F025B1E">
      <w:start w:val="1"/>
      <w:numFmt w:val="bullet"/>
      <w:lvlText w:val=""/>
      <w:lvlJc w:val="left"/>
      <w:pPr>
        <w:ind w:left="720" w:hanging="360"/>
      </w:pPr>
      <w:rPr>
        <w:rFonts w:ascii="Symbol" w:hAnsi="Symbol" w:hint="default"/>
      </w:rPr>
    </w:lvl>
    <w:lvl w:ilvl="1" w:tplc="25D83E0A">
      <w:start w:val="1"/>
      <w:numFmt w:val="bullet"/>
      <w:lvlText w:val="o"/>
      <w:lvlJc w:val="left"/>
      <w:pPr>
        <w:ind w:left="1440" w:hanging="360"/>
      </w:pPr>
      <w:rPr>
        <w:rFonts w:ascii="Courier New" w:hAnsi="Courier New" w:hint="default"/>
      </w:rPr>
    </w:lvl>
    <w:lvl w:ilvl="2" w:tplc="9048C0C6">
      <w:start w:val="1"/>
      <w:numFmt w:val="bullet"/>
      <w:lvlText w:val=""/>
      <w:lvlJc w:val="left"/>
      <w:pPr>
        <w:ind w:left="2160" w:hanging="360"/>
      </w:pPr>
      <w:rPr>
        <w:rFonts w:ascii="Wingdings" w:hAnsi="Wingdings" w:hint="default"/>
      </w:rPr>
    </w:lvl>
    <w:lvl w:ilvl="3" w:tplc="00CE4A5A">
      <w:start w:val="1"/>
      <w:numFmt w:val="bullet"/>
      <w:lvlText w:val=""/>
      <w:lvlJc w:val="left"/>
      <w:pPr>
        <w:ind w:left="2880" w:hanging="360"/>
      </w:pPr>
      <w:rPr>
        <w:rFonts w:ascii="Symbol" w:hAnsi="Symbol" w:hint="default"/>
      </w:rPr>
    </w:lvl>
    <w:lvl w:ilvl="4" w:tplc="E084AD08">
      <w:start w:val="1"/>
      <w:numFmt w:val="bullet"/>
      <w:lvlText w:val="o"/>
      <w:lvlJc w:val="left"/>
      <w:pPr>
        <w:ind w:left="3600" w:hanging="360"/>
      </w:pPr>
      <w:rPr>
        <w:rFonts w:ascii="Courier New" w:hAnsi="Courier New" w:hint="default"/>
      </w:rPr>
    </w:lvl>
    <w:lvl w:ilvl="5" w:tplc="88A49FF4">
      <w:start w:val="1"/>
      <w:numFmt w:val="bullet"/>
      <w:lvlText w:val=""/>
      <w:lvlJc w:val="left"/>
      <w:pPr>
        <w:ind w:left="4320" w:hanging="360"/>
      </w:pPr>
      <w:rPr>
        <w:rFonts w:ascii="Wingdings" w:hAnsi="Wingdings" w:hint="default"/>
      </w:rPr>
    </w:lvl>
    <w:lvl w:ilvl="6" w:tplc="F5CAE69A">
      <w:start w:val="1"/>
      <w:numFmt w:val="bullet"/>
      <w:lvlText w:val=""/>
      <w:lvlJc w:val="left"/>
      <w:pPr>
        <w:ind w:left="5040" w:hanging="360"/>
      </w:pPr>
      <w:rPr>
        <w:rFonts w:ascii="Symbol" w:hAnsi="Symbol" w:hint="default"/>
      </w:rPr>
    </w:lvl>
    <w:lvl w:ilvl="7" w:tplc="4814BF0A">
      <w:start w:val="1"/>
      <w:numFmt w:val="bullet"/>
      <w:lvlText w:val="o"/>
      <w:lvlJc w:val="left"/>
      <w:pPr>
        <w:ind w:left="5760" w:hanging="360"/>
      </w:pPr>
      <w:rPr>
        <w:rFonts w:ascii="Courier New" w:hAnsi="Courier New" w:hint="default"/>
      </w:rPr>
    </w:lvl>
    <w:lvl w:ilvl="8" w:tplc="706C74FC">
      <w:start w:val="1"/>
      <w:numFmt w:val="bullet"/>
      <w:lvlText w:val=""/>
      <w:lvlJc w:val="left"/>
      <w:pPr>
        <w:ind w:left="6480" w:hanging="360"/>
      </w:pPr>
      <w:rPr>
        <w:rFonts w:ascii="Wingdings" w:hAnsi="Wingdings" w:hint="default"/>
      </w:rPr>
    </w:lvl>
  </w:abstractNum>
  <w:abstractNum w:abstractNumId="27" w15:restartNumberingAfterBreak="0">
    <w:nsid w:val="48D56723"/>
    <w:multiLevelType w:val="hybridMultilevel"/>
    <w:tmpl w:val="FFFFFFFF"/>
    <w:lvl w:ilvl="0" w:tplc="E452DDB2">
      <w:start w:val="1"/>
      <w:numFmt w:val="decimal"/>
      <w:lvlText w:val="%1)"/>
      <w:lvlJc w:val="left"/>
      <w:pPr>
        <w:ind w:left="720" w:hanging="360"/>
      </w:pPr>
    </w:lvl>
    <w:lvl w:ilvl="1" w:tplc="B966F506">
      <w:start w:val="1"/>
      <w:numFmt w:val="lowerLetter"/>
      <w:lvlText w:val="%2."/>
      <w:lvlJc w:val="left"/>
      <w:pPr>
        <w:ind w:left="1440" w:hanging="360"/>
      </w:pPr>
    </w:lvl>
    <w:lvl w:ilvl="2" w:tplc="83AE0FE4">
      <w:start w:val="1"/>
      <w:numFmt w:val="lowerRoman"/>
      <w:lvlText w:val="%3."/>
      <w:lvlJc w:val="right"/>
      <w:pPr>
        <w:ind w:left="2160" w:hanging="180"/>
      </w:pPr>
    </w:lvl>
    <w:lvl w:ilvl="3" w:tplc="11100FF6">
      <w:start w:val="1"/>
      <w:numFmt w:val="decimal"/>
      <w:lvlText w:val="%4."/>
      <w:lvlJc w:val="left"/>
      <w:pPr>
        <w:ind w:left="2880" w:hanging="360"/>
      </w:pPr>
    </w:lvl>
    <w:lvl w:ilvl="4" w:tplc="BE2E667A">
      <w:start w:val="1"/>
      <w:numFmt w:val="lowerLetter"/>
      <w:lvlText w:val="%5."/>
      <w:lvlJc w:val="left"/>
      <w:pPr>
        <w:ind w:left="3600" w:hanging="360"/>
      </w:pPr>
    </w:lvl>
    <w:lvl w:ilvl="5" w:tplc="F3D6E22A">
      <w:start w:val="1"/>
      <w:numFmt w:val="lowerRoman"/>
      <w:lvlText w:val="%6."/>
      <w:lvlJc w:val="right"/>
      <w:pPr>
        <w:ind w:left="4320" w:hanging="180"/>
      </w:pPr>
    </w:lvl>
    <w:lvl w:ilvl="6" w:tplc="2A50BAC2">
      <w:start w:val="1"/>
      <w:numFmt w:val="decimal"/>
      <w:lvlText w:val="%7."/>
      <w:lvlJc w:val="left"/>
      <w:pPr>
        <w:ind w:left="5040" w:hanging="360"/>
      </w:pPr>
    </w:lvl>
    <w:lvl w:ilvl="7" w:tplc="505A1322">
      <w:start w:val="1"/>
      <w:numFmt w:val="lowerLetter"/>
      <w:lvlText w:val="%8."/>
      <w:lvlJc w:val="left"/>
      <w:pPr>
        <w:ind w:left="5760" w:hanging="360"/>
      </w:pPr>
    </w:lvl>
    <w:lvl w:ilvl="8" w:tplc="4C909AD0">
      <w:start w:val="1"/>
      <w:numFmt w:val="lowerRoman"/>
      <w:lvlText w:val="%9."/>
      <w:lvlJc w:val="right"/>
      <w:pPr>
        <w:ind w:left="6480" w:hanging="180"/>
      </w:pPr>
    </w:lvl>
  </w:abstractNum>
  <w:abstractNum w:abstractNumId="28" w15:restartNumberingAfterBreak="0">
    <w:nsid w:val="4F21586E"/>
    <w:multiLevelType w:val="hybridMultilevel"/>
    <w:tmpl w:val="FFFFFFFF"/>
    <w:lvl w:ilvl="0" w:tplc="911C649C">
      <w:start w:val="1"/>
      <w:numFmt w:val="decimal"/>
      <w:lvlText w:val="%1)"/>
      <w:lvlJc w:val="left"/>
      <w:pPr>
        <w:ind w:left="720" w:hanging="360"/>
      </w:pPr>
    </w:lvl>
    <w:lvl w:ilvl="1" w:tplc="0C9E5238">
      <w:start w:val="1"/>
      <w:numFmt w:val="lowerLetter"/>
      <w:lvlText w:val="%2."/>
      <w:lvlJc w:val="left"/>
      <w:pPr>
        <w:ind w:left="1440" w:hanging="360"/>
      </w:pPr>
    </w:lvl>
    <w:lvl w:ilvl="2" w:tplc="BEF69D2C">
      <w:start w:val="1"/>
      <w:numFmt w:val="lowerRoman"/>
      <w:lvlText w:val="%3."/>
      <w:lvlJc w:val="right"/>
      <w:pPr>
        <w:ind w:left="2160" w:hanging="180"/>
      </w:pPr>
    </w:lvl>
    <w:lvl w:ilvl="3" w:tplc="2536DD80">
      <w:start w:val="1"/>
      <w:numFmt w:val="decimal"/>
      <w:lvlText w:val="%4."/>
      <w:lvlJc w:val="left"/>
      <w:pPr>
        <w:ind w:left="2880" w:hanging="360"/>
      </w:pPr>
    </w:lvl>
    <w:lvl w:ilvl="4" w:tplc="1E2856CC">
      <w:start w:val="1"/>
      <w:numFmt w:val="lowerLetter"/>
      <w:lvlText w:val="%5."/>
      <w:lvlJc w:val="left"/>
      <w:pPr>
        <w:ind w:left="3600" w:hanging="360"/>
      </w:pPr>
    </w:lvl>
    <w:lvl w:ilvl="5" w:tplc="5A3AC5E2">
      <w:start w:val="1"/>
      <w:numFmt w:val="lowerRoman"/>
      <w:lvlText w:val="%6."/>
      <w:lvlJc w:val="right"/>
      <w:pPr>
        <w:ind w:left="4320" w:hanging="180"/>
      </w:pPr>
    </w:lvl>
    <w:lvl w:ilvl="6" w:tplc="22207CD2">
      <w:start w:val="1"/>
      <w:numFmt w:val="decimal"/>
      <w:lvlText w:val="%7."/>
      <w:lvlJc w:val="left"/>
      <w:pPr>
        <w:ind w:left="5040" w:hanging="360"/>
      </w:pPr>
    </w:lvl>
    <w:lvl w:ilvl="7" w:tplc="204A0080">
      <w:start w:val="1"/>
      <w:numFmt w:val="lowerLetter"/>
      <w:lvlText w:val="%8."/>
      <w:lvlJc w:val="left"/>
      <w:pPr>
        <w:ind w:left="5760" w:hanging="360"/>
      </w:pPr>
    </w:lvl>
    <w:lvl w:ilvl="8" w:tplc="A904AA80">
      <w:start w:val="1"/>
      <w:numFmt w:val="lowerRoman"/>
      <w:lvlText w:val="%9."/>
      <w:lvlJc w:val="right"/>
      <w:pPr>
        <w:ind w:left="6480" w:hanging="180"/>
      </w:pPr>
    </w:lvl>
  </w:abstractNum>
  <w:abstractNum w:abstractNumId="29" w15:restartNumberingAfterBreak="0">
    <w:nsid w:val="4FB17A9F"/>
    <w:multiLevelType w:val="hybridMultilevel"/>
    <w:tmpl w:val="FFFFFFFF"/>
    <w:lvl w:ilvl="0" w:tplc="D004AE0C">
      <w:start w:val="1"/>
      <w:numFmt w:val="decimal"/>
      <w:lvlText w:val="%1)"/>
      <w:lvlJc w:val="left"/>
      <w:pPr>
        <w:ind w:left="720" w:hanging="360"/>
      </w:pPr>
    </w:lvl>
    <w:lvl w:ilvl="1" w:tplc="B20E5D1C">
      <w:start w:val="1"/>
      <w:numFmt w:val="lowerLetter"/>
      <w:lvlText w:val="%2."/>
      <w:lvlJc w:val="left"/>
      <w:pPr>
        <w:ind w:left="1440" w:hanging="360"/>
      </w:pPr>
    </w:lvl>
    <w:lvl w:ilvl="2" w:tplc="8592DA2A">
      <w:start w:val="1"/>
      <w:numFmt w:val="lowerRoman"/>
      <w:lvlText w:val="%3."/>
      <w:lvlJc w:val="right"/>
      <w:pPr>
        <w:ind w:left="2160" w:hanging="180"/>
      </w:pPr>
    </w:lvl>
    <w:lvl w:ilvl="3" w:tplc="21528F1C">
      <w:start w:val="1"/>
      <w:numFmt w:val="decimal"/>
      <w:lvlText w:val="%4."/>
      <w:lvlJc w:val="left"/>
      <w:pPr>
        <w:ind w:left="2880" w:hanging="360"/>
      </w:pPr>
    </w:lvl>
    <w:lvl w:ilvl="4" w:tplc="CA14120C">
      <w:start w:val="1"/>
      <w:numFmt w:val="lowerLetter"/>
      <w:lvlText w:val="%5."/>
      <w:lvlJc w:val="left"/>
      <w:pPr>
        <w:ind w:left="3600" w:hanging="360"/>
      </w:pPr>
    </w:lvl>
    <w:lvl w:ilvl="5" w:tplc="9AC4E62A">
      <w:start w:val="1"/>
      <w:numFmt w:val="lowerRoman"/>
      <w:lvlText w:val="%6."/>
      <w:lvlJc w:val="right"/>
      <w:pPr>
        <w:ind w:left="4320" w:hanging="180"/>
      </w:pPr>
    </w:lvl>
    <w:lvl w:ilvl="6" w:tplc="6068E5C2">
      <w:start w:val="1"/>
      <w:numFmt w:val="decimal"/>
      <w:lvlText w:val="%7."/>
      <w:lvlJc w:val="left"/>
      <w:pPr>
        <w:ind w:left="5040" w:hanging="360"/>
      </w:pPr>
    </w:lvl>
    <w:lvl w:ilvl="7" w:tplc="E9A874EE">
      <w:start w:val="1"/>
      <w:numFmt w:val="lowerLetter"/>
      <w:lvlText w:val="%8."/>
      <w:lvlJc w:val="left"/>
      <w:pPr>
        <w:ind w:left="5760" w:hanging="360"/>
      </w:pPr>
    </w:lvl>
    <w:lvl w:ilvl="8" w:tplc="5DB8B060">
      <w:start w:val="1"/>
      <w:numFmt w:val="lowerRoman"/>
      <w:lvlText w:val="%9."/>
      <w:lvlJc w:val="right"/>
      <w:pPr>
        <w:ind w:left="6480" w:hanging="180"/>
      </w:pPr>
    </w:lvl>
  </w:abstractNum>
  <w:abstractNum w:abstractNumId="30" w15:restartNumberingAfterBreak="0">
    <w:nsid w:val="503006AA"/>
    <w:multiLevelType w:val="hybridMultilevel"/>
    <w:tmpl w:val="FFFFFFFF"/>
    <w:lvl w:ilvl="0" w:tplc="BD9C9884">
      <w:start w:val="1"/>
      <w:numFmt w:val="decimal"/>
      <w:lvlText w:val="%1)"/>
      <w:lvlJc w:val="left"/>
      <w:pPr>
        <w:ind w:left="720" w:hanging="360"/>
      </w:pPr>
    </w:lvl>
    <w:lvl w:ilvl="1" w:tplc="7BB8A532">
      <w:start w:val="1"/>
      <w:numFmt w:val="lowerLetter"/>
      <w:lvlText w:val="%2."/>
      <w:lvlJc w:val="left"/>
      <w:pPr>
        <w:ind w:left="1440" w:hanging="360"/>
      </w:pPr>
    </w:lvl>
    <w:lvl w:ilvl="2" w:tplc="FD124860">
      <w:start w:val="1"/>
      <w:numFmt w:val="lowerRoman"/>
      <w:lvlText w:val="%3."/>
      <w:lvlJc w:val="right"/>
      <w:pPr>
        <w:ind w:left="2160" w:hanging="180"/>
      </w:pPr>
    </w:lvl>
    <w:lvl w:ilvl="3" w:tplc="E5D4B106">
      <w:start w:val="1"/>
      <w:numFmt w:val="decimal"/>
      <w:lvlText w:val="%4."/>
      <w:lvlJc w:val="left"/>
      <w:pPr>
        <w:ind w:left="2880" w:hanging="360"/>
      </w:pPr>
    </w:lvl>
    <w:lvl w:ilvl="4" w:tplc="E44254DA">
      <w:start w:val="1"/>
      <w:numFmt w:val="lowerLetter"/>
      <w:lvlText w:val="%5."/>
      <w:lvlJc w:val="left"/>
      <w:pPr>
        <w:ind w:left="3600" w:hanging="360"/>
      </w:pPr>
    </w:lvl>
    <w:lvl w:ilvl="5" w:tplc="84A40F60">
      <w:start w:val="1"/>
      <w:numFmt w:val="lowerRoman"/>
      <w:lvlText w:val="%6."/>
      <w:lvlJc w:val="right"/>
      <w:pPr>
        <w:ind w:left="4320" w:hanging="180"/>
      </w:pPr>
    </w:lvl>
    <w:lvl w:ilvl="6" w:tplc="389C3B8C">
      <w:start w:val="1"/>
      <w:numFmt w:val="decimal"/>
      <w:lvlText w:val="%7."/>
      <w:lvlJc w:val="left"/>
      <w:pPr>
        <w:ind w:left="5040" w:hanging="360"/>
      </w:pPr>
    </w:lvl>
    <w:lvl w:ilvl="7" w:tplc="C832BA5E">
      <w:start w:val="1"/>
      <w:numFmt w:val="lowerLetter"/>
      <w:lvlText w:val="%8."/>
      <w:lvlJc w:val="left"/>
      <w:pPr>
        <w:ind w:left="5760" w:hanging="360"/>
      </w:pPr>
    </w:lvl>
    <w:lvl w:ilvl="8" w:tplc="5A888910">
      <w:start w:val="1"/>
      <w:numFmt w:val="lowerRoman"/>
      <w:lvlText w:val="%9."/>
      <w:lvlJc w:val="right"/>
      <w:pPr>
        <w:ind w:left="6480" w:hanging="180"/>
      </w:pPr>
    </w:lvl>
  </w:abstractNum>
  <w:abstractNum w:abstractNumId="31" w15:restartNumberingAfterBreak="0">
    <w:nsid w:val="52D617CE"/>
    <w:multiLevelType w:val="hybridMultilevel"/>
    <w:tmpl w:val="FFFFFFFF"/>
    <w:lvl w:ilvl="0" w:tplc="F88C9BC2">
      <w:start w:val="1"/>
      <w:numFmt w:val="decimal"/>
      <w:lvlText w:val="%1)"/>
      <w:lvlJc w:val="left"/>
      <w:pPr>
        <w:ind w:left="720" w:hanging="360"/>
      </w:pPr>
    </w:lvl>
    <w:lvl w:ilvl="1" w:tplc="FA7E698E">
      <w:start w:val="1"/>
      <w:numFmt w:val="lowerLetter"/>
      <w:lvlText w:val="%2."/>
      <w:lvlJc w:val="left"/>
      <w:pPr>
        <w:ind w:left="1440" w:hanging="360"/>
      </w:pPr>
    </w:lvl>
    <w:lvl w:ilvl="2" w:tplc="C270CBD8">
      <w:start w:val="1"/>
      <w:numFmt w:val="lowerRoman"/>
      <w:lvlText w:val="%3."/>
      <w:lvlJc w:val="right"/>
      <w:pPr>
        <w:ind w:left="2160" w:hanging="180"/>
      </w:pPr>
    </w:lvl>
    <w:lvl w:ilvl="3" w:tplc="B742DD1E">
      <w:start w:val="1"/>
      <w:numFmt w:val="decimal"/>
      <w:lvlText w:val="%4."/>
      <w:lvlJc w:val="left"/>
      <w:pPr>
        <w:ind w:left="2880" w:hanging="360"/>
      </w:pPr>
    </w:lvl>
    <w:lvl w:ilvl="4" w:tplc="4DF062A4">
      <w:start w:val="1"/>
      <w:numFmt w:val="lowerLetter"/>
      <w:lvlText w:val="%5."/>
      <w:lvlJc w:val="left"/>
      <w:pPr>
        <w:ind w:left="3600" w:hanging="360"/>
      </w:pPr>
    </w:lvl>
    <w:lvl w:ilvl="5" w:tplc="CCE277BA">
      <w:start w:val="1"/>
      <w:numFmt w:val="lowerRoman"/>
      <w:lvlText w:val="%6."/>
      <w:lvlJc w:val="right"/>
      <w:pPr>
        <w:ind w:left="4320" w:hanging="180"/>
      </w:pPr>
    </w:lvl>
    <w:lvl w:ilvl="6" w:tplc="BA389F9E">
      <w:start w:val="1"/>
      <w:numFmt w:val="decimal"/>
      <w:lvlText w:val="%7."/>
      <w:lvlJc w:val="left"/>
      <w:pPr>
        <w:ind w:left="5040" w:hanging="360"/>
      </w:pPr>
    </w:lvl>
    <w:lvl w:ilvl="7" w:tplc="02943DFA">
      <w:start w:val="1"/>
      <w:numFmt w:val="lowerLetter"/>
      <w:lvlText w:val="%8."/>
      <w:lvlJc w:val="left"/>
      <w:pPr>
        <w:ind w:left="5760" w:hanging="360"/>
      </w:pPr>
    </w:lvl>
    <w:lvl w:ilvl="8" w:tplc="F7448362">
      <w:start w:val="1"/>
      <w:numFmt w:val="lowerRoman"/>
      <w:lvlText w:val="%9."/>
      <w:lvlJc w:val="right"/>
      <w:pPr>
        <w:ind w:left="6480" w:hanging="180"/>
      </w:pPr>
    </w:lvl>
  </w:abstractNum>
  <w:abstractNum w:abstractNumId="32" w15:restartNumberingAfterBreak="0">
    <w:nsid w:val="565B3AB8"/>
    <w:multiLevelType w:val="hybridMultilevel"/>
    <w:tmpl w:val="FFFFFFFF"/>
    <w:lvl w:ilvl="0" w:tplc="AB208294">
      <w:start w:val="1"/>
      <w:numFmt w:val="decimal"/>
      <w:lvlText w:val="%1)"/>
      <w:lvlJc w:val="left"/>
      <w:pPr>
        <w:ind w:left="720" w:hanging="360"/>
      </w:pPr>
    </w:lvl>
    <w:lvl w:ilvl="1" w:tplc="D2D81E3A">
      <w:start w:val="1"/>
      <w:numFmt w:val="lowerLetter"/>
      <w:lvlText w:val="%2."/>
      <w:lvlJc w:val="left"/>
      <w:pPr>
        <w:ind w:left="1440" w:hanging="360"/>
      </w:pPr>
    </w:lvl>
    <w:lvl w:ilvl="2" w:tplc="E69A6856">
      <w:start w:val="1"/>
      <w:numFmt w:val="lowerRoman"/>
      <w:lvlText w:val="%3."/>
      <w:lvlJc w:val="right"/>
      <w:pPr>
        <w:ind w:left="2160" w:hanging="180"/>
      </w:pPr>
    </w:lvl>
    <w:lvl w:ilvl="3" w:tplc="37D2BD5A">
      <w:start w:val="1"/>
      <w:numFmt w:val="decimal"/>
      <w:lvlText w:val="%4."/>
      <w:lvlJc w:val="left"/>
      <w:pPr>
        <w:ind w:left="2880" w:hanging="360"/>
      </w:pPr>
    </w:lvl>
    <w:lvl w:ilvl="4" w:tplc="D8327A9E">
      <w:start w:val="1"/>
      <w:numFmt w:val="lowerLetter"/>
      <w:lvlText w:val="%5."/>
      <w:lvlJc w:val="left"/>
      <w:pPr>
        <w:ind w:left="3600" w:hanging="360"/>
      </w:pPr>
    </w:lvl>
    <w:lvl w:ilvl="5" w:tplc="881C0006">
      <w:start w:val="1"/>
      <w:numFmt w:val="lowerRoman"/>
      <w:lvlText w:val="%6."/>
      <w:lvlJc w:val="right"/>
      <w:pPr>
        <w:ind w:left="4320" w:hanging="180"/>
      </w:pPr>
    </w:lvl>
    <w:lvl w:ilvl="6" w:tplc="5E94AD64">
      <w:start w:val="1"/>
      <w:numFmt w:val="decimal"/>
      <w:lvlText w:val="%7."/>
      <w:lvlJc w:val="left"/>
      <w:pPr>
        <w:ind w:left="5040" w:hanging="360"/>
      </w:pPr>
    </w:lvl>
    <w:lvl w:ilvl="7" w:tplc="464E83BE">
      <w:start w:val="1"/>
      <w:numFmt w:val="lowerLetter"/>
      <w:lvlText w:val="%8."/>
      <w:lvlJc w:val="left"/>
      <w:pPr>
        <w:ind w:left="5760" w:hanging="360"/>
      </w:pPr>
    </w:lvl>
    <w:lvl w:ilvl="8" w:tplc="B066A482">
      <w:start w:val="1"/>
      <w:numFmt w:val="lowerRoman"/>
      <w:lvlText w:val="%9."/>
      <w:lvlJc w:val="right"/>
      <w:pPr>
        <w:ind w:left="6480" w:hanging="180"/>
      </w:pPr>
    </w:lvl>
  </w:abstractNum>
  <w:abstractNum w:abstractNumId="33" w15:restartNumberingAfterBreak="0">
    <w:nsid w:val="59DB65C1"/>
    <w:multiLevelType w:val="hybridMultilevel"/>
    <w:tmpl w:val="FFFFFFFF"/>
    <w:lvl w:ilvl="0" w:tplc="E9D2E2DA">
      <w:start w:val="1"/>
      <w:numFmt w:val="bullet"/>
      <w:lvlText w:val="-"/>
      <w:lvlJc w:val="left"/>
      <w:pPr>
        <w:ind w:left="720" w:hanging="360"/>
      </w:pPr>
      <w:rPr>
        <w:rFonts w:ascii="Calibri" w:hAnsi="Calibri" w:hint="default"/>
      </w:rPr>
    </w:lvl>
    <w:lvl w:ilvl="1" w:tplc="5602E6D0">
      <w:start w:val="1"/>
      <w:numFmt w:val="bullet"/>
      <w:lvlText w:val="o"/>
      <w:lvlJc w:val="left"/>
      <w:pPr>
        <w:ind w:left="1440" w:hanging="360"/>
      </w:pPr>
      <w:rPr>
        <w:rFonts w:ascii="Courier New" w:hAnsi="Courier New" w:hint="default"/>
      </w:rPr>
    </w:lvl>
    <w:lvl w:ilvl="2" w:tplc="74264C9A">
      <w:start w:val="1"/>
      <w:numFmt w:val="bullet"/>
      <w:lvlText w:val=""/>
      <w:lvlJc w:val="left"/>
      <w:pPr>
        <w:ind w:left="2160" w:hanging="360"/>
      </w:pPr>
      <w:rPr>
        <w:rFonts w:ascii="Wingdings" w:hAnsi="Wingdings" w:hint="default"/>
      </w:rPr>
    </w:lvl>
    <w:lvl w:ilvl="3" w:tplc="013E0694">
      <w:start w:val="1"/>
      <w:numFmt w:val="bullet"/>
      <w:lvlText w:val=""/>
      <w:lvlJc w:val="left"/>
      <w:pPr>
        <w:ind w:left="2880" w:hanging="360"/>
      </w:pPr>
      <w:rPr>
        <w:rFonts w:ascii="Symbol" w:hAnsi="Symbol" w:hint="default"/>
      </w:rPr>
    </w:lvl>
    <w:lvl w:ilvl="4" w:tplc="C1F4392C">
      <w:start w:val="1"/>
      <w:numFmt w:val="bullet"/>
      <w:lvlText w:val="o"/>
      <w:lvlJc w:val="left"/>
      <w:pPr>
        <w:ind w:left="3600" w:hanging="360"/>
      </w:pPr>
      <w:rPr>
        <w:rFonts w:ascii="Courier New" w:hAnsi="Courier New" w:hint="default"/>
      </w:rPr>
    </w:lvl>
    <w:lvl w:ilvl="5" w:tplc="D8386B90">
      <w:start w:val="1"/>
      <w:numFmt w:val="bullet"/>
      <w:lvlText w:val=""/>
      <w:lvlJc w:val="left"/>
      <w:pPr>
        <w:ind w:left="4320" w:hanging="360"/>
      </w:pPr>
      <w:rPr>
        <w:rFonts w:ascii="Wingdings" w:hAnsi="Wingdings" w:hint="default"/>
      </w:rPr>
    </w:lvl>
    <w:lvl w:ilvl="6" w:tplc="F14CA892">
      <w:start w:val="1"/>
      <w:numFmt w:val="bullet"/>
      <w:lvlText w:val=""/>
      <w:lvlJc w:val="left"/>
      <w:pPr>
        <w:ind w:left="5040" w:hanging="360"/>
      </w:pPr>
      <w:rPr>
        <w:rFonts w:ascii="Symbol" w:hAnsi="Symbol" w:hint="default"/>
      </w:rPr>
    </w:lvl>
    <w:lvl w:ilvl="7" w:tplc="5D2CFE8E">
      <w:start w:val="1"/>
      <w:numFmt w:val="bullet"/>
      <w:lvlText w:val="o"/>
      <w:lvlJc w:val="left"/>
      <w:pPr>
        <w:ind w:left="5760" w:hanging="360"/>
      </w:pPr>
      <w:rPr>
        <w:rFonts w:ascii="Courier New" w:hAnsi="Courier New" w:hint="default"/>
      </w:rPr>
    </w:lvl>
    <w:lvl w:ilvl="8" w:tplc="2DBE1CD8">
      <w:start w:val="1"/>
      <w:numFmt w:val="bullet"/>
      <w:lvlText w:val=""/>
      <w:lvlJc w:val="left"/>
      <w:pPr>
        <w:ind w:left="6480" w:hanging="360"/>
      </w:pPr>
      <w:rPr>
        <w:rFonts w:ascii="Wingdings" w:hAnsi="Wingdings" w:hint="default"/>
      </w:rPr>
    </w:lvl>
  </w:abstractNum>
  <w:abstractNum w:abstractNumId="34" w15:restartNumberingAfterBreak="0">
    <w:nsid w:val="5B093F87"/>
    <w:multiLevelType w:val="hybridMultilevel"/>
    <w:tmpl w:val="FFFFFFFF"/>
    <w:lvl w:ilvl="0" w:tplc="E10E9A56">
      <w:start w:val="1"/>
      <w:numFmt w:val="bullet"/>
      <w:lvlText w:val=""/>
      <w:lvlJc w:val="left"/>
      <w:pPr>
        <w:ind w:left="720" w:hanging="360"/>
      </w:pPr>
      <w:rPr>
        <w:rFonts w:ascii="Symbol" w:hAnsi="Symbol" w:hint="default"/>
      </w:rPr>
    </w:lvl>
    <w:lvl w:ilvl="1" w:tplc="5380C586">
      <w:start w:val="1"/>
      <w:numFmt w:val="bullet"/>
      <w:lvlText w:val="o"/>
      <w:lvlJc w:val="left"/>
      <w:pPr>
        <w:ind w:left="1440" w:hanging="360"/>
      </w:pPr>
      <w:rPr>
        <w:rFonts w:ascii="Courier New" w:hAnsi="Courier New" w:hint="default"/>
      </w:rPr>
    </w:lvl>
    <w:lvl w:ilvl="2" w:tplc="63587C72">
      <w:start w:val="1"/>
      <w:numFmt w:val="bullet"/>
      <w:lvlText w:val=""/>
      <w:lvlJc w:val="left"/>
      <w:pPr>
        <w:ind w:left="2160" w:hanging="360"/>
      </w:pPr>
      <w:rPr>
        <w:rFonts w:ascii="Wingdings" w:hAnsi="Wingdings" w:hint="default"/>
      </w:rPr>
    </w:lvl>
    <w:lvl w:ilvl="3" w:tplc="9F565154">
      <w:start w:val="1"/>
      <w:numFmt w:val="bullet"/>
      <w:lvlText w:val=""/>
      <w:lvlJc w:val="left"/>
      <w:pPr>
        <w:ind w:left="2880" w:hanging="360"/>
      </w:pPr>
      <w:rPr>
        <w:rFonts w:ascii="Symbol" w:hAnsi="Symbol" w:hint="default"/>
      </w:rPr>
    </w:lvl>
    <w:lvl w:ilvl="4" w:tplc="9250AB88">
      <w:start w:val="1"/>
      <w:numFmt w:val="bullet"/>
      <w:lvlText w:val="o"/>
      <w:lvlJc w:val="left"/>
      <w:pPr>
        <w:ind w:left="3600" w:hanging="360"/>
      </w:pPr>
      <w:rPr>
        <w:rFonts w:ascii="Courier New" w:hAnsi="Courier New" w:hint="default"/>
      </w:rPr>
    </w:lvl>
    <w:lvl w:ilvl="5" w:tplc="FBF21F26">
      <w:start w:val="1"/>
      <w:numFmt w:val="bullet"/>
      <w:lvlText w:val=""/>
      <w:lvlJc w:val="left"/>
      <w:pPr>
        <w:ind w:left="4320" w:hanging="360"/>
      </w:pPr>
      <w:rPr>
        <w:rFonts w:ascii="Wingdings" w:hAnsi="Wingdings" w:hint="default"/>
      </w:rPr>
    </w:lvl>
    <w:lvl w:ilvl="6" w:tplc="7C241172">
      <w:start w:val="1"/>
      <w:numFmt w:val="bullet"/>
      <w:lvlText w:val=""/>
      <w:lvlJc w:val="left"/>
      <w:pPr>
        <w:ind w:left="5040" w:hanging="360"/>
      </w:pPr>
      <w:rPr>
        <w:rFonts w:ascii="Symbol" w:hAnsi="Symbol" w:hint="default"/>
      </w:rPr>
    </w:lvl>
    <w:lvl w:ilvl="7" w:tplc="B7A6F760">
      <w:start w:val="1"/>
      <w:numFmt w:val="bullet"/>
      <w:lvlText w:val="o"/>
      <w:lvlJc w:val="left"/>
      <w:pPr>
        <w:ind w:left="5760" w:hanging="360"/>
      </w:pPr>
      <w:rPr>
        <w:rFonts w:ascii="Courier New" w:hAnsi="Courier New" w:hint="default"/>
      </w:rPr>
    </w:lvl>
    <w:lvl w:ilvl="8" w:tplc="DE1EDC98">
      <w:start w:val="1"/>
      <w:numFmt w:val="bullet"/>
      <w:lvlText w:val=""/>
      <w:lvlJc w:val="left"/>
      <w:pPr>
        <w:ind w:left="6480" w:hanging="360"/>
      </w:pPr>
      <w:rPr>
        <w:rFonts w:ascii="Wingdings" w:hAnsi="Wingdings" w:hint="default"/>
      </w:rPr>
    </w:lvl>
  </w:abstractNum>
  <w:abstractNum w:abstractNumId="35" w15:restartNumberingAfterBreak="0">
    <w:nsid w:val="5CA43C71"/>
    <w:multiLevelType w:val="hybridMultilevel"/>
    <w:tmpl w:val="FFFFFFFF"/>
    <w:lvl w:ilvl="0" w:tplc="E3BA14B6">
      <w:start w:val="1"/>
      <w:numFmt w:val="bullet"/>
      <w:lvlText w:val=""/>
      <w:lvlJc w:val="left"/>
      <w:pPr>
        <w:ind w:left="720" w:hanging="360"/>
      </w:pPr>
      <w:rPr>
        <w:rFonts w:ascii="Symbol" w:hAnsi="Symbol" w:hint="default"/>
      </w:rPr>
    </w:lvl>
    <w:lvl w:ilvl="1" w:tplc="F260D798">
      <w:start w:val="1"/>
      <w:numFmt w:val="bullet"/>
      <w:lvlText w:val="o"/>
      <w:lvlJc w:val="left"/>
      <w:pPr>
        <w:ind w:left="1440" w:hanging="360"/>
      </w:pPr>
      <w:rPr>
        <w:rFonts w:ascii="Courier New" w:hAnsi="Courier New" w:hint="default"/>
      </w:rPr>
    </w:lvl>
    <w:lvl w:ilvl="2" w:tplc="7D885D0C">
      <w:start w:val="1"/>
      <w:numFmt w:val="bullet"/>
      <w:lvlText w:val=""/>
      <w:lvlJc w:val="left"/>
      <w:pPr>
        <w:ind w:left="2160" w:hanging="360"/>
      </w:pPr>
      <w:rPr>
        <w:rFonts w:ascii="Wingdings" w:hAnsi="Wingdings" w:hint="default"/>
      </w:rPr>
    </w:lvl>
    <w:lvl w:ilvl="3" w:tplc="2C48242C">
      <w:start w:val="1"/>
      <w:numFmt w:val="bullet"/>
      <w:lvlText w:val=""/>
      <w:lvlJc w:val="left"/>
      <w:pPr>
        <w:ind w:left="2880" w:hanging="360"/>
      </w:pPr>
      <w:rPr>
        <w:rFonts w:ascii="Symbol" w:hAnsi="Symbol" w:hint="default"/>
      </w:rPr>
    </w:lvl>
    <w:lvl w:ilvl="4" w:tplc="0E94B38A">
      <w:start w:val="1"/>
      <w:numFmt w:val="bullet"/>
      <w:lvlText w:val="o"/>
      <w:lvlJc w:val="left"/>
      <w:pPr>
        <w:ind w:left="3600" w:hanging="360"/>
      </w:pPr>
      <w:rPr>
        <w:rFonts w:ascii="Courier New" w:hAnsi="Courier New" w:hint="default"/>
      </w:rPr>
    </w:lvl>
    <w:lvl w:ilvl="5" w:tplc="69984698">
      <w:start w:val="1"/>
      <w:numFmt w:val="bullet"/>
      <w:lvlText w:val=""/>
      <w:lvlJc w:val="left"/>
      <w:pPr>
        <w:ind w:left="4320" w:hanging="360"/>
      </w:pPr>
      <w:rPr>
        <w:rFonts w:ascii="Wingdings" w:hAnsi="Wingdings" w:hint="default"/>
      </w:rPr>
    </w:lvl>
    <w:lvl w:ilvl="6" w:tplc="C5586D52">
      <w:start w:val="1"/>
      <w:numFmt w:val="bullet"/>
      <w:lvlText w:val=""/>
      <w:lvlJc w:val="left"/>
      <w:pPr>
        <w:ind w:left="5040" w:hanging="360"/>
      </w:pPr>
      <w:rPr>
        <w:rFonts w:ascii="Symbol" w:hAnsi="Symbol" w:hint="default"/>
      </w:rPr>
    </w:lvl>
    <w:lvl w:ilvl="7" w:tplc="4D56739C">
      <w:start w:val="1"/>
      <w:numFmt w:val="bullet"/>
      <w:lvlText w:val="o"/>
      <w:lvlJc w:val="left"/>
      <w:pPr>
        <w:ind w:left="5760" w:hanging="360"/>
      </w:pPr>
      <w:rPr>
        <w:rFonts w:ascii="Courier New" w:hAnsi="Courier New" w:hint="default"/>
      </w:rPr>
    </w:lvl>
    <w:lvl w:ilvl="8" w:tplc="A620C9F8">
      <w:start w:val="1"/>
      <w:numFmt w:val="bullet"/>
      <w:lvlText w:val=""/>
      <w:lvlJc w:val="left"/>
      <w:pPr>
        <w:ind w:left="6480" w:hanging="360"/>
      </w:pPr>
      <w:rPr>
        <w:rFonts w:ascii="Wingdings" w:hAnsi="Wingdings" w:hint="default"/>
      </w:rPr>
    </w:lvl>
  </w:abstractNum>
  <w:abstractNum w:abstractNumId="36" w15:restartNumberingAfterBreak="0">
    <w:nsid w:val="5D125139"/>
    <w:multiLevelType w:val="hybridMultilevel"/>
    <w:tmpl w:val="FFFFFFFF"/>
    <w:lvl w:ilvl="0" w:tplc="FFFFFFFF">
      <w:start w:val="1"/>
      <w:numFmt w:val="bullet"/>
      <w:lvlText w:val=""/>
      <w:lvlJc w:val="left"/>
      <w:pPr>
        <w:ind w:left="720" w:hanging="360"/>
      </w:pPr>
      <w:rPr>
        <w:rFonts w:ascii="Symbol" w:hAnsi="Symbol" w:hint="default"/>
      </w:rPr>
    </w:lvl>
    <w:lvl w:ilvl="1" w:tplc="69BE0AB6">
      <w:start w:val="1"/>
      <w:numFmt w:val="bullet"/>
      <w:lvlText w:val="o"/>
      <w:lvlJc w:val="left"/>
      <w:pPr>
        <w:ind w:left="1440" w:hanging="360"/>
      </w:pPr>
      <w:rPr>
        <w:rFonts w:ascii="Courier New" w:hAnsi="Courier New" w:hint="default"/>
      </w:rPr>
    </w:lvl>
    <w:lvl w:ilvl="2" w:tplc="3416A6A8">
      <w:start w:val="1"/>
      <w:numFmt w:val="bullet"/>
      <w:lvlText w:val=""/>
      <w:lvlJc w:val="left"/>
      <w:pPr>
        <w:ind w:left="2160" w:hanging="360"/>
      </w:pPr>
      <w:rPr>
        <w:rFonts w:ascii="Wingdings" w:hAnsi="Wingdings" w:hint="default"/>
      </w:rPr>
    </w:lvl>
    <w:lvl w:ilvl="3" w:tplc="FBE4F418">
      <w:start w:val="1"/>
      <w:numFmt w:val="bullet"/>
      <w:lvlText w:val=""/>
      <w:lvlJc w:val="left"/>
      <w:pPr>
        <w:ind w:left="2880" w:hanging="360"/>
      </w:pPr>
      <w:rPr>
        <w:rFonts w:ascii="Symbol" w:hAnsi="Symbol" w:hint="default"/>
      </w:rPr>
    </w:lvl>
    <w:lvl w:ilvl="4" w:tplc="074C2790">
      <w:start w:val="1"/>
      <w:numFmt w:val="bullet"/>
      <w:lvlText w:val="o"/>
      <w:lvlJc w:val="left"/>
      <w:pPr>
        <w:ind w:left="3600" w:hanging="360"/>
      </w:pPr>
      <w:rPr>
        <w:rFonts w:ascii="Courier New" w:hAnsi="Courier New" w:hint="default"/>
      </w:rPr>
    </w:lvl>
    <w:lvl w:ilvl="5" w:tplc="09348D48">
      <w:start w:val="1"/>
      <w:numFmt w:val="bullet"/>
      <w:lvlText w:val=""/>
      <w:lvlJc w:val="left"/>
      <w:pPr>
        <w:ind w:left="4320" w:hanging="360"/>
      </w:pPr>
      <w:rPr>
        <w:rFonts w:ascii="Wingdings" w:hAnsi="Wingdings" w:hint="default"/>
      </w:rPr>
    </w:lvl>
    <w:lvl w:ilvl="6" w:tplc="A7920908">
      <w:start w:val="1"/>
      <w:numFmt w:val="bullet"/>
      <w:lvlText w:val=""/>
      <w:lvlJc w:val="left"/>
      <w:pPr>
        <w:ind w:left="5040" w:hanging="360"/>
      </w:pPr>
      <w:rPr>
        <w:rFonts w:ascii="Symbol" w:hAnsi="Symbol" w:hint="default"/>
      </w:rPr>
    </w:lvl>
    <w:lvl w:ilvl="7" w:tplc="B4DA941C">
      <w:start w:val="1"/>
      <w:numFmt w:val="bullet"/>
      <w:lvlText w:val="o"/>
      <w:lvlJc w:val="left"/>
      <w:pPr>
        <w:ind w:left="5760" w:hanging="360"/>
      </w:pPr>
      <w:rPr>
        <w:rFonts w:ascii="Courier New" w:hAnsi="Courier New" w:hint="default"/>
      </w:rPr>
    </w:lvl>
    <w:lvl w:ilvl="8" w:tplc="65468A1A">
      <w:start w:val="1"/>
      <w:numFmt w:val="bullet"/>
      <w:lvlText w:val=""/>
      <w:lvlJc w:val="left"/>
      <w:pPr>
        <w:ind w:left="6480" w:hanging="360"/>
      </w:pPr>
      <w:rPr>
        <w:rFonts w:ascii="Wingdings" w:hAnsi="Wingdings" w:hint="default"/>
      </w:rPr>
    </w:lvl>
  </w:abstractNum>
  <w:abstractNum w:abstractNumId="37" w15:restartNumberingAfterBreak="0">
    <w:nsid w:val="5F1031E0"/>
    <w:multiLevelType w:val="hybridMultilevel"/>
    <w:tmpl w:val="FFFFFFFF"/>
    <w:lvl w:ilvl="0" w:tplc="48EE295E">
      <w:start w:val="1"/>
      <w:numFmt w:val="decimal"/>
      <w:lvlText w:val="%1)"/>
      <w:lvlJc w:val="left"/>
      <w:pPr>
        <w:ind w:left="720" w:hanging="360"/>
      </w:pPr>
    </w:lvl>
    <w:lvl w:ilvl="1" w:tplc="6984678A">
      <w:start w:val="1"/>
      <w:numFmt w:val="lowerLetter"/>
      <w:lvlText w:val="%2."/>
      <w:lvlJc w:val="left"/>
      <w:pPr>
        <w:ind w:left="1440" w:hanging="360"/>
      </w:pPr>
    </w:lvl>
    <w:lvl w:ilvl="2" w:tplc="A2007D7E">
      <w:start w:val="1"/>
      <w:numFmt w:val="lowerRoman"/>
      <w:lvlText w:val="%3."/>
      <w:lvlJc w:val="right"/>
      <w:pPr>
        <w:ind w:left="2160" w:hanging="180"/>
      </w:pPr>
    </w:lvl>
    <w:lvl w:ilvl="3" w:tplc="E71A7400">
      <w:start w:val="1"/>
      <w:numFmt w:val="decimal"/>
      <w:lvlText w:val="%4."/>
      <w:lvlJc w:val="left"/>
      <w:pPr>
        <w:ind w:left="2880" w:hanging="360"/>
      </w:pPr>
    </w:lvl>
    <w:lvl w:ilvl="4" w:tplc="8A32034A">
      <w:start w:val="1"/>
      <w:numFmt w:val="lowerLetter"/>
      <w:lvlText w:val="%5."/>
      <w:lvlJc w:val="left"/>
      <w:pPr>
        <w:ind w:left="3600" w:hanging="360"/>
      </w:pPr>
    </w:lvl>
    <w:lvl w:ilvl="5" w:tplc="6D68A73A">
      <w:start w:val="1"/>
      <w:numFmt w:val="lowerRoman"/>
      <w:lvlText w:val="%6."/>
      <w:lvlJc w:val="right"/>
      <w:pPr>
        <w:ind w:left="4320" w:hanging="180"/>
      </w:pPr>
    </w:lvl>
    <w:lvl w:ilvl="6" w:tplc="E4402A36">
      <w:start w:val="1"/>
      <w:numFmt w:val="decimal"/>
      <w:lvlText w:val="%7."/>
      <w:lvlJc w:val="left"/>
      <w:pPr>
        <w:ind w:left="5040" w:hanging="360"/>
      </w:pPr>
    </w:lvl>
    <w:lvl w:ilvl="7" w:tplc="AABED27E">
      <w:start w:val="1"/>
      <w:numFmt w:val="lowerLetter"/>
      <w:lvlText w:val="%8."/>
      <w:lvlJc w:val="left"/>
      <w:pPr>
        <w:ind w:left="5760" w:hanging="360"/>
      </w:pPr>
    </w:lvl>
    <w:lvl w:ilvl="8" w:tplc="AB1CE7FC">
      <w:start w:val="1"/>
      <w:numFmt w:val="lowerRoman"/>
      <w:lvlText w:val="%9."/>
      <w:lvlJc w:val="right"/>
      <w:pPr>
        <w:ind w:left="6480" w:hanging="180"/>
      </w:pPr>
    </w:lvl>
  </w:abstractNum>
  <w:abstractNum w:abstractNumId="38" w15:restartNumberingAfterBreak="0">
    <w:nsid w:val="5F51685F"/>
    <w:multiLevelType w:val="hybridMultilevel"/>
    <w:tmpl w:val="90522A1A"/>
    <w:lvl w:ilvl="0" w:tplc="88D2855A">
      <w:start w:val="1"/>
      <w:numFmt w:val="bullet"/>
      <w:lvlText w:val=""/>
      <w:lvlJc w:val="left"/>
      <w:pPr>
        <w:ind w:left="720" w:hanging="360"/>
      </w:pPr>
      <w:rPr>
        <w:rFonts w:ascii="Symbol" w:hAnsi="Symbol" w:hint="default"/>
      </w:rPr>
    </w:lvl>
    <w:lvl w:ilvl="1" w:tplc="435EC952">
      <w:start w:val="1"/>
      <w:numFmt w:val="bullet"/>
      <w:lvlText w:val="o"/>
      <w:lvlJc w:val="left"/>
      <w:pPr>
        <w:ind w:left="1440" w:hanging="360"/>
      </w:pPr>
      <w:rPr>
        <w:rFonts w:ascii="Courier New" w:hAnsi="Courier New" w:hint="default"/>
      </w:rPr>
    </w:lvl>
    <w:lvl w:ilvl="2" w:tplc="D7EE62B6">
      <w:start w:val="1"/>
      <w:numFmt w:val="bullet"/>
      <w:lvlText w:val=""/>
      <w:lvlJc w:val="left"/>
      <w:pPr>
        <w:ind w:left="2160" w:hanging="360"/>
      </w:pPr>
      <w:rPr>
        <w:rFonts w:ascii="Wingdings" w:hAnsi="Wingdings" w:hint="default"/>
      </w:rPr>
    </w:lvl>
    <w:lvl w:ilvl="3" w:tplc="715EC27C">
      <w:start w:val="1"/>
      <w:numFmt w:val="bullet"/>
      <w:lvlText w:val=""/>
      <w:lvlJc w:val="left"/>
      <w:pPr>
        <w:ind w:left="2880" w:hanging="360"/>
      </w:pPr>
      <w:rPr>
        <w:rFonts w:ascii="Symbol" w:hAnsi="Symbol" w:hint="default"/>
      </w:rPr>
    </w:lvl>
    <w:lvl w:ilvl="4" w:tplc="96525E28">
      <w:start w:val="1"/>
      <w:numFmt w:val="bullet"/>
      <w:lvlText w:val="o"/>
      <w:lvlJc w:val="left"/>
      <w:pPr>
        <w:ind w:left="3600" w:hanging="360"/>
      </w:pPr>
      <w:rPr>
        <w:rFonts w:ascii="Courier New" w:hAnsi="Courier New" w:hint="default"/>
      </w:rPr>
    </w:lvl>
    <w:lvl w:ilvl="5" w:tplc="AF782D6A">
      <w:start w:val="1"/>
      <w:numFmt w:val="bullet"/>
      <w:lvlText w:val=""/>
      <w:lvlJc w:val="left"/>
      <w:pPr>
        <w:ind w:left="4320" w:hanging="360"/>
      </w:pPr>
      <w:rPr>
        <w:rFonts w:ascii="Wingdings" w:hAnsi="Wingdings" w:hint="default"/>
      </w:rPr>
    </w:lvl>
    <w:lvl w:ilvl="6" w:tplc="CBAADFAE">
      <w:start w:val="1"/>
      <w:numFmt w:val="bullet"/>
      <w:lvlText w:val=""/>
      <w:lvlJc w:val="left"/>
      <w:pPr>
        <w:ind w:left="5040" w:hanging="360"/>
      </w:pPr>
      <w:rPr>
        <w:rFonts w:ascii="Symbol" w:hAnsi="Symbol" w:hint="default"/>
      </w:rPr>
    </w:lvl>
    <w:lvl w:ilvl="7" w:tplc="D49E4D02">
      <w:start w:val="1"/>
      <w:numFmt w:val="bullet"/>
      <w:lvlText w:val="o"/>
      <w:lvlJc w:val="left"/>
      <w:pPr>
        <w:ind w:left="5760" w:hanging="360"/>
      </w:pPr>
      <w:rPr>
        <w:rFonts w:ascii="Courier New" w:hAnsi="Courier New" w:hint="default"/>
      </w:rPr>
    </w:lvl>
    <w:lvl w:ilvl="8" w:tplc="C00C467E">
      <w:start w:val="1"/>
      <w:numFmt w:val="bullet"/>
      <w:lvlText w:val=""/>
      <w:lvlJc w:val="left"/>
      <w:pPr>
        <w:ind w:left="6480" w:hanging="360"/>
      </w:pPr>
      <w:rPr>
        <w:rFonts w:ascii="Wingdings" w:hAnsi="Wingdings" w:hint="default"/>
      </w:rPr>
    </w:lvl>
  </w:abstractNum>
  <w:abstractNum w:abstractNumId="39" w15:restartNumberingAfterBreak="0">
    <w:nsid w:val="61490690"/>
    <w:multiLevelType w:val="hybridMultilevel"/>
    <w:tmpl w:val="FFFFFFFF"/>
    <w:lvl w:ilvl="0" w:tplc="ECD2D8E0">
      <w:start w:val="1"/>
      <w:numFmt w:val="decimal"/>
      <w:lvlText w:val="%1)"/>
      <w:lvlJc w:val="left"/>
      <w:pPr>
        <w:ind w:left="720" w:hanging="360"/>
      </w:pPr>
    </w:lvl>
    <w:lvl w:ilvl="1" w:tplc="99443A84">
      <w:start w:val="1"/>
      <w:numFmt w:val="lowerLetter"/>
      <w:lvlText w:val="%2."/>
      <w:lvlJc w:val="left"/>
      <w:pPr>
        <w:ind w:left="1440" w:hanging="360"/>
      </w:pPr>
    </w:lvl>
    <w:lvl w:ilvl="2" w:tplc="638AFB7A">
      <w:start w:val="1"/>
      <w:numFmt w:val="lowerRoman"/>
      <w:lvlText w:val="%3."/>
      <w:lvlJc w:val="right"/>
      <w:pPr>
        <w:ind w:left="2160" w:hanging="180"/>
      </w:pPr>
    </w:lvl>
    <w:lvl w:ilvl="3" w:tplc="35B6D928">
      <w:start w:val="1"/>
      <w:numFmt w:val="decimal"/>
      <w:lvlText w:val="%4."/>
      <w:lvlJc w:val="left"/>
      <w:pPr>
        <w:ind w:left="2880" w:hanging="360"/>
      </w:pPr>
    </w:lvl>
    <w:lvl w:ilvl="4" w:tplc="86086FA0">
      <w:start w:val="1"/>
      <w:numFmt w:val="lowerLetter"/>
      <w:lvlText w:val="%5."/>
      <w:lvlJc w:val="left"/>
      <w:pPr>
        <w:ind w:left="3600" w:hanging="360"/>
      </w:pPr>
    </w:lvl>
    <w:lvl w:ilvl="5" w:tplc="BA9214C4">
      <w:start w:val="1"/>
      <w:numFmt w:val="lowerRoman"/>
      <w:lvlText w:val="%6."/>
      <w:lvlJc w:val="right"/>
      <w:pPr>
        <w:ind w:left="4320" w:hanging="180"/>
      </w:pPr>
    </w:lvl>
    <w:lvl w:ilvl="6" w:tplc="1BBC5C20">
      <w:start w:val="1"/>
      <w:numFmt w:val="decimal"/>
      <w:lvlText w:val="%7."/>
      <w:lvlJc w:val="left"/>
      <w:pPr>
        <w:ind w:left="5040" w:hanging="360"/>
      </w:pPr>
    </w:lvl>
    <w:lvl w:ilvl="7" w:tplc="B1E2B672">
      <w:start w:val="1"/>
      <w:numFmt w:val="lowerLetter"/>
      <w:lvlText w:val="%8."/>
      <w:lvlJc w:val="left"/>
      <w:pPr>
        <w:ind w:left="5760" w:hanging="360"/>
      </w:pPr>
    </w:lvl>
    <w:lvl w:ilvl="8" w:tplc="C86A2B7C">
      <w:start w:val="1"/>
      <w:numFmt w:val="lowerRoman"/>
      <w:lvlText w:val="%9."/>
      <w:lvlJc w:val="right"/>
      <w:pPr>
        <w:ind w:left="6480" w:hanging="180"/>
      </w:pPr>
    </w:lvl>
  </w:abstractNum>
  <w:abstractNum w:abstractNumId="40" w15:restartNumberingAfterBreak="0">
    <w:nsid w:val="62506DCA"/>
    <w:multiLevelType w:val="hybridMultilevel"/>
    <w:tmpl w:val="FFFFFFFF"/>
    <w:lvl w:ilvl="0" w:tplc="7FF67C28">
      <w:start w:val="1"/>
      <w:numFmt w:val="bullet"/>
      <w:lvlText w:val=""/>
      <w:lvlJc w:val="left"/>
      <w:pPr>
        <w:ind w:left="720" w:hanging="360"/>
      </w:pPr>
      <w:rPr>
        <w:rFonts w:ascii="Symbol" w:hAnsi="Symbol" w:hint="default"/>
      </w:rPr>
    </w:lvl>
    <w:lvl w:ilvl="1" w:tplc="75FA56EE">
      <w:start w:val="1"/>
      <w:numFmt w:val="bullet"/>
      <w:lvlText w:val=""/>
      <w:lvlJc w:val="left"/>
      <w:pPr>
        <w:ind w:left="1440" w:hanging="360"/>
      </w:pPr>
      <w:rPr>
        <w:rFonts w:ascii="Symbol" w:hAnsi="Symbol" w:hint="default"/>
      </w:rPr>
    </w:lvl>
    <w:lvl w:ilvl="2" w:tplc="7C1A4E9C">
      <w:start w:val="1"/>
      <w:numFmt w:val="bullet"/>
      <w:lvlText w:val=""/>
      <w:lvlJc w:val="left"/>
      <w:pPr>
        <w:ind w:left="2160" w:hanging="360"/>
      </w:pPr>
      <w:rPr>
        <w:rFonts w:ascii="Wingdings" w:hAnsi="Wingdings" w:hint="default"/>
      </w:rPr>
    </w:lvl>
    <w:lvl w:ilvl="3" w:tplc="27A0998A">
      <w:start w:val="1"/>
      <w:numFmt w:val="bullet"/>
      <w:lvlText w:val=""/>
      <w:lvlJc w:val="left"/>
      <w:pPr>
        <w:ind w:left="2880" w:hanging="360"/>
      </w:pPr>
      <w:rPr>
        <w:rFonts w:ascii="Symbol" w:hAnsi="Symbol" w:hint="default"/>
      </w:rPr>
    </w:lvl>
    <w:lvl w:ilvl="4" w:tplc="E5A6D808">
      <w:start w:val="1"/>
      <w:numFmt w:val="bullet"/>
      <w:lvlText w:val="o"/>
      <w:lvlJc w:val="left"/>
      <w:pPr>
        <w:ind w:left="3600" w:hanging="360"/>
      </w:pPr>
      <w:rPr>
        <w:rFonts w:ascii="Courier New" w:hAnsi="Courier New" w:hint="default"/>
      </w:rPr>
    </w:lvl>
    <w:lvl w:ilvl="5" w:tplc="5B8C9E6A">
      <w:start w:val="1"/>
      <w:numFmt w:val="bullet"/>
      <w:lvlText w:val=""/>
      <w:lvlJc w:val="left"/>
      <w:pPr>
        <w:ind w:left="4320" w:hanging="360"/>
      </w:pPr>
      <w:rPr>
        <w:rFonts w:ascii="Wingdings" w:hAnsi="Wingdings" w:hint="default"/>
      </w:rPr>
    </w:lvl>
    <w:lvl w:ilvl="6" w:tplc="B8482770">
      <w:start w:val="1"/>
      <w:numFmt w:val="bullet"/>
      <w:lvlText w:val=""/>
      <w:lvlJc w:val="left"/>
      <w:pPr>
        <w:ind w:left="5040" w:hanging="360"/>
      </w:pPr>
      <w:rPr>
        <w:rFonts w:ascii="Symbol" w:hAnsi="Symbol" w:hint="default"/>
      </w:rPr>
    </w:lvl>
    <w:lvl w:ilvl="7" w:tplc="36002A74">
      <w:start w:val="1"/>
      <w:numFmt w:val="bullet"/>
      <w:lvlText w:val="o"/>
      <w:lvlJc w:val="left"/>
      <w:pPr>
        <w:ind w:left="5760" w:hanging="360"/>
      </w:pPr>
      <w:rPr>
        <w:rFonts w:ascii="Courier New" w:hAnsi="Courier New" w:hint="default"/>
      </w:rPr>
    </w:lvl>
    <w:lvl w:ilvl="8" w:tplc="F260DAB6">
      <w:start w:val="1"/>
      <w:numFmt w:val="bullet"/>
      <w:lvlText w:val=""/>
      <w:lvlJc w:val="left"/>
      <w:pPr>
        <w:ind w:left="6480" w:hanging="360"/>
      </w:pPr>
      <w:rPr>
        <w:rFonts w:ascii="Wingdings" w:hAnsi="Wingdings" w:hint="default"/>
      </w:rPr>
    </w:lvl>
  </w:abstractNum>
  <w:abstractNum w:abstractNumId="41" w15:restartNumberingAfterBreak="0">
    <w:nsid w:val="63CD7CE8"/>
    <w:multiLevelType w:val="hybridMultilevel"/>
    <w:tmpl w:val="FFFFFFFF"/>
    <w:lvl w:ilvl="0" w:tplc="6A8CE4B6">
      <w:start w:val="1"/>
      <w:numFmt w:val="bullet"/>
      <w:lvlText w:val=""/>
      <w:lvlJc w:val="left"/>
      <w:pPr>
        <w:ind w:left="720" w:hanging="360"/>
      </w:pPr>
      <w:rPr>
        <w:rFonts w:ascii="Symbol" w:hAnsi="Symbol" w:hint="default"/>
      </w:rPr>
    </w:lvl>
    <w:lvl w:ilvl="1" w:tplc="9D30A98C">
      <w:start w:val="1"/>
      <w:numFmt w:val="bullet"/>
      <w:lvlText w:val="o"/>
      <w:lvlJc w:val="left"/>
      <w:pPr>
        <w:ind w:left="1440" w:hanging="360"/>
      </w:pPr>
      <w:rPr>
        <w:rFonts w:ascii="Courier New" w:hAnsi="Courier New" w:hint="default"/>
      </w:rPr>
    </w:lvl>
    <w:lvl w:ilvl="2" w:tplc="05362070">
      <w:start w:val="1"/>
      <w:numFmt w:val="bullet"/>
      <w:lvlText w:val=""/>
      <w:lvlJc w:val="left"/>
      <w:pPr>
        <w:ind w:left="2160" w:hanging="360"/>
      </w:pPr>
      <w:rPr>
        <w:rFonts w:ascii="Wingdings" w:hAnsi="Wingdings" w:hint="default"/>
      </w:rPr>
    </w:lvl>
    <w:lvl w:ilvl="3" w:tplc="C720AB94">
      <w:start w:val="1"/>
      <w:numFmt w:val="bullet"/>
      <w:lvlText w:val=""/>
      <w:lvlJc w:val="left"/>
      <w:pPr>
        <w:ind w:left="2880" w:hanging="360"/>
      </w:pPr>
      <w:rPr>
        <w:rFonts w:ascii="Symbol" w:hAnsi="Symbol" w:hint="default"/>
      </w:rPr>
    </w:lvl>
    <w:lvl w:ilvl="4" w:tplc="D990EA78">
      <w:start w:val="1"/>
      <w:numFmt w:val="bullet"/>
      <w:lvlText w:val="o"/>
      <w:lvlJc w:val="left"/>
      <w:pPr>
        <w:ind w:left="3600" w:hanging="360"/>
      </w:pPr>
      <w:rPr>
        <w:rFonts w:ascii="Courier New" w:hAnsi="Courier New" w:hint="default"/>
      </w:rPr>
    </w:lvl>
    <w:lvl w:ilvl="5" w:tplc="97C277F4">
      <w:start w:val="1"/>
      <w:numFmt w:val="bullet"/>
      <w:lvlText w:val=""/>
      <w:lvlJc w:val="left"/>
      <w:pPr>
        <w:ind w:left="4320" w:hanging="360"/>
      </w:pPr>
      <w:rPr>
        <w:rFonts w:ascii="Wingdings" w:hAnsi="Wingdings" w:hint="default"/>
      </w:rPr>
    </w:lvl>
    <w:lvl w:ilvl="6" w:tplc="34EA61C0">
      <w:start w:val="1"/>
      <w:numFmt w:val="bullet"/>
      <w:lvlText w:val=""/>
      <w:lvlJc w:val="left"/>
      <w:pPr>
        <w:ind w:left="5040" w:hanging="360"/>
      </w:pPr>
      <w:rPr>
        <w:rFonts w:ascii="Symbol" w:hAnsi="Symbol" w:hint="default"/>
      </w:rPr>
    </w:lvl>
    <w:lvl w:ilvl="7" w:tplc="719248A2">
      <w:start w:val="1"/>
      <w:numFmt w:val="bullet"/>
      <w:lvlText w:val="o"/>
      <w:lvlJc w:val="left"/>
      <w:pPr>
        <w:ind w:left="5760" w:hanging="360"/>
      </w:pPr>
      <w:rPr>
        <w:rFonts w:ascii="Courier New" w:hAnsi="Courier New" w:hint="default"/>
      </w:rPr>
    </w:lvl>
    <w:lvl w:ilvl="8" w:tplc="C6C62E3A">
      <w:start w:val="1"/>
      <w:numFmt w:val="bullet"/>
      <w:lvlText w:val=""/>
      <w:lvlJc w:val="left"/>
      <w:pPr>
        <w:ind w:left="6480" w:hanging="360"/>
      </w:pPr>
      <w:rPr>
        <w:rFonts w:ascii="Wingdings" w:hAnsi="Wingdings" w:hint="default"/>
      </w:rPr>
    </w:lvl>
  </w:abstractNum>
  <w:abstractNum w:abstractNumId="42" w15:restartNumberingAfterBreak="0">
    <w:nsid w:val="643C1343"/>
    <w:multiLevelType w:val="multilevel"/>
    <w:tmpl w:val="545A9598"/>
    <w:lvl w:ilvl="0">
      <w:start w:val="1"/>
      <w:numFmt w:val="decimal"/>
      <w:pStyle w:val="Heading1"/>
      <w:lvlText w:val="%1."/>
      <w:lvlJc w:val="left"/>
      <w:pPr>
        <w:ind w:left="720" w:hanging="360"/>
      </w:p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43" w15:restartNumberingAfterBreak="0">
    <w:nsid w:val="64475529"/>
    <w:multiLevelType w:val="hybridMultilevel"/>
    <w:tmpl w:val="FFFFFFFF"/>
    <w:lvl w:ilvl="0" w:tplc="921CD8BE">
      <w:start w:val="1"/>
      <w:numFmt w:val="bullet"/>
      <w:lvlText w:val=""/>
      <w:lvlJc w:val="left"/>
      <w:pPr>
        <w:ind w:left="720" w:hanging="360"/>
      </w:pPr>
      <w:rPr>
        <w:rFonts w:ascii="Symbol" w:hAnsi="Symbol" w:hint="default"/>
      </w:rPr>
    </w:lvl>
    <w:lvl w:ilvl="1" w:tplc="8054959E">
      <w:start w:val="1"/>
      <w:numFmt w:val="bullet"/>
      <w:lvlText w:val="o"/>
      <w:lvlJc w:val="left"/>
      <w:pPr>
        <w:ind w:left="1440" w:hanging="360"/>
      </w:pPr>
      <w:rPr>
        <w:rFonts w:ascii="Courier New" w:hAnsi="Courier New" w:hint="default"/>
      </w:rPr>
    </w:lvl>
    <w:lvl w:ilvl="2" w:tplc="38CC58AE">
      <w:start w:val="1"/>
      <w:numFmt w:val="bullet"/>
      <w:lvlText w:val=""/>
      <w:lvlJc w:val="left"/>
      <w:pPr>
        <w:ind w:left="2160" w:hanging="360"/>
      </w:pPr>
      <w:rPr>
        <w:rFonts w:ascii="Wingdings" w:hAnsi="Wingdings" w:hint="default"/>
      </w:rPr>
    </w:lvl>
    <w:lvl w:ilvl="3" w:tplc="99E8D28E">
      <w:start w:val="1"/>
      <w:numFmt w:val="bullet"/>
      <w:lvlText w:val=""/>
      <w:lvlJc w:val="left"/>
      <w:pPr>
        <w:ind w:left="2880" w:hanging="360"/>
      </w:pPr>
      <w:rPr>
        <w:rFonts w:ascii="Symbol" w:hAnsi="Symbol" w:hint="default"/>
      </w:rPr>
    </w:lvl>
    <w:lvl w:ilvl="4" w:tplc="4952586E">
      <w:start w:val="1"/>
      <w:numFmt w:val="bullet"/>
      <w:lvlText w:val="o"/>
      <w:lvlJc w:val="left"/>
      <w:pPr>
        <w:ind w:left="3600" w:hanging="360"/>
      </w:pPr>
      <w:rPr>
        <w:rFonts w:ascii="Courier New" w:hAnsi="Courier New" w:hint="default"/>
      </w:rPr>
    </w:lvl>
    <w:lvl w:ilvl="5" w:tplc="CA269C3A">
      <w:start w:val="1"/>
      <w:numFmt w:val="bullet"/>
      <w:lvlText w:val=""/>
      <w:lvlJc w:val="left"/>
      <w:pPr>
        <w:ind w:left="4320" w:hanging="360"/>
      </w:pPr>
      <w:rPr>
        <w:rFonts w:ascii="Wingdings" w:hAnsi="Wingdings" w:hint="default"/>
      </w:rPr>
    </w:lvl>
    <w:lvl w:ilvl="6" w:tplc="DDD49A18">
      <w:start w:val="1"/>
      <w:numFmt w:val="bullet"/>
      <w:lvlText w:val=""/>
      <w:lvlJc w:val="left"/>
      <w:pPr>
        <w:ind w:left="5040" w:hanging="360"/>
      </w:pPr>
      <w:rPr>
        <w:rFonts w:ascii="Symbol" w:hAnsi="Symbol" w:hint="default"/>
      </w:rPr>
    </w:lvl>
    <w:lvl w:ilvl="7" w:tplc="F5F0A83E">
      <w:start w:val="1"/>
      <w:numFmt w:val="bullet"/>
      <w:lvlText w:val="o"/>
      <w:lvlJc w:val="left"/>
      <w:pPr>
        <w:ind w:left="5760" w:hanging="360"/>
      </w:pPr>
      <w:rPr>
        <w:rFonts w:ascii="Courier New" w:hAnsi="Courier New" w:hint="default"/>
      </w:rPr>
    </w:lvl>
    <w:lvl w:ilvl="8" w:tplc="DB423664">
      <w:start w:val="1"/>
      <w:numFmt w:val="bullet"/>
      <w:lvlText w:val=""/>
      <w:lvlJc w:val="left"/>
      <w:pPr>
        <w:ind w:left="6480" w:hanging="360"/>
      </w:pPr>
      <w:rPr>
        <w:rFonts w:ascii="Wingdings" w:hAnsi="Wingdings" w:hint="default"/>
      </w:rPr>
    </w:lvl>
  </w:abstractNum>
  <w:abstractNum w:abstractNumId="44" w15:restartNumberingAfterBreak="0">
    <w:nsid w:val="647A789B"/>
    <w:multiLevelType w:val="hybridMultilevel"/>
    <w:tmpl w:val="FFFFFFFF"/>
    <w:lvl w:ilvl="0" w:tplc="4818590E">
      <w:start w:val="1"/>
      <w:numFmt w:val="decimal"/>
      <w:lvlText w:val="%1."/>
      <w:lvlJc w:val="left"/>
      <w:pPr>
        <w:ind w:left="720" w:hanging="360"/>
      </w:pPr>
    </w:lvl>
    <w:lvl w:ilvl="1" w:tplc="0B424956">
      <w:start w:val="1"/>
      <w:numFmt w:val="lowerLetter"/>
      <w:lvlText w:val="%2."/>
      <w:lvlJc w:val="left"/>
      <w:pPr>
        <w:ind w:left="1440" w:hanging="360"/>
      </w:pPr>
    </w:lvl>
    <w:lvl w:ilvl="2" w:tplc="F26C9BEC">
      <w:start w:val="1"/>
      <w:numFmt w:val="lowerRoman"/>
      <w:lvlText w:val="%3."/>
      <w:lvlJc w:val="right"/>
      <w:pPr>
        <w:ind w:left="2160" w:hanging="180"/>
      </w:pPr>
    </w:lvl>
    <w:lvl w:ilvl="3" w:tplc="377CDB62">
      <w:start w:val="1"/>
      <w:numFmt w:val="decimal"/>
      <w:lvlText w:val="%4."/>
      <w:lvlJc w:val="left"/>
      <w:pPr>
        <w:ind w:left="2880" w:hanging="360"/>
      </w:pPr>
    </w:lvl>
    <w:lvl w:ilvl="4" w:tplc="BF909108">
      <w:start w:val="1"/>
      <w:numFmt w:val="lowerLetter"/>
      <w:lvlText w:val="%5."/>
      <w:lvlJc w:val="left"/>
      <w:pPr>
        <w:ind w:left="3600" w:hanging="360"/>
      </w:pPr>
    </w:lvl>
    <w:lvl w:ilvl="5" w:tplc="46BAB1BE">
      <w:start w:val="1"/>
      <w:numFmt w:val="lowerRoman"/>
      <w:lvlText w:val="%6."/>
      <w:lvlJc w:val="right"/>
      <w:pPr>
        <w:ind w:left="4320" w:hanging="180"/>
      </w:pPr>
    </w:lvl>
    <w:lvl w:ilvl="6" w:tplc="53F07646">
      <w:start w:val="1"/>
      <w:numFmt w:val="decimal"/>
      <w:lvlText w:val="%7."/>
      <w:lvlJc w:val="left"/>
      <w:pPr>
        <w:ind w:left="5040" w:hanging="360"/>
      </w:pPr>
    </w:lvl>
    <w:lvl w:ilvl="7" w:tplc="F42E1070">
      <w:start w:val="1"/>
      <w:numFmt w:val="lowerLetter"/>
      <w:lvlText w:val="%8."/>
      <w:lvlJc w:val="left"/>
      <w:pPr>
        <w:ind w:left="5760" w:hanging="360"/>
      </w:pPr>
    </w:lvl>
    <w:lvl w:ilvl="8" w:tplc="1C2E5418">
      <w:start w:val="1"/>
      <w:numFmt w:val="lowerRoman"/>
      <w:lvlText w:val="%9."/>
      <w:lvlJc w:val="right"/>
      <w:pPr>
        <w:ind w:left="6480" w:hanging="180"/>
      </w:pPr>
    </w:lvl>
  </w:abstractNum>
  <w:abstractNum w:abstractNumId="45" w15:restartNumberingAfterBreak="0">
    <w:nsid w:val="65DB53C2"/>
    <w:multiLevelType w:val="hybridMultilevel"/>
    <w:tmpl w:val="FFFFFFFF"/>
    <w:lvl w:ilvl="0" w:tplc="EEACFCA4">
      <w:start w:val="1"/>
      <w:numFmt w:val="bullet"/>
      <w:lvlText w:val=""/>
      <w:lvlJc w:val="left"/>
      <w:pPr>
        <w:ind w:left="720" w:hanging="360"/>
      </w:pPr>
      <w:rPr>
        <w:rFonts w:ascii="Symbol" w:hAnsi="Symbol" w:hint="default"/>
      </w:rPr>
    </w:lvl>
    <w:lvl w:ilvl="1" w:tplc="B87ACF6C">
      <w:start w:val="1"/>
      <w:numFmt w:val="bullet"/>
      <w:lvlText w:val="o"/>
      <w:lvlJc w:val="left"/>
      <w:pPr>
        <w:ind w:left="1440" w:hanging="360"/>
      </w:pPr>
      <w:rPr>
        <w:rFonts w:ascii="Courier New" w:hAnsi="Courier New" w:hint="default"/>
      </w:rPr>
    </w:lvl>
    <w:lvl w:ilvl="2" w:tplc="1B168742">
      <w:start w:val="1"/>
      <w:numFmt w:val="bullet"/>
      <w:lvlText w:val=""/>
      <w:lvlJc w:val="left"/>
      <w:pPr>
        <w:ind w:left="2160" w:hanging="360"/>
      </w:pPr>
      <w:rPr>
        <w:rFonts w:ascii="Wingdings" w:hAnsi="Wingdings" w:hint="default"/>
      </w:rPr>
    </w:lvl>
    <w:lvl w:ilvl="3" w:tplc="72B2764A">
      <w:start w:val="1"/>
      <w:numFmt w:val="bullet"/>
      <w:lvlText w:val=""/>
      <w:lvlJc w:val="left"/>
      <w:pPr>
        <w:ind w:left="2880" w:hanging="360"/>
      </w:pPr>
      <w:rPr>
        <w:rFonts w:ascii="Symbol" w:hAnsi="Symbol" w:hint="default"/>
      </w:rPr>
    </w:lvl>
    <w:lvl w:ilvl="4" w:tplc="546E70C6">
      <w:start w:val="1"/>
      <w:numFmt w:val="bullet"/>
      <w:lvlText w:val="o"/>
      <w:lvlJc w:val="left"/>
      <w:pPr>
        <w:ind w:left="3600" w:hanging="360"/>
      </w:pPr>
      <w:rPr>
        <w:rFonts w:ascii="Courier New" w:hAnsi="Courier New" w:hint="default"/>
      </w:rPr>
    </w:lvl>
    <w:lvl w:ilvl="5" w:tplc="F2D684B8">
      <w:start w:val="1"/>
      <w:numFmt w:val="bullet"/>
      <w:lvlText w:val=""/>
      <w:lvlJc w:val="left"/>
      <w:pPr>
        <w:ind w:left="4320" w:hanging="360"/>
      </w:pPr>
      <w:rPr>
        <w:rFonts w:ascii="Wingdings" w:hAnsi="Wingdings" w:hint="default"/>
      </w:rPr>
    </w:lvl>
    <w:lvl w:ilvl="6" w:tplc="0EB0DF20">
      <w:start w:val="1"/>
      <w:numFmt w:val="bullet"/>
      <w:lvlText w:val=""/>
      <w:lvlJc w:val="left"/>
      <w:pPr>
        <w:ind w:left="5040" w:hanging="360"/>
      </w:pPr>
      <w:rPr>
        <w:rFonts w:ascii="Symbol" w:hAnsi="Symbol" w:hint="default"/>
      </w:rPr>
    </w:lvl>
    <w:lvl w:ilvl="7" w:tplc="5B007FB0">
      <w:start w:val="1"/>
      <w:numFmt w:val="bullet"/>
      <w:lvlText w:val="o"/>
      <w:lvlJc w:val="left"/>
      <w:pPr>
        <w:ind w:left="5760" w:hanging="360"/>
      </w:pPr>
      <w:rPr>
        <w:rFonts w:ascii="Courier New" w:hAnsi="Courier New" w:hint="default"/>
      </w:rPr>
    </w:lvl>
    <w:lvl w:ilvl="8" w:tplc="E948081E">
      <w:start w:val="1"/>
      <w:numFmt w:val="bullet"/>
      <w:lvlText w:val=""/>
      <w:lvlJc w:val="left"/>
      <w:pPr>
        <w:ind w:left="6480" w:hanging="360"/>
      </w:pPr>
      <w:rPr>
        <w:rFonts w:ascii="Wingdings" w:hAnsi="Wingdings" w:hint="default"/>
      </w:rPr>
    </w:lvl>
  </w:abstractNum>
  <w:abstractNum w:abstractNumId="46" w15:restartNumberingAfterBreak="0">
    <w:nsid w:val="6A7E21AD"/>
    <w:multiLevelType w:val="hybridMultilevel"/>
    <w:tmpl w:val="FFFFFFFF"/>
    <w:lvl w:ilvl="0" w:tplc="1F9CE692">
      <w:start w:val="1"/>
      <w:numFmt w:val="decimal"/>
      <w:lvlText w:val="%1)"/>
      <w:lvlJc w:val="left"/>
      <w:pPr>
        <w:ind w:left="720" w:hanging="360"/>
      </w:pPr>
    </w:lvl>
    <w:lvl w:ilvl="1" w:tplc="32C28F18">
      <w:start w:val="1"/>
      <w:numFmt w:val="lowerLetter"/>
      <w:lvlText w:val="%2."/>
      <w:lvlJc w:val="left"/>
      <w:pPr>
        <w:ind w:left="1440" w:hanging="360"/>
      </w:pPr>
    </w:lvl>
    <w:lvl w:ilvl="2" w:tplc="168EA7B4">
      <w:start w:val="1"/>
      <w:numFmt w:val="lowerRoman"/>
      <w:lvlText w:val="%3."/>
      <w:lvlJc w:val="right"/>
      <w:pPr>
        <w:ind w:left="2160" w:hanging="180"/>
      </w:pPr>
    </w:lvl>
    <w:lvl w:ilvl="3" w:tplc="1BE44D64">
      <w:start w:val="1"/>
      <w:numFmt w:val="decimal"/>
      <w:lvlText w:val="%4."/>
      <w:lvlJc w:val="left"/>
      <w:pPr>
        <w:ind w:left="2880" w:hanging="360"/>
      </w:pPr>
    </w:lvl>
    <w:lvl w:ilvl="4" w:tplc="665E9848">
      <w:start w:val="1"/>
      <w:numFmt w:val="lowerLetter"/>
      <w:lvlText w:val="%5."/>
      <w:lvlJc w:val="left"/>
      <w:pPr>
        <w:ind w:left="3600" w:hanging="360"/>
      </w:pPr>
    </w:lvl>
    <w:lvl w:ilvl="5" w:tplc="93105C76">
      <w:start w:val="1"/>
      <w:numFmt w:val="lowerRoman"/>
      <w:lvlText w:val="%6."/>
      <w:lvlJc w:val="right"/>
      <w:pPr>
        <w:ind w:left="4320" w:hanging="180"/>
      </w:pPr>
    </w:lvl>
    <w:lvl w:ilvl="6" w:tplc="9C225F3A">
      <w:start w:val="1"/>
      <w:numFmt w:val="decimal"/>
      <w:lvlText w:val="%7."/>
      <w:lvlJc w:val="left"/>
      <w:pPr>
        <w:ind w:left="5040" w:hanging="360"/>
      </w:pPr>
    </w:lvl>
    <w:lvl w:ilvl="7" w:tplc="B0BEE510">
      <w:start w:val="1"/>
      <w:numFmt w:val="lowerLetter"/>
      <w:lvlText w:val="%8."/>
      <w:lvlJc w:val="left"/>
      <w:pPr>
        <w:ind w:left="5760" w:hanging="360"/>
      </w:pPr>
    </w:lvl>
    <w:lvl w:ilvl="8" w:tplc="2CB8F2C8">
      <w:start w:val="1"/>
      <w:numFmt w:val="lowerRoman"/>
      <w:lvlText w:val="%9."/>
      <w:lvlJc w:val="right"/>
      <w:pPr>
        <w:ind w:left="6480" w:hanging="180"/>
      </w:pPr>
    </w:lvl>
  </w:abstractNum>
  <w:abstractNum w:abstractNumId="47" w15:restartNumberingAfterBreak="0">
    <w:nsid w:val="6CB3576F"/>
    <w:multiLevelType w:val="hybridMultilevel"/>
    <w:tmpl w:val="FFFFFFFF"/>
    <w:lvl w:ilvl="0" w:tplc="FFFFFFFF">
      <w:start w:val="1"/>
      <w:numFmt w:val="bullet"/>
      <w:lvlText w:val=""/>
      <w:lvlJc w:val="left"/>
      <w:pPr>
        <w:ind w:left="720" w:hanging="360"/>
      </w:pPr>
      <w:rPr>
        <w:rFonts w:ascii="Symbol" w:hAnsi="Symbol" w:hint="default"/>
      </w:rPr>
    </w:lvl>
    <w:lvl w:ilvl="1" w:tplc="4666038E">
      <w:start w:val="1"/>
      <w:numFmt w:val="bullet"/>
      <w:lvlText w:val="o"/>
      <w:lvlJc w:val="left"/>
      <w:pPr>
        <w:ind w:left="1440" w:hanging="360"/>
      </w:pPr>
      <w:rPr>
        <w:rFonts w:ascii="Courier New" w:hAnsi="Courier New" w:hint="default"/>
      </w:rPr>
    </w:lvl>
    <w:lvl w:ilvl="2" w:tplc="CFB4D426">
      <w:start w:val="1"/>
      <w:numFmt w:val="bullet"/>
      <w:lvlText w:val=""/>
      <w:lvlJc w:val="left"/>
      <w:pPr>
        <w:ind w:left="2160" w:hanging="360"/>
      </w:pPr>
      <w:rPr>
        <w:rFonts w:ascii="Wingdings" w:hAnsi="Wingdings" w:hint="default"/>
      </w:rPr>
    </w:lvl>
    <w:lvl w:ilvl="3" w:tplc="698693FE">
      <w:start w:val="1"/>
      <w:numFmt w:val="bullet"/>
      <w:lvlText w:val=""/>
      <w:lvlJc w:val="left"/>
      <w:pPr>
        <w:ind w:left="2880" w:hanging="360"/>
      </w:pPr>
      <w:rPr>
        <w:rFonts w:ascii="Symbol" w:hAnsi="Symbol" w:hint="default"/>
      </w:rPr>
    </w:lvl>
    <w:lvl w:ilvl="4" w:tplc="DED08EDC">
      <w:start w:val="1"/>
      <w:numFmt w:val="bullet"/>
      <w:lvlText w:val="o"/>
      <w:lvlJc w:val="left"/>
      <w:pPr>
        <w:ind w:left="3600" w:hanging="360"/>
      </w:pPr>
      <w:rPr>
        <w:rFonts w:ascii="Courier New" w:hAnsi="Courier New" w:hint="default"/>
      </w:rPr>
    </w:lvl>
    <w:lvl w:ilvl="5" w:tplc="2B723272">
      <w:start w:val="1"/>
      <w:numFmt w:val="bullet"/>
      <w:lvlText w:val=""/>
      <w:lvlJc w:val="left"/>
      <w:pPr>
        <w:ind w:left="4320" w:hanging="360"/>
      </w:pPr>
      <w:rPr>
        <w:rFonts w:ascii="Wingdings" w:hAnsi="Wingdings" w:hint="default"/>
      </w:rPr>
    </w:lvl>
    <w:lvl w:ilvl="6" w:tplc="B07C1516">
      <w:start w:val="1"/>
      <w:numFmt w:val="bullet"/>
      <w:lvlText w:val=""/>
      <w:lvlJc w:val="left"/>
      <w:pPr>
        <w:ind w:left="5040" w:hanging="360"/>
      </w:pPr>
      <w:rPr>
        <w:rFonts w:ascii="Symbol" w:hAnsi="Symbol" w:hint="default"/>
      </w:rPr>
    </w:lvl>
    <w:lvl w:ilvl="7" w:tplc="71E0259A">
      <w:start w:val="1"/>
      <w:numFmt w:val="bullet"/>
      <w:lvlText w:val="o"/>
      <w:lvlJc w:val="left"/>
      <w:pPr>
        <w:ind w:left="5760" w:hanging="360"/>
      </w:pPr>
      <w:rPr>
        <w:rFonts w:ascii="Courier New" w:hAnsi="Courier New" w:hint="default"/>
      </w:rPr>
    </w:lvl>
    <w:lvl w:ilvl="8" w:tplc="FC56F4A4">
      <w:start w:val="1"/>
      <w:numFmt w:val="bullet"/>
      <w:lvlText w:val=""/>
      <w:lvlJc w:val="left"/>
      <w:pPr>
        <w:ind w:left="6480" w:hanging="360"/>
      </w:pPr>
      <w:rPr>
        <w:rFonts w:ascii="Wingdings" w:hAnsi="Wingdings" w:hint="default"/>
      </w:rPr>
    </w:lvl>
  </w:abstractNum>
  <w:abstractNum w:abstractNumId="48" w15:restartNumberingAfterBreak="0">
    <w:nsid w:val="6DEC5159"/>
    <w:multiLevelType w:val="hybridMultilevel"/>
    <w:tmpl w:val="FFFFFFFF"/>
    <w:lvl w:ilvl="0" w:tplc="08FABB80">
      <w:start w:val="1"/>
      <w:numFmt w:val="bullet"/>
      <w:lvlText w:val=""/>
      <w:lvlJc w:val="left"/>
      <w:pPr>
        <w:ind w:left="720" w:hanging="360"/>
      </w:pPr>
      <w:rPr>
        <w:rFonts w:ascii="Symbol" w:hAnsi="Symbol" w:hint="default"/>
      </w:rPr>
    </w:lvl>
    <w:lvl w:ilvl="1" w:tplc="ACA480BE">
      <w:start w:val="1"/>
      <w:numFmt w:val="bullet"/>
      <w:lvlText w:val="o"/>
      <w:lvlJc w:val="left"/>
      <w:pPr>
        <w:ind w:left="1440" w:hanging="360"/>
      </w:pPr>
      <w:rPr>
        <w:rFonts w:ascii="Courier New" w:hAnsi="Courier New" w:hint="default"/>
      </w:rPr>
    </w:lvl>
    <w:lvl w:ilvl="2" w:tplc="97E21DBE">
      <w:start w:val="1"/>
      <w:numFmt w:val="bullet"/>
      <w:lvlText w:val=""/>
      <w:lvlJc w:val="left"/>
      <w:pPr>
        <w:ind w:left="2160" w:hanging="360"/>
      </w:pPr>
      <w:rPr>
        <w:rFonts w:ascii="Wingdings" w:hAnsi="Wingdings" w:hint="default"/>
      </w:rPr>
    </w:lvl>
    <w:lvl w:ilvl="3" w:tplc="6D6A1430">
      <w:start w:val="1"/>
      <w:numFmt w:val="bullet"/>
      <w:lvlText w:val=""/>
      <w:lvlJc w:val="left"/>
      <w:pPr>
        <w:ind w:left="2880" w:hanging="360"/>
      </w:pPr>
      <w:rPr>
        <w:rFonts w:ascii="Symbol" w:hAnsi="Symbol" w:hint="default"/>
      </w:rPr>
    </w:lvl>
    <w:lvl w:ilvl="4" w:tplc="B59A6376">
      <w:start w:val="1"/>
      <w:numFmt w:val="bullet"/>
      <w:lvlText w:val="o"/>
      <w:lvlJc w:val="left"/>
      <w:pPr>
        <w:ind w:left="3600" w:hanging="360"/>
      </w:pPr>
      <w:rPr>
        <w:rFonts w:ascii="Courier New" w:hAnsi="Courier New" w:hint="default"/>
      </w:rPr>
    </w:lvl>
    <w:lvl w:ilvl="5" w:tplc="2BE68DEC">
      <w:start w:val="1"/>
      <w:numFmt w:val="bullet"/>
      <w:lvlText w:val=""/>
      <w:lvlJc w:val="left"/>
      <w:pPr>
        <w:ind w:left="4320" w:hanging="360"/>
      </w:pPr>
      <w:rPr>
        <w:rFonts w:ascii="Wingdings" w:hAnsi="Wingdings" w:hint="default"/>
      </w:rPr>
    </w:lvl>
    <w:lvl w:ilvl="6" w:tplc="05584A62">
      <w:start w:val="1"/>
      <w:numFmt w:val="bullet"/>
      <w:lvlText w:val=""/>
      <w:lvlJc w:val="left"/>
      <w:pPr>
        <w:ind w:left="5040" w:hanging="360"/>
      </w:pPr>
      <w:rPr>
        <w:rFonts w:ascii="Symbol" w:hAnsi="Symbol" w:hint="default"/>
      </w:rPr>
    </w:lvl>
    <w:lvl w:ilvl="7" w:tplc="18945606">
      <w:start w:val="1"/>
      <w:numFmt w:val="bullet"/>
      <w:lvlText w:val="o"/>
      <w:lvlJc w:val="left"/>
      <w:pPr>
        <w:ind w:left="5760" w:hanging="360"/>
      </w:pPr>
      <w:rPr>
        <w:rFonts w:ascii="Courier New" w:hAnsi="Courier New" w:hint="default"/>
      </w:rPr>
    </w:lvl>
    <w:lvl w:ilvl="8" w:tplc="8B722666">
      <w:start w:val="1"/>
      <w:numFmt w:val="bullet"/>
      <w:lvlText w:val=""/>
      <w:lvlJc w:val="left"/>
      <w:pPr>
        <w:ind w:left="6480" w:hanging="360"/>
      </w:pPr>
      <w:rPr>
        <w:rFonts w:ascii="Wingdings" w:hAnsi="Wingdings" w:hint="default"/>
      </w:rPr>
    </w:lvl>
  </w:abstractNum>
  <w:abstractNum w:abstractNumId="49" w15:restartNumberingAfterBreak="0">
    <w:nsid w:val="6F001350"/>
    <w:multiLevelType w:val="hybridMultilevel"/>
    <w:tmpl w:val="FFFFFFFF"/>
    <w:lvl w:ilvl="0" w:tplc="4D2E3F5C">
      <w:start w:val="1"/>
      <w:numFmt w:val="bullet"/>
      <w:lvlText w:val=""/>
      <w:lvlJc w:val="left"/>
      <w:pPr>
        <w:ind w:left="720" w:hanging="360"/>
      </w:pPr>
      <w:rPr>
        <w:rFonts w:ascii="Symbol" w:hAnsi="Symbol" w:hint="default"/>
      </w:rPr>
    </w:lvl>
    <w:lvl w:ilvl="1" w:tplc="40766C10">
      <w:start w:val="1"/>
      <w:numFmt w:val="bullet"/>
      <w:lvlText w:val="o"/>
      <w:lvlJc w:val="left"/>
      <w:pPr>
        <w:ind w:left="1440" w:hanging="360"/>
      </w:pPr>
      <w:rPr>
        <w:rFonts w:ascii="Courier New" w:hAnsi="Courier New" w:hint="default"/>
      </w:rPr>
    </w:lvl>
    <w:lvl w:ilvl="2" w:tplc="1CA4132C">
      <w:start w:val="1"/>
      <w:numFmt w:val="bullet"/>
      <w:lvlText w:val=""/>
      <w:lvlJc w:val="left"/>
      <w:pPr>
        <w:ind w:left="2160" w:hanging="360"/>
      </w:pPr>
      <w:rPr>
        <w:rFonts w:ascii="Wingdings" w:hAnsi="Wingdings" w:hint="default"/>
      </w:rPr>
    </w:lvl>
    <w:lvl w:ilvl="3" w:tplc="D15C36E6">
      <w:start w:val="1"/>
      <w:numFmt w:val="bullet"/>
      <w:lvlText w:val=""/>
      <w:lvlJc w:val="left"/>
      <w:pPr>
        <w:ind w:left="2880" w:hanging="360"/>
      </w:pPr>
      <w:rPr>
        <w:rFonts w:ascii="Symbol" w:hAnsi="Symbol" w:hint="default"/>
      </w:rPr>
    </w:lvl>
    <w:lvl w:ilvl="4" w:tplc="63A40B50">
      <w:start w:val="1"/>
      <w:numFmt w:val="bullet"/>
      <w:lvlText w:val="o"/>
      <w:lvlJc w:val="left"/>
      <w:pPr>
        <w:ind w:left="3600" w:hanging="360"/>
      </w:pPr>
      <w:rPr>
        <w:rFonts w:ascii="Courier New" w:hAnsi="Courier New" w:hint="default"/>
      </w:rPr>
    </w:lvl>
    <w:lvl w:ilvl="5" w:tplc="625CF724">
      <w:start w:val="1"/>
      <w:numFmt w:val="bullet"/>
      <w:lvlText w:val=""/>
      <w:lvlJc w:val="left"/>
      <w:pPr>
        <w:ind w:left="4320" w:hanging="360"/>
      </w:pPr>
      <w:rPr>
        <w:rFonts w:ascii="Wingdings" w:hAnsi="Wingdings" w:hint="default"/>
      </w:rPr>
    </w:lvl>
    <w:lvl w:ilvl="6" w:tplc="A9EE926C">
      <w:start w:val="1"/>
      <w:numFmt w:val="bullet"/>
      <w:lvlText w:val=""/>
      <w:lvlJc w:val="left"/>
      <w:pPr>
        <w:ind w:left="5040" w:hanging="360"/>
      </w:pPr>
      <w:rPr>
        <w:rFonts w:ascii="Symbol" w:hAnsi="Symbol" w:hint="default"/>
      </w:rPr>
    </w:lvl>
    <w:lvl w:ilvl="7" w:tplc="CC7C67AE">
      <w:start w:val="1"/>
      <w:numFmt w:val="bullet"/>
      <w:lvlText w:val="o"/>
      <w:lvlJc w:val="left"/>
      <w:pPr>
        <w:ind w:left="5760" w:hanging="360"/>
      </w:pPr>
      <w:rPr>
        <w:rFonts w:ascii="Courier New" w:hAnsi="Courier New" w:hint="default"/>
      </w:rPr>
    </w:lvl>
    <w:lvl w:ilvl="8" w:tplc="F202D83A">
      <w:start w:val="1"/>
      <w:numFmt w:val="bullet"/>
      <w:lvlText w:val=""/>
      <w:lvlJc w:val="left"/>
      <w:pPr>
        <w:ind w:left="6480" w:hanging="360"/>
      </w:pPr>
      <w:rPr>
        <w:rFonts w:ascii="Wingdings" w:hAnsi="Wingdings" w:hint="default"/>
      </w:rPr>
    </w:lvl>
  </w:abstractNum>
  <w:abstractNum w:abstractNumId="50" w15:restartNumberingAfterBreak="0">
    <w:nsid w:val="734A25B3"/>
    <w:multiLevelType w:val="hybridMultilevel"/>
    <w:tmpl w:val="FFFFFFFF"/>
    <w:lvl w:ilvl="0" w:tplc="139230C6">
      <w:start w:val="1"/>
      <w:numFmt w:val="decimal"/>
      <w:lvlText w:val="%1)"/>
      <w:lvlJc w:val="left"/>
      <w:pPr>
        <w:ind w:left="720" w:hanging="360"/>
      </w:pPr>
    </w:lvl>
    <w:lvl w:ilvl="1" w:tplc="AB8EED1A">
      <w:start w:val="1"/>
      <w:numFmt w:val="lowerLetter"/>
      <w:lvlText w:val="%2."/>
      <w:lvlJc w:val="left"/>
      <w:pPr>
        <w:ind w:left="1440" w:hanging="360"/>
      </w:pPr>
    </w:lvl>
    <w:lvl w:ilvl="2" w:tplc="9DEA98D0">
      <w:start w:val="1"/>
      <w:numFmt w:val="lowerRoman"/>
      <w:lvlText w:val="%3."/>
      <w:lvlJc w:val="right"/>
      <w:pPr>
        <w:ind w:left="2160" w:hanging="180"/>
      </w:pPr>
    </w:lvl>
    <w:lvl w:ilvl="3" w:tplc="E4BE0E18">
      <w:start w:val="1"/>
      <w:numFmt w:val="decimal"/>
      <w:lvlText w:val="%4."/>
      <w:lvlJc w:val="left"/>
      <w:pPr>
        <w:ind w:left="2880" w:hanging="360"/>
      </w:pPr>
    </w:lvl>
    <w:lvl w:ilvl="4" w:tplc="FB92D3CC">
      <w:start w:val="1"/>
      <w:numFmt w:val="lowerLetter"/>
      <w:lvlText w:val="%5."/>
      <w:lvlJc w:val="left"/>
      <w:pPr>
        <w:ind w:left="3600" w:hanging="360"/>
      </w:pPr>
    </w:lvl>
    <w:lvl w:ilvl="5" w:tplc="E8406370">
      <w:start w:val="1"/>
      <w:numFmt w:val="lowerRoman"/>
      <w:lvlText w:val="%6."/>
      <w:lvlJc w:val="right"/>
      <w:pPr>
        <w:ind w:left="4320" w:hanging="180"/>
      </w:pPr>
    </w:lvl>
    <w:lvl w:ilvl="6" w:tplc="43547D72">
      <w:start w:val="1"/>
      <w:numFmt w:val="decimal"/>
      <w:lvlText w:val="%7."/>
      <w:lvlJc w:val="left"/>
      <w:pPr>
        <w:ind w:left="5040" w:hanging="360"/>
      </w:pPr>
    </w:lvl>
    <w:lvl w:ilvl="7" w:tplc="E1AACB10">
      <w:start w:val="1"/>
      <w:numFmt w:val="lowerLetter"/>
      <w:lvlText w:val="%8."/>
      <w:lvlJc w:val="left"/>
      <w:pPr>
        <w:ind w:left="5760" w:hanging="360"/>
      </w:pPr>
    </w:lvl>
    <w:lvl w:ilvl="8" w:tplc="B8400BE4">
      <w:start w:val="1"/>
      <w:numFmt w:val="lowerRoman"/>
      <w:lvlText w:val="%9."/>
      <w:lvlJc w:val="right"/>
      <w:pPr>
        <w:ind w:left="6480" w:hanging="180"/>
      </w:pPr>
    </w:lvl>
  </w:abstractNum>
  <w:abstractNum w:abstractNumId="51" w15:restartNumberingAfterBreak="0">
    <w:nsid w:val="749435E5"/>
    <w:multiLevelType w:val="hybridMultilevel"/>
    <w:tmpl w:val="FFFFFFFF"/>
    <w:lvl w:ilvl="0" w:tplc="866AF30A">
      <w:start w:val="1"/>
      <w:numFmt w:val="decimal"/>
      <w:lvlText w:val="%1)"/>
      <w:lvlJc w:val="left"/>
      <w:pPr>
        <w:ind w:left="720" w:hanging="360"/>
      </w:pPr>
    </w:lvl>
    <w:lvl w:ilvl="1" w:tplc="63A8B534">
      <w:start w:val="1"/>
      <w:numFmt w:val="lowerLetter"/>
      <w:lvlText w:val="%2."/>
      <w:lvlJc w:val="left"/>
      <w:pPr>
        <w:ind w:left="1440" w:hanging="360"/>
      </w:pPr>
    </w:lvl>
    <w:lvl w:ilvl="2" w:tplc="12B60F66">
      <w:start w:val="1"/>
      <w:numFmt w:val="lowerRoman"/>
      <w:lvlText w:val="%3."/>
      <w:lvlJc w:val="right"/>
      <w:pPr>
        <w:ind w:left="2160" w:hanging="180"/>
      </w:pPr>
    </w:lvl>
    <w:lvl w:ilvl="3" w:tplc="09007F46">
      <w:start w:val="1"/>
      <w:numFmt w:val="decimal"/>
      <w:lvlText w:val="%4."/>
      <w:lvlJc w:val="left"/>
      <w:pPr>
        <w:ind w:left="2880" w:hanging="360"/>
      </w:pPr>
    </w:lvl>
    <w:lvl w:ilvl="4" w:tplc="3CD87DB4">
      <w:start w:val="1"/>
      <w:numFmt w:val="lowerLetter"/>
      <w:lvlText w:val="%5."/>
      <w:lvlJc w:val="left"/>
      <w:pPr>
        <w:ind w:left="3600" w:hanging="360"/>
      </w:pPr>
    </w:lvl>
    <w:lvl w:ilvl="5" w:tplc="CE0425D6">
      <w:start w:val="1"/>
      <w:numFmt w:val="lowerRoman"/>
      <w:lvlText w:val="%6."/>
      <w:lvlJc w:val="right"/>
      <w:pPr>
        <w:ind w:left="4320" w:hanging="180"/>
      </w:pPr>
    </w:lvl>
    <w:lvl w:ilvl="6" w:tplc="0A06CD20">
      <w:start w:val="1"/>
      <w:numFmt w:val="decimal"/>
      <w:lvlText w:val="%7."/>
      <w:lvlJc w:val="left"/>
      <w:pPr>
        <w:ind w:left="5040" w:hanging="360"/>
      </w:pPr>
    </w:lvl>
    <w:lvl w:ilvl="7" w:tplc="E1421D4A">
      <w:start w:val="1"/>
      <w:numFmt w:val="lowerLetter"/>
      <w:lvlText w:val="%8."/>
      <w:lvlJc w:val="left"/>
      <w:pPr>
        <w:ind w:left="5760" w:hanging="360"/>
      </w:pPr>
    </w:lvl>
    <w:lvl w:ilvl="8" w:tplc="0B5E7C86">
      <w:start w:val="1"/>
      <w:numFmt w:val="lowerRoman"/>
      <w:lvlText w:val="%9."/>
      <w:lvlJc w:val="right"/>
      <w:pPr>
        <w:ind w:left="6480" w:hanging="180"/>
      </w:pPr>
    </w:lvl>
  </w:abstractNum>
  <w:abstractNum w:abstractNumId="52" w15:restartNumberingAfterBreak="0">
    <w:nsid w:val="75550B07"/>
    <w:multiLevelType w:val="hybridMultilevel"/>
    <w:tmpl w:val="FFFFFFFF"/>
    <w:lvl w:ilvl="0" w:tplc="959CF884">
      <w:start w:val="1"/>
      <w:numFmt w:val="bullet"/>
      <w:lvlText w:val="-"/>
      <w:lvlJc w:val="left"/>
      <w:pPr>
        <w:ind w:left="720" w:hanging="360"/>
      </w:pPr>
      <w:rPr>
        <w:rFonts w:ascii="Calibri" w:hAnsi="Calibri" w:hint="default"/>
      </w:rPr>
    </w:lvl>
    <w:lvl w:ilvl="1" w:tplc="83BE7B9A">
      <w:start w:val="1"/>
      <w:numFmt w:val="bullet"/>
      <w:lvlText w:val="o"/>
      <w:lvlJc w:val="left"/>
      <w:pPr>
        <w:ind w:left="1440" w:hanging="360"/>
      </w:pPr>
      <w:rPr>
        <w:rFonts w:ascii="Courier New" w:hAnsi="Courier New" w:hint="default"/>
      </w:rPr>
    </w:lvl>
    <w:lvl w:ilvl="2" w:tplc="67327B18">
      <w:start w:val="1"/>
      <w:numFmt w:val="bullet"/>
      <w:lvlText w:val=""/>
      <w:lvlJc w:val="left"/>
      <w:pPr>
        <w:ind w:left="2160" w:hanging="360"/>
      </w:pPr>
      <w:rPr>
        <w:rFonts w:ascii="Wingdings" w:hAnsi="Wingdings" w:hint="default"/>
      </w:rPr>
    </w:lvl>
    <w:lvl w:ilvl="3" w:tplc="C01C76BA">
      <w:start w:val="1"/>
      <w:numFmt w:val="bullet"/>
      <w:lvlText w:val=""/>
      <w:lvlJc w:val="left"/>
      <w:pPr>
        <w:ind w:left="2880" w:hanging="360"/>
      </w:pPr>
      <w:rPr>
        <w:rFonts w:ascii="Symbol" w:hAnsi="Symbol" w:hint="default"/>
      </w:rPr>
    </w:lvl>
    <w:lvl w:ilvl="4" w:tplc="25BE7006">
      <w:start w:val="1"/>
      <w:numFmt w:val="bullet"/>
      <w:lvlText w:val="o"/>
      <w:lvlJc w:val="left"/>
      <w:pPr>
        <w:ind w:left="3600" w:hanging="360"/>
      </w:pPr>
      <w:rPr>
        <w:rFonts w:ascii="Courier New" w:hAnsi="Courier New" w:hint="default"/>
      </w:rPr>
    </w:lvl>
    <w:lvl w:ilvl="5" w:tplc="F56E342E">
      <w:start w:val="1"/>
      <w:numFmt w:val="bullet"/>
      <w:lvlText w:val=""/>
      <w:lvlJc w:val="left"/>
      <w:pPr>
        <w:ind w:left="4320" w:hanging="360"/>
      </w:pPr>
      <w:rPr>
        <w:rFonts w:ascii="Wingdings" w:hAnsi="Wingdings" w:hint="default"/>
      </w:rPr>
    </w:lvl>
    <w:lvl w:ilvl="6" w:tplc="13388B60">
      <w:start w:val="1"/>
      <w:numFmt w:val="bullet"/>
      <w:lvlText w:val=""/>
      <w:lvlJc w:val="left"/>
      <w:pPr>
        <w:ind w:left="5040" w:hanging="360"/>
      </w:pPr>
      <w:rPr>
        <w:rFonts w:ascii="Symbol" w:hAnsi="Symbol" w:hint="default"/>
      </w:rPr>
    </w:lvl>
    <w:lvl w:ilvl="7" w:tplc="6B922580">
      <w:start w:val="1"/>
      <w:numFmt w:val="bullet"/>
      <w:lvlText w:val="o"/>
      <w:lvlJc w:val="left"/>
      <w:pPr>
        <w:ind w:left="5760" w:hanging="360"/>
      </w:pPr>
      <w:rPr>
        <w:rFonts w:ascii="Courier New" w:hAnsi="Courier New" w:hint="default"/>
      </w:rPr>
    </w:lvl>
    <w:lvl w:ilvl="8" w:tplc="E0EA2D56">
      <w:start w:val="1"/>
      <w:numFmt w:val="bullet"/>
      <w:lvlText w:val=""/>
      <w:lvlJc w:val="left"/>
      <w:pPr>
        <w:ind w:left="6480" w:hanging="360"/>
      </w:pPr>
      <w:rPr>
        <w:rFonts w:ascii="Wingdings" w:hAnsi="Wingdings" w:hint="default"/>
      </w:rPr>
    </w:lvl>
  </w:abstractNum>
  <w:abstractNum w:abstractNumId="53" w15:restartNumberingAfterBreak="0">
    <w:nsid w:val="79063476"/>
    <w:multiLevelType w:val="hybridMultilevel"/>
    <w:tmpl w:val="FFFFFFFF"/>
    <w:lvl w:ilvl="0" w:tplc="B434E4FE">
      <w:start w:val="1"/>
      <w:numFmt w:val="bullet"/>
      <w:lvlText w:val=""/>
      <w:lvlJc w:val="left"/>
      <w:pPr>
        <w:ind w:left="720" w:hanging="360"/>
      </w:pPr>
      <w:rPr>
        <w:rFonts w:ascii="Symbol" w:hAnsi="Symbol" w:hint="default"/>
      </w:rPr>
    </w:lvl>
    <w:lvl w:ilvl="1" w:tplc="671E5DB2">
      <w:start w:val="1"/>
      <w:numFmt w:val="bullet"/>
      <w:lvlText w:val="o"/>
      <w:lvlJc w:val="left"/>
      <w:pPr>
        <w:ind w:left="1440" w:hanging="360"/>
      </w:pPr>
      <w:rPr>
        <w:rFonts w:ascii="Courier New" w:hAnsi="Courier New" w:hint="default"/>
      </w:rPr>
    </w:lvl>
    <w:lvl w:ilvl="2" w:tplc="D3E6DCD2">
      <w:start w:val="1"/>
      <w:numFmt w:val="bullet"/>
      <w:lvlText w:val=""/>
      <w:lvlJc w:val="left"/>
      <w:pPr>
        <w:ind w:left="2160" w:hanging="360"/>
      </w:pPr>
      <w:rPr>
        <w:rFonts w:ascii="Wingdings" w:hAnsi="Wingdings" w:hint="default"/>
      </w:rPr>
    </w:lvl>
    <w:lvl w:ilvl="3" w:tplc="E616860C">
      <w:start w:val="1"/>
      <w:numFmt w:val="bullet"/>
      <w:lvlText w:val=""/>
      <w:lvlJc w:val="left"/>
      <w:pPr>
        <w:ind w:left="2880" w:hanging="360"/>
      </w:pPr>
      <w:rPr>
        <w:rFonts w:ascii="Symbol" w:hAnsi="Symbol" w:hint="default"/>
      </w:rPr>
    </w:lvl>
    <w:lvl w:ilvl="4" w:tplc="1D1E6B62">
      <w:start w:val="1"/>
      <w:numFmt w:val="bullet"/>
      <w:lvlText w:val="o"/>
      <w:lvlJc w:val="left"/>
      <w:pPr>
        <w:ind w:left="3600" w:hanging="360"/>
      </w:pPr>
      <w:rPr>
        <w:rFonts w:ascii="Courier New" w:hAnsi="Courier New" w:hint="default"/>
      </w:rPr>
    </w:lvl>
    <w:lvl w:ilvl="5" w:tplc="E7262B9A">
      <w:start w:val="1"/>
      <w:numFmt w:val="bullet"/>
      <w:lvlText w:val=""/>
      <w:lvlJc w:val="left"/>
      <w:pPr>
        <w:ind w:left="4320" w:hanging="360"/>
      </w:pPr>
      <w:rPr>
        <w:rFonts w:ascii="Wingdings" w:hAnsi="Wingdings" w:hint="default"/>
      </w:rPr>
    </w:lvl>
    <w:lvl w:ilvl="6" w:tplc="0BE4AB0A">
      <w:start w:val="1"/>
      <w:numFmt w:val="bullet"/>
      <w:lvlText w:val=""/>
      <w:lvlJc w:val="left"/>
      <w:pPr>
        <w:ind w:left="5040" w:hanging="360"/>
      </w:pPr>
      <w:rPr>
        <w:rFonts w:ascii="Symbol" w:hAnsi="Symbol" w:hint="default"/>
      </w:rPr>
    </w:lvl>
    <w:lvl w:ilvl="7" w:tplc="469641B4">
      <w:start w:val="1"/>
      <w:numFmt w:val="bullet"/>
      <w:lvlText w:val="o"/>
      <w:lvlJc w:val="left"/>
      <w:pPr>
        <w:ind w:left="5760" w:hanging="360"/>
      </w:pPr>
      <w:rPr>
        <w:rFonts w:ascii="Courier New" w:hAnsi="Courier New" w:hint="default"/>
      </w:rPr>
    </w:lvl>
    <w:lvl w:ilvl="8" w:tplc="24320CB2">
      <w:start w:val="1"/>
      <w:numFmt w:val="bullet"/>
      <w:lvlText w:val=""/>
      <w:lvlJc w:val="left"/>
      <w:pPr>
        <w:ind w:left="6480" w:hanging="360"/>
      </w:pPr>
      <w:rPr>
        <w:rFonts w:ascii="Wingdings" w:hAnsi="Wingdings" w:hint="default"/>
      </w:rPr>
    </w:lvl>
  </w:abstractNum>
  <w:abstractNum w:abstractNumId="54" w15:restartNumberingAfterBreak="0">
    <w:nsid w:val="799931D4"/>
    <w:multiLevelType w:val="hybridMultilevel"/>
    <w:tmpl w:val="FFFFFFFF"/>
    <w:lvl w:ilvl="0" w:tplc="7C1A558A">
      <w:start w:val="1"/>
      <w:numFmt w:val="bullet"/>
      <w:lvlText w:val=""/>
      <w:lvlJc w:val="left"/>
      <w:pPr>
        <w:ind w:left="720" w:hanging="360"/>
      </w:pPr>
      <w:rPr>
        <w:rFonts w:ascii="Symbol" w:hAnsi="Symbol" w:hint="default"/>
      </w:rPr>
    </w:lvl>
    <w:lvl w:ilvl="1" w:tplc="0E287D7E">
      <w:start w:val="1"/>
      <w:numFmt w:val="bullet"/>
      <w:lvlText w:val="o"/>
      <w:lvlJc w:val="left"/>
      <w:pPr>
        <w:ind w:left="1440" w:hanging="360"/>
      </w:pPr>
      <w:rPr>
        <w:rFonts w:ascii="Courier New" w:hAnsi="Courier New" w:hint="default"/>
      </w:rPr>
    </w:lvl>
    <w:lvl w:ilvl="2" w:tplc="BC966926">
      <w:start w:val="1"/>
      <w:numFmt w:val="bullet"/>
      <w:lvlText w:val=""/>
      <w:lvlJc w:val="left"/>
      <w:pPr>
        <w:ind w:left="2160" w:hanging="360"/>
      </w:pPr>
      <w:rPr>
        <w:rFonts w:ascii="Wingdings" w:hAnsi="Wingdings" w:hint="default"/>
      </w:rPr>
    </w:lvl>
    <w:lvl w:ilvl="3" w:tplc="5114C8AC">
      <w:start w:val="1"/>
      <w:numFmt w:val="bullet"/>
      <w:lvlText w:val=""/>
      <w:lvlJc w:val="left"/>
      <w:pPr>
        <w:ind w:left="2880" w:hanging="360"/>
      </w:pPr>
      <w:rPr>
        <w:rFonts w:ascii="Symbol" w:hAnsi="Symbol" w:hint="default"/>
      </w:rPr>
    </w:lvl>
    <w:lvl w:ilvl="4" w:tplc="EEB06D24">
      <w:start w:val="1"/>
      <w:numFmt w:val="bullet"/>
      <w:lvlText w:val="o"/>
      <w:lvlJc w:val="left"/>
      <w:pPr>
        <w:ind w:left="3600" w:hanging="360"/>
      </w:pPr>
      <w:rPr>
        <w:rFonts w:ascii="Courier New" w:hAnsi="Courier New" w:hint="default"/>
      </w:rPr>
    </w:lvl>
    <w:lvl w:ilvl="5" w:tplc="9CBA340A">
      <w:start w:val="1"/>
      <w:numFmt w:val="bullet"/>
      <w:lvlText w:val=""/>
      <w:lvlJc w:val="left"/>
      <w:pPr>
        <w:ind w:left="4320" w:hanging="360"/>
      </w:pPr>
      <w:rPr>
        <w:rFonts w:ascii="Wingdings" w:hAnsi="Wingdings" w:hint="default"/>
      </w:rPr>
    </w:lvl>
    <w:lvl w:ilvl="6" w:tplc="AE8007F0">
      <w:start w:val="1"/>
      <w:numFmt w:val="bullet"/>
      <w:lvlText w:val=""/>
      <w:lvlJc w:val="left"/>
      <w:pPr>
        <w:ind w:left="5040" w:hanging="360"/>
      </w:pPr>
      <w:rPr>
        <w:rFonts w:ascii="Symbol" w:hAnsi="Symbol" w:hint="default"/>
      </w:rPr>
    </w:lvl>
    <w:lvl w:ilvl="7" w:tplc="EE9423AC">
      <w:start w:val="1"/>
      <w:numFmt w:val="bullet"/>
      <w:lvlText w:val="o"/>
      <w:lvlJc w:val="left"/>
      <w:pPr>
        <w:ind w:left="5760" w:hanging="360"/>
      </w:pPr>
      <w:rPr>
        <w:rFonts w:ascii="Courier New" w:hAnsi="Courier New" w:hint="default"/>
      </w:rPr>
    </w:lvl>
    <w:lvl w:ilvl="8" w:tplc="012892D6">
      <w:start w:val="1"/>
      <w:numFmt w:val="bullet"/>
      <w:lvlText w:val=""/>
      <w:lvlJc w:val="left"/>
      <w:pPr>
        <w:ind w:left="6480" w:hanging="360"/>
      </w:pPr>
      <w:rPr>
        <w:rFonts w:ascii="Wingdings" w:hAnsi="Wingdings" w:hint="default"/>
      </w:rPr>
    </w:lvl>
  </w:abstractNum>
  <w:abstractNum w:abstractNumId="55" w15:restartNumberingAfterBreak="0">
    <w:nsid w:val="79AD3FB9"/>
    <w:multiLevelType w:val="hybridMultilevel"/>
    <w:tmpl w:val="FFFFFFFF"/>
    <w:lvl w:ilvl="0" w:tplc="C898FA7A">
      <w:start w:val="1"/>
      <w:numFmt w:val="bullet"/>
      <w:lvlText w:val=""/>
      <w:lvlJc w:val="left"/>
      <w:pPr>
        <w:ind w:left="720" w:hanging="360"/>
      </w:pPr>
      <w:rPr>
        <w:rFonts w:ascii="Symbol" w:hAnsi="Symbol" w:hint="default"/>
      </w:rPr>
    </w:lvl>
    <w:lvl w:ilvl="1" w:tplc="E7A2DA0C">
      <w:start w:val="1"/>
      <w:numFmt w:val="bullet"/>
      <w:lvlText w:val="o"/>
      <w:lvlJc w:val="left"/>
      <w:pPr>
        <w:ind w:left="1440" w:hanging="360"/>
      </w:pPr>
      <w:rPr>
        <w:rFonts w:ascii="Courier New" w:hAnsi="Courier New" w:hint="default"/>
      </w:rPr>
    </w:lvl>
    <w:lvl w:ilvl="2" w:tplc="8D3A8DEC">
      <w:start w:val="1"/>
      <w:numFmt w:val="bullet"/>
      <w:lvlText w:val=""/>
      <w:lvlJc w:val="left"/>
      <w:pPr>
        <w:ind w:left="2160" w:hanging="360"/>
      </w:pPr>
      <w:rPr>
        <w:rFonts w:ascii="Wingdings" w:hAnsi="Wingdings" w:hint="default"/>
      </w:rPr>
    </w:lvl>
    <w:lvl w:ilvl="3" w:tplc="23F03A4E">
      <w:start w:val="1"/>
      <w:numFmt w:val="bullet"/>
      <w:lvlText w:val=""/>
      <w:lvlJc w:val="left"/>
      <w:pPr>
        <w:ind w:left="2880" w:hanging="360"/>
      </w:pPr>
      <w:rPr>
        <w:rFonts w:ascii="Symbol" w:hAnsi="Symbol" w:hint="default"/>
      </w:rPr>
    </w:lvl>
    <w:lvl w:ilvl="4" w:tplc="1982F8FC">
      <w:start w:val="1"/>
      <w:numFmt w:val="bullet"/>
      <w:lvlText w:val="o"/>
      <w:lvlJc w:val="left"/>
      <w:pPr>
        <w:ind w:left="3600" w:hanging="360"/>
      </w:pPr>
      <w:rPr>
        <w:rFonts w:ascii="Courier New" w:hAnsi="Courier New" w:hint="default"/>
      </w:rPr>
    </w:lvl>
    <w:lvl w:ilvl="5" w:tplc="A80207A0">
      <w:start w:val="1"/>
      <w:numFmt w:val="bullet"/>
      <w:lvlText w:val=""/>
      <w:lvlJc w:val="left"/>
      <w:pPr>
        <w:ind w:left="4320" w:hanging="360"/>
      </w:pPr>
      <w:rPr>
        <w:rFonts w:ascii="Wingdings" w:hAnsi="Wingdings" w:hint="default"/>
      </w:rPr>
    </w:lvl>
    <w:lvl w:ilvl="6" w:tplc="EEF867EC">
      <w:start w:val="1"/>
      <w:numFmt w:val="bullet"/>
      <w:lvlText w:val=""/>
      <w:lvlJc w:val="left"/>
      <w:pPr>
        <w:ind w:left="5040" w:hanging="360"/>
      </w:pPr>
      <w:rPr>
        <w:rFonts w:ascii="Symbol" w:hAnsi="Symbol" w:hint="default"/>
      </w:rPr>
    </w:lvl>
    <w:lvl w:ilvl="7" w:tplc="5A54BD16">
      <w:start w:val="1"/>
      <w:numFmt w:val="bullet"/>
      <w:lvlText w:val="o"/>
      <w:lvlJc w:val="left"/>
      <w:pPr>
        <w:ind w:left="5760" w:hanging="360"/>
      </w:pPr>
      <w:rPr>
        <w:rFonts w:ascii="Courier New" w:hAnsi="Courier New" w:hint="default"/>
      </w:rPr>
    </w:lvl>
    <w:lvl w:ilvl="8" w:tplc="6A7EC078">
      <w:start w:val="1"/>
      <w:numFmt w:val="bullet"/>
      <w:lvlText w:val=""/>
      <w:lvlJc w:val="left"/>
      <w:pPr>
        <w:ind w:left="6480" w:hanging="360"/>
      </w:pPr>
      <w:rPr>
        <w:rFonts w:ascii="Wingdings" w:hAnsi="Wingdings" w:hint="default"/>
      </w:rPr>
    </w:lvl>
  </w:abstractNum>
  <w:abstractNum w:abstractNumId="56" w15:restartNumberingAfterBreak="0">
    <w:nsid w:val="7E845FEC"/>
    <w:multiLevelType w:val="hybridMultilevel"/>
    <w:tmpl w:val="FFFFFFFF"/>
    <w:lvl w:ilvl="0" w:tplc="3F48FEA6">
      <w:start w:val="1"/>
      <w:numFmt w:val="decimal"/>
      <w:lvlText w:val="%1)"/>
      <w:lvlJc w:val="left"/>
      <w:pPr>
        <w:ind w:left="720" w:hanging="360"/>
      </w:pPr>
    </w:lvl>
    <w:lvl w:ilvl="1" w:tplc="AFB077A8">
      <w:start w:val="1"/>
      <w:numFmt w:val="lowerLetter"/>
      <w:lvlText w:val="%2."/>
      <w:lvlJc w:val="left"/>
      <w:pPr>
        <w:ind w:left="1440" w:hanging="360"/>
      </w:pPr>
    </w:lvl>
    <w:lvl w:ilvl="2" w:tplc="C34CD730">
      <w:start w:val="1"/>
      <w:numFmt w:val="lowerRoman"/>
      <w:lvlText w:val="%3."/>
      <w:lvlJc w:val="right"/>
      <w:pPr>
        <w:ind w:left="2160" w:hanging="180"/>
      </w:pPr>
    </w:lvl>
    <w:lvl w:ilvl="3" w:tplc="FF06537C">
      <w:start w:val="1"/>
      <w:numFmt w:val="decimal"/>
      <w:lvlText w:val="%4."/>
      <w:lvlJc w:val="left"/>
      <w:pPr>
        <w:ind w:left="2880" w:hanging="360"/>
      </w:pPr>
    </w:lvl>
    <w:lvl w:ilvl="4" w:tplc="36D26DEC">
      <w:start w:val="1"/>
      <w:numFmt w:val="lowerLetter"/>
      <w:lvlText w:val="%5."/>
      <w:lvlJc w:val="left"/>
      <w:pPr>
        <w:ind w:left="3600" w:hanging="360"/>
      </w:pPr>
    </w:lvl>
    <w:lvl w:ilvl="5" w:tplc="952402BA">
      <w:start w:val="1"/>
      <w:numFmt w:val="lowerRoman"/>
      <w:lvlText w:val="%6."/>
      <w:lvlJc w:val="right"/>
      <w:pPr>
        <w:ind w:left="4320" w:hanging="180"/>
      </w:pPr>
    </w:lvl>
    <w:lvl w:ilvl="6" w:tplc="D09ED1C4">
      <w:start w:val="1"/>
      <w:numFmt w:val="decimal"/>
      <w:lvlText w:val="%7."/>
      <w:lvlJc w:val="left"/>
      <w:pPr>
        <w:ind w:left="5040" w:hanging="360"/>
      </w:pPr>
    </w:lvl>
    <w:lvl w:ilvl="7" w:tplc="DA487AAE">
      <w:start w:val="1"/>
      <w:numFmt w:val="lowerLetter"/>
      <w:lvlText w:val="%8."/>
      <w:lvlJc w:val="left"/>
      <w:pPr>
        <w:ind w:left="5760" w:hanging="360"/>
      </w:pPr>
    </w:lvl>
    <w:lvl w:ilvl="8" w:tplc="CF1E6C08">
      <w:start w:val="1"/>
      <w:numFmt w:val="lowerRoman"/>
      <w:lvlText w:val="%9."/>
      <w:lvlJc w:val="right"/>
      <w:pPr>
        <w:ind w:left="6480" w:hanging="180"/>
      </w:pPr>
    </w:lvl>
  </w:abstractNum>
  <w:num w:numId="1">
    <w:abstractNumId w:val="49"/>
  </w:num>
  <w:num w:numId="2">
    <w:abstractNumId w:val="36"/>
  </w:num>
  <w:num w:numId="3">
    <w:abstractNumId w:val="14"/>
  </w:num>
  <w:num w:numId="4">
    <w:abstractNumId w:val="38"/>
  </w:num>
  <w:num w:numId="5">
    <w:abstractNumId w:val="25"/>
  </w:num>
  <w:num w:numId="6">
    <w:abstractNumId w:val="0"/>
  </w:num>
  <w:num w:numId="7">
    <w:abstractNumId w:val="42"/>
  </w:num>
  <w:num w:numId="8">
    <w:abstractNumId w:val="55"/>
  </w:num>
  <w:num w:numId="9">
    <w:abstractNumId w:val="8"/>
  </w:num>
  <w:num w:numId="10">
    <w:abstractNumId w:val="6"/>
  </w:num>
  <w:num w:numId="11">
    <w:abstractNumId w:val="41"/>
  </w:num>
  <w:num w:numId="12">
    <w:abstractNumId w:val="47"/>
  </w:num>
  <w:num w:numId="13">
    <w:abstractNumId w:val="48"/>
  </w:num>
  <w:num w:numId="14">
    <w:abstractNumId w:val="20"/>
  </w:num>
  <w:num w:numId="15">
    <w:abstractNumId w:val="22"/>
  </w:num>
  <w:num w:numId="16">
    <w:abstractNumId w:val="23"/>
  </w:num>
  <w:num w:numId="17">
    <w:abstractNumId w:val="40"/>
  </w:num>
  <w:num w:numId="18">
    <w:abstractNumId w:val="13"/>
  </w:num>
  <w:num w:numId="19">
    <w:abstractNumId w:val="12"/>
  </w:num>
  <w:num w:numId="20">
    <w:abstractNumId w:val="29"/>
  </w:num>
  <w:num w:numId="21">
    <w:abstractNumId w:val="53"/>
  </w:num>
  <w:num w:numId="22">
    <w:abstractNumId w:val="10"/>
  </w:num>
  <w:num w:numId="23">
    <w:abstractNumId w:val="17"/>
  </w:num>
  <w:num w:numId="24">
    <w:abstractNumId w:val="39"/>
  </w:num>
  <w:num w:numId="25">
    <w:abstractNumId w:val="26"/>
  </w:num>
  <w:num w:numId="26">
    <w:abstractNumId w:val="11"/>
  </w:num>
  <w:num w:numId="27">
    <w:abstractNumId w:val="3"/>
  </w:num>
  <w:num w:numId="28">
    <w:abstractNumId w:val="7"/>
  </w:num>
  <w:num w:numId="29">
    <w:abstractNumId w:val="46"/>
  </w:num>
  <w:num w:numId="30">
    <w:abstractNumId w:val="27"/>
  </w:num>
  <w:num w:numId="31">
    <w:abstractNumId w:val="45"/>
  </w:num>
  <w:num w:numId="32">
    <w:abstractNumId w:val="51"/>
  </w:num>
  <w:num w:numId="33">
    <w:abstractNumId w:val="31"/>
  </w:num>
  <w:num w:numId="34">
    <w:abstractNumId w:val="35"/>
  </w:num>
  <w:num w:numId="35">
    <w:abstractNumId w:val="43"/>
  </w:num>
  <w:num w:numId="36">
    <w:abstractNumId w:val="56"/>
  </w:num>
  <w:num w:numId="37">
    <w:abstractNumId w:val="4"/>
  </w:num>
  <w:num w:numId="38">
    <w:abstractNumId w:val="37"/>
  </w:num>
  <w:num w:numId="39">
    <w:abstractNumId w:val="16"/>
  </w:num>
  <w:num w:numId="40">
    <w:abstractNumId w:val="50"/>
  </w:num>
  <w:num w:numId="41">
    <w:abstractNumId w:val="30"/>
  </w:num>
  <w:num w:numId="42">
    <w:abstractNumId w:val="28"/>
  </w:num>
  <w:num w:numId="43">
    <w:abstractNumId w:val="21"/>
  </w:num>
  <w:num w:numId="44">
    <w:abstractNumId w:val="32"/>
  </w:num>
  <w:num w:numId="45">
    <w:abstractNumId w:val="54"/>
  </w:num>
  <w:num w:numId="46">
    <w:abstractNumId w:val="24"/>
  </w:num>
  <w:num w:numId="47">
    <w:abstractNumId w:val="34"/>
  </w:num>
  <w:num w:numId="48">
    <w:abstractNumId w:val="15"/>
  </w:num>
  <w:num w:numId="49">
    <w:abstractNumId w:val="19"/>
  </w:num>
  <w:num w:numId="50">
    <w:abstractNumId w:val="2"/>
  </w:num>
  <w:num w:numId="51">
    <w:abstractNumId w:val="52"/>
  </w:num>
  <w:num w:numId="52">
    <w:abstractNumId w:val="33"/>
  </w:num>
  <w:num w:numId="53">
    <w:abstractNumId w:val="5"/>
  </w:num>
  <w:num w:numId="54">
    <w:abstractNumId w:val="44"/>
  </w:num>
  <w:num w:numId="55">
    <w:abstractNumId w:val="1"/>
  </w:num>
  <w:num w:numId="56">
    <w:abstractNumId w:val="9"/>
  </w:num>
  <w:num w:numId="57">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15"/>
    <w:rsid w:val="00002866"/>
    <w:rsid w:val="000039A3"/>
    <w:rsid w:val="00004A0C"/>
    <w:rsid w:val="00006844"/>
    <w:rsid w:val="00010E33"/>
    <w:rsid w:val="0001160E"/>
    <w:rsid w:val="00020FC8"/>
    <w:rsid w:val="00020FFB"/>
    <w:rsid w:val="000256FC"/>
    <w:rsid w:val="0002757C"/>
    <w:rsid w:val="00027A88"/>
    <w:rsid w:val="00035B51"/>
    <w:rsid w:val="00046822"/>
    <w:rsid w:val="000509D4"/>
    <w:rsid w:val="0006088A"/>
    <w:rsid w:val="00065BF3"/>
    <w:rsid w:val="00067EDC"/>
    <w:rsid w:val="0007563C"/>
    <w:rsid w:val="00081567"/>
    <w:rsid w:val="00094D25"/>
    <w:rsid w:val="000A5FFF"/>
    <w:rsid w:val="000A622B"/>
    <w:rsid w:val="000B50DA"/>
    <w:rsid w:val="000C2D70"/>
    <w:rsid w:val="000C6B7B"/>
    <w:rsid w:val="000D0FCF"/>
    <w:rsid w:val="000F04BF"/>
    <w:rsid w:val="000F0E47"/>
    <w:rsid w:val="000F350C"/>
    <w:rsid w:val="000F3825"/>
    <w:rsid w:val="000F66F8"/>
    <w:rsid w:val="000F7495"/>
    <w:rsid w:val="001036DA"/>
    <w:rsid w:val="00114BB8"/>
    <w:rsid w:val="00121847"/>
    <w:rsid w:val="00131946"/>
    <w:rsid w:val="00133039"/>
    <w:rsid w:val="0013720F"/>
    <w:rsid w:val="001413D2"/>
    <w:rsid w:val="00144904"/>
    <w:rsid w:val="00157411"/>
    <w:rsid w:val="00160C4F"/>
    <w:rsid w:val="00161F8E"/>
    <w:rsid w:val="001731B3"/>
    <w:rsid w:val="00175E79"/>
    <w:rsid w:val="001864B4"/>
    <w:rsid w:val="001883AE"/>
    <w:rsid w:val="0018E50E"/>
    <w:rsid w:val="0019227F"/>
    <w:rsid w:val="00192DC1"/>
    <w:rsid w:val="001930D6"/>
    <w:rsid w:val="00193C6D"/>
    <w:rsid w:val="00194073"/>
    <w:rsid w:val="001941FF"/>
    <w:rsid w:val="0019794C"/>
    <w:rsid w:val="001A4746"/>
    <w:rsid w:val="001A7F0D"/>
    <w:rsid w:val="001B4057"/>
    <w:rsid w:val="001B62B7"/>
    <w:rsid w:val="001C35E2"/>
    <w:rsid w:val="001C49F6"/>
    <w:rsid w:val="001D137A"/>
    <w:rsid w:val="001D1B51"/>
    <w:rsid w:val="001D3F45"/>
    <w:rsid w:val="001D419B"/>
    <w:rsid w:val="001D7C9B"/>
    <w:rsid w:val="001E0003"/>
    <w:rsid w:val="001E064B"/>
    <w:rsid w:val="001E1A98"/>
    <w:rsid w:val="001E1F7F"/>
    <w:rsid w:val="001E4874"/>
    <w:rsid w:val="0020219D"/>
    <w:rsid w:val="00204C41"/>
    <w:rsid w:val="0021173B"/>
    <w:rsid w:val="002129B0"/>
    <w:rsid w:val="0021319C"/>
    <w:rsid w:val="00214B7B"/>
    <w:rsid w:val="002155F2"/>
    <w:rsid w:val="00216A89"/>
    <w:rsid w:val="00220149"/>
    <w:rsid w:val="002227D8"/>
    <w:rsid w:val="002263E9"/>
    <w:rsid w:val="002463B9"/>
    <w:rsid w:val="00247498"/>
    <w:rsid w:val="00247C7C"/>
    <w:rsid w:val="0025219F"/>
    <w:rsid w:val="00261308"/>
    <w:rsid w:val="002622E8"/>
    <w:rsid w:val="0026289A"/>
    <w:rsid w:val="00263C69"/>
    <w:rsid w:val="00270DB3"/>
    <w:rsid w:val="00271068"/>
    <w:rsid w:val="002727CB"/>
    <w:rsid w:val="00276D1C"/>
    <w:rsid w:val="002812CE"/>
    <w:rsid w:val="00283CA8"/>
    <w:rsid w:val="002959D3"/>
    <w:rsid w:val="00297262"/>
    <w:rsid w:val="002A535E"/>
    <w:rsid w:val="002A67A0"/>
    <w:rsid w:val="002B1F76"/>
    <w:rsid w:val="002B237C"/>
    <w:rsid w:val="002B4C83"/>
    <w:rsid w:val="002C0985"/>
    <w:rsid w:val="002C1DC0"/>
    <w:rsid w:val="002C3C30"/>
    <w:rsid w:val="002C7E7D"/>
    <w:rsid w:val="002D02EE"/>
    <w:rsid w:val="002D09A8"/>
    <w:rsid w:val="002D4A7A"/>
    <w:rsid w:val="002D4DFE"/>
    <w:rsid w:val="002E02A9"/>
    <w:rsid w:val="002E15DC"/>
    <w:rsid w:val="002E172D"/>
    <w:rsid w:val="002E3C12"/>
    <w:rsid w:val="002E5D12"/>
    <w:rsid w:val="002F52E5"/>
    <w:rsid w:val="00304990"/>
    <w:rsid w:val="003053A7"/>
    <w:rsid w:val="00311AE3"/>
    <w:rsid w:val="00313F42"/>
    <w:rsid w:val="0031675A"/>
    <w:rsid w:val="0031CF79"/>
    <w:rsid w:val="00323AC2"/>
    <w:rsid w:val="00325C4A"/>
    <w:rsid w:val="00342678"/>
    <w:rsid w:val="00351662"/>
    <w:rsid w:val="003520E9"/>
    <w:rsid w:val="003533D8"/>
    <w:rsid w:val="00354B84"/>
    <w:rsid w:val="00363E26"/>
    <w:rsid w:val="00372AC9"/>
    <w:rsid w:val="00373348"/>
    <w:rsid w:val="00374E9D"/>
    <w:rsid w:val="00375865"/>
    <w:rsid w:val="003767B4"/>
    <w:rsid w:val="003779BE"/>
    <w:rsid w:val="003905F0"/>
    <w:rsid w:val="003910DE"/>
    <w:rsid w:val="00392CCD"/>
    <w:rsid w:val="00394B9E"/>
    <w:rsid w:val="00395AE4"/>
    <w:rsid w:val="0039670E"/>
    <w:rsid w:val="003A1FEC"/>
    <w:rsid w:val="003A57DB"/>
    <w:rsid w:val="003C5828"/>
    <w:rsid w:val="003C73EF"/>
    <w:rsid w:val="003C7BBF"/>
    <w:rsid w:val="003D0337"/>
    <w:rsid w:val="003D1139"/>
    <w:rsid w:val="003E1288"/>
    <w:rsid w:val="003E4933"/>
    <w:rsid w:val="003E7441"/>
    <w:rsid w:val="003F3F61"/>
    <w:rsid w:val="003F5396"/>
    <w:rsid w:val="003F7423"/>
    <w:rsid w:val="004038E7"/>
    <w:rsid w:val="004056D3"/>
    <w:rsid w:val="00412AD1"/>
    <w:rsid w:val="00412B65"/>
    <w:rsid w:val="004155E9"/>
    <w:rsid w:val="004173A5"/>
    <w:rsid w:val="00427FC9"/>
    <w:rsid w:val="00431B6A"/>
    <w:rsid w:val="00436428"/>
    <w:rsid w:val="00442D27"/>
    <w:rsid w:val="00443218"/>
    <w:rsid w:val="00447A6B"/>
    <w:rsid w:val="00460D6C"/>
    <w:rsid w:val="004635EA"/>
    <w:rsid w:val="00464D43"/>
    <w:rsid w:val="004653F9"/>
    <w:rsid w:val="004660C8"/>
    <w:rsid w:val="00470303"/>
    <w:rsid w:val="0047183E"/>
    <w:rsid w:val="004729F2"/>
    <w:rsid w:val="00472F0D"/>
    <w:rsid w:val="00473298"/>
    <w:rsid w:val="00474FA5"/>
    <w:rsid w:val="00476B3E"/>
    <w:rsid w:val="0048003C"/>
    <w:rsid w:val="00483AC5"/>
    <w:rsid w:val="0048601C"/>
    <w:rsid w:val="004A04DA"/>
    <w:rsid w:val="004A50E4"/>
    <w:rsid w:val="004A5D38"/>
    <w:rsid w:val="004A7490"/>
    <w:rsid w:val="004B00D2"/>
    <w:rsid w:val="004B10F9"/>
    <w:rsid w:val="004B3D7B"/>
    <w:rsid w:val="004B3E0A"/>
    <w:rsid w:val="004B5F8F"/>
    <w:rsid w:val="004C3709"/>
    <w:rsid w:val="004C3C6A"/>
    <w:rsid w:val="004C47B2"/>
    <w:rsid w:val="004F4244"/>
    <w:rsid w:val="004F766F"/>
    <w:rsid w:val="00504429"/>
    <w:rsid w:val="00504DD5"/>
    <w:rsid w:val="0050536B"/>
    <w:rsid w:val="00506278"/>
    <w:rsid w:val="00515F9E"/>
    <w:rsid w:val="00520BA8"/>
    <w:rsid w:val="00524C81"/>
    <w:rsid w:val="00531F7D"/>
    <w:rsid w:val="00532002"/>
    <w:rsid w:val="005376EB"/>
    <w:rsid w:val="00544EED"/>
    <w:rsid w:val="00550B04"/>
    <w:rsid w:val="00554D42"/>
    <w:rsid w:val="00555B63"/>
    <w:rsid w:val="0055A6D2"/>
    <w:rsid w:val="00561516"/>
    <w:rsid w:val="00562E9C"/>
    <w:rsid w:val="00563F07"/>
    <w:rsid w:val="00566CCA"/>
    <w:rsid w:val="00574375"/>
    <w:rsid w:val="00577A12"/>
    <w:rsid w:val="0058438A"/>
    <w:rsid w:val="005855C0"/>
    <w:rsid w:val="00595C33"/>
    <w:rsid w:val="005A32D8"/>
    <w:rsid w:val="005A4B5A"/>
    <w:rsid w:val="005A6230"/>
    <w:rsid w:val="005B5E9D"/>
    <w:rsid w:val="005B6388"/>
    <w:rsid w:val="005C1942"/>
    <w:rsid w:val="005D2961"/>
    <w:rsid w:val="005D62C3"/>
    <w:rsid w:val="005E0845"/>
    <w:rsid w:val="005E55E3"/>
    <w:rsid w:val="005F24AC"/>
    <w:rsid w:val="005F322E"/>
    <w:rsid w:val="00600920"/>
    <w:rsid w:val="0060127B"/>
    <w:rsid w:val="006016B1"/>
    <w:rsid w:val="006104B1"/>
    <w:rsid w:val="006156A5"/>
    <w:rsid w:val="00617135"/>
    <w:rsid w:val="00631ED4"/>
    <w:rsid w:val="006343C9"/>
    <w:rsid w:val="00636028"/>
    <w:rsid w:val="00641EF8"/>
    <w:rsid w:val="006447EE"/>
    <w:rsid w:val="006554F1"/>
    <w:rsid w:val="006564A2"/>
    <w:rsid w:val="00660353"/>
    <w:rsid w:val="00661042"/>
    <w:rsid w:val="00666340"/>
    <w:rsid w:val="00667957"/>
    <w:rsid w:val="00675C6B"/>
    <w:rsid w:val="0068094C"/>
    <w:rsid w:val="006812D9"/>
    <w:rsid w:val="006943EE"/>
    <w:rsid w:val="006A3A0A"/>
    <w:rsid w:val="006B1312"/>
    <w:rsid w:val="006B6053"/>
    <w:rsid w:val="006B7CBB"/>
    <w:rsid w:val="006C2AC9"/>
    <w:rsid w:val="006C57E5"/>
    <w:rsid w:val="006C7B68"/>
    <w:rsid w:val="006D2048"/>
    <w:rsid w:val="006D4C2D"/>
    <w:rsid w:val="006D5264"/>
    <w:rsid w:val="006D6330"/>
    <w:rsid w:val="006E0D3C"/>
    <w:rsid w:val="006F7B02"/>
    <w:rsid w:val="007110E6"/>
    <w:rsid w:val="00711C3A"/>
    <w:rsid w:val="0071485E"/>
    <w:rsid w:val="0072498F"/>
    <w:rsid w:val="007302C3"/>
    <w:rsid w:val="0073744E"/>
    <w:rsid w:val="007376C2"/>
    <w:rsid w:val="0074049C"/>
    <w:rsid w:val="007530D2"/>
    <w:rsid w:val="00753DA9"/>
    <w:rsid w:val="00754ACE"/>
    <w:rsid w:val="00775FC7"/>
    <w:rsid w:val="007764CC"/>
    <w:rsid w:val="0077781A"/>
    <w:rsid w:val="00777ED0"/>
    <w:rsid w:val="00783038"/>
    <w:rsid w:val="007851C3"/>
    <w:rsid w:val="00791E09"/>
    <w:rsid w:val="00795663"/>
    <w:rsid w:val="00795DE5"/>
    <w:rsid w:val="007A7A0B"/>
    <w:rsid w:val="007B5DE4"/>
    <w:rsid w:val="007C02B3"/>
    <w:rsid w:val="007C4DAC"/>
    <w:rsid w:val="007C661D"/>
    <w:rsid w:val="007D0A0A"/>
    <w:rsid w:val="007D467E"/>
    <w:rsid w:val="007D471E"/>
    <w:rsid w:val="007DCC27"/>
    <w:rsid w:val="007E01E8"/>
    <w:rsid w:val="007E2711"/>
    <w:rsid w:val="007E2A72"/>
    <w:rsid w:val="007E6131"/>
    <w:rsid w:val="007F1550"/>
    <w:rsid w:val="0080174D"/>
    <w:rsid w:val="00802708"/>
    <w:rsid w:val="00802DA1"/>
    <w:rsid w:val="00804A93"/>
    <w:rsid w:val="008101F0"/>
    <w:rsid w:val="00824E95"/>
    <w:rsid w:val="008250CF"/>
    <w:rsid w:val="008333B4"/>
    <w:rsid w:val="00833CFA"/>
    <w:rsid w:val="00842CB4"/>
    <w:rsid w:val="00843680"/>
    <w:rsid w:val="00846818"/>
    <w:rsid w:val="008507A3"/>
    <w:rsid w:val="008522B4"/>
    <w:rsid w:val="00860B8D"/>
    <w:rsid w:val="00862BAE"/>
    <w:rsid w:val="0086372A"/>
    <w:rsid w:val="00867EAE"/>
    <w:rsid w:val="008745B7"/>
    <w:rsid w:val="00877C5B"/>
    <w:rsid w:val="008807C0"/>
    <w:rsid w:val="00882FEC"/>
    <w:rsid w:val="00887ADF"/>
    <w:rsid w:val="008940EC"/>
    <w:rsid w:val="00897803"/>
    <w:rsid w:val="008A3147"/>
    <w:rsid w:val="008B0658"/>
    <w:rsid w:val="008B0F36"/>
    <w:rsid w:val="008B1E3D"/>
    <w:rsid w:val="008C07D0"/>
    <w:rsid w:val="008C156F"/>
    <w:rsid w:val="008C2861"/>
    <w:rsid w:val="008C61E4"/>
    <w:rsid w:val="008C635B"/>
    <w:rsid w:val="008D2FC5"/>
    <w:rsid w:val="008D6043"/>
    <w:rsid w:val="008E15E4"/>
    <w:rsid w:val="008E2946"/>
    <w:rsid w:val="008E4075"/>
    <w:rsid w:val="008F4662"/>
    <w:rsid w:val="008F6F9F"/>
    <w:rsid w:val="009011CC"/>
    <w:rsid w:val="00903AD8"/>
    <w:rsid w:val="00907B76"/>
    <w:rsid w:val="00917588"/>
    <w:rsid w:val="0091BAF0"/>
    <w:rsid w:val="009237D8"/>
    <w:rsid w:val="00923A08"/>
    <w:rsid w:val="00924A6A"/>
    <w:rsid w:val="00931DCD"/>
    <w:rsid w:val="009430A4"/>
    <w:rsid w:val="00945D9C"/>
    <w:rsid w:val="00960ED0"/>
    <w:rsid w:val="00961CD9"/>
    <w:rsid w:val="009652DA"/>
    <w:rsid w:val="009674A8"/>
    <w:rsid w:val="00972351"/>
    <w:rsid w:val="009734DD"/>
    <w:rsid w:val="00977074"/>
    <w:rsid w:val="00983F1A"/>
    <w:rsid w:val="00985429"/>
    <w:rsid w:val="00985B9B"/>
    <w:rsid w:val="00987886"/>
    <w:rsid w:val="0099084D"/>
    <w:rsid w:val="009A3F46"/>
    <w:rsid w:val="009B7D05"/>
    <w:rsid w:val="009D68C4"/>
    <w:rsid w:val="009E2A48"/>
    <w:rsid w:val="009F0924"/>
    <w:rsid w:val="009F12EC"/>
    <w:rsid w:val="00A02EC9"/>
    <w:rsid w:val="00A0398A"/>
    <w:rsid w:val="00A11E0A"/>
    <w:rsid w:val="00A152D2"/>
    <w:rsid w:val="00A1596B"/>
    <w:rsid w:val="00A223A0"/>
    <w:rsid w:val="00A23256"/>
    <w:rsid w:val="00A34C8C"/>
    <w:rsid w:val="00A35437"/>
    <w:rsid w:val="00A51869"/>
    <w:rsid w:val="00A5607B"/>
    <w:rsid w:val="00A618BF"/>
    <w:rsid w:val="00A677FD"/>
    <w:rsid w:val="00A74420"/>
    <w:rsid w:val="00A80C9F"/>
    <w:rsid w:val="00A919A4"/>
    <w:rsid w:val="00A96D1F"/>
    <w:rsid w:val="00AA1AB8"/>
    <w:rsid w:val="00AB0E92"/>
    <w:rsid w:val="00AB2C07"/>
    <w:rsid w:val="00AB466A"/>
    <w:rsid w:val="00AC1715"/>
    <w:rsid w:val="00AC5C6E"/>
    <w:rsid w:val="00AD6323"/>
    <w:rsid w:val="00AE0B2F"/>
    <w:rsid w:val="00AE0B41"/>
    <w:rsid w:val="00AF2299"/>
    <w:rsid w:val="00AF2AAE"/>
    <w:rsid w:val="00AF7D7D"/>
    <w:rsid w:val="00AF9EEF"/>
    <w:rsid w:val="00B03823"/>
    <w:rsid w:val="00B10971"/>
    <w:rsid w:val="00B138EC"/>
    <w:rsid w:val="00B1504F"/>
    <w:rsid w:val="00B159AB"/>
    <w:rsid w:val="00B20B28"/>
    <w:rsid w:val="00B257AE"/>
    <w:rsid w:val="00B40076"/>
    <w:rsid w:val="00B44869"/>
    <w:rsid w:val="00B5026A"/>
    <w:rsid w:val="00B572B2"/>
    <w:rsid w:val="00B60CF4"/>
    <w:rsid w:val="00B65ED6"/>
    <w:rsid w:val="00B753B1"/>
    <w:rsid w:val="00B81894"/>
    <w:rsid w:val="00B86263"/>
    <w:rsid w:val="00B8D459"/>
    <w:rsid w:val="00B97371"/>
    <w:rsid w:val="00BA217B"/>
    <w:rsid w:val="00BA522D"/>
    <w:rsid w:val="00BA6113"/>
    <w:rsid w:val="00BB18AC"/>
    <w:rsid w:val="00BB22C6"/>
    <w:rsid w:val="00BB3E17"/>
    <w:rsid w:val="00BB3ED9"/>
    <w:rsid w:val="00BC6776"/>
    <w:rsid w:val="00BE354F"/>
    <w:rsid w:val="00BE6CB1"/>
    <w:rsid w:val="00BE6E2D"/>
    <w:rsid w:val="00BF0603"/>
    <w:rsid w:val="00BF457A"/>
    <w:rsid w:val="00BF55A1"/>
    <w:rsid w:val="00C0119E"/>
    <w:rsid w:val="00C017EA"/>
    <w:rsid w:val="00C07A55"/>
    <w:rsid w:val="00C0F5CD"/>
    <w:rsid w:val="00C1480C"/>
    <w:rsid w:val="00C1BBF2"/>
    <w:rsid w:val="00C30823"/>
    <w:rsid w:val="00C32DB1"/>
    <w:rsid w:val="00C36DDD"/>
    <w:rsid w:val="00C52641"/>
    <w:rsid w:val="00C54454"/>
    <w:rsid w:val="00C60ED9"/>
    <w:rsid w:val="00C73D92"/>
    <w:rsid w:val="00C7776E"/>
    <w:rsid w:val="00C82165"/>
    <w:rsid w:val="00C844B2"/>
    <w:rsid w:val="00C9109D"/>
    <w:rsid w:val="00C91272"/>
    <w:rsid w:val="00C95BD3"/>
    <w:rsid w:val="00CA34C1"/>
    <w:rsid w:val="00CB477F"/>
    <w:rsid w:val="00CC952D"/>
    <w:rsid w:val="00CCDFE0"/>
    <w:rsid w:val="00CD31B6"/>
    <w:rsid w:val="00CD4D84"/>
    <w:rsid w:val="00CD4F69"/>
    <w:rsid w:val="00CDAA02"/>
    <w:rsid w:val="00CF3076"/>
    <w:rsid w:val="00CF4FC3"/>
    <w:rsid w:val="00CFB0FA"/>
    <w:rsid w:val="00D00D71"/>
    <w:rsid w:val="00D07D48"/>
    <w:rsid w:val="00D14794"/>
    <w:rsid w:val="00D167CF"/>
    <w:rsid w:val="00D20797"/>
    <w:rsid w:val="00D20856"/>
    <w:rsid w:val="00D227A2"/>
    <w:rsid w:val="00D23F59"/>
    <w:rsid w:val="00D24BCC"/>
    <w:rsid w:val="00D42039"/>
    <w:rsid w:val="00D44316"/>
    <w:rsid w:val="00D4CAE1"/>
    <w:rsid w:val="00D56259"/>
    <w:rsid w:val="00D562C8"/>
    <w:rsid w:val="00D57CE0"/>
    <w:rsid w:val="00D60DF4"/>
    <w:rsid w:val="00D61126"/>
    <w:rsid w:val="00D63B8D"/>
    <w:rsid w:val="00D6472C"/>
    <w:rsid w:val="00D66F6C"/>
    <w:rsid w:val="00D67482"/>
    <w:rsid w:val="00D7088B"/>
    <w:rsid w:val="00D72F33"/>
    <w:rsid w:val="00D761CB"/>
    <w:rsid w:val="00D767EF"/>
    <w:rsid w:val="00D7FF05"/>
    <w:rsid w:val="00D840F5"/>
    <w:rsid w:val="00D942D6"/>
    <w:rsid w:val="00DB56E4"/>
    <w:rsid w:val="00DB6188"/>
    <w:rsid w:val="00DC3B8C"/>
    <w:rsid w:val="00DD0734"/>
    <w:rsid w:val="00DD2325"/>
    <w:rsid w:val="00DD3DC0"/>
    <w:rsid w:val="00DD51F5"/>
    <w:rsid w:val="00DD5280"/>
    <w:rsid w:val="00DD5D29"/>
    <w:rsid w:val="00DE1184"/>
    <w:rsid w:val="00DE2C8E"/>
    <w:rsid w:val="00DE6F2A"/>
    <w:rsid w:val="00DF5E14"/>
    <w:rsid w:val="00E02A35"/>
    <w:rsid w:val="00E04A0A"/>
    <w:rsid w:val="00E04A5F"/>
    <w:rsid w:val="00E104F0"/>
    <w:rsid w:val="00E13A04"/>
    <w:rsid w:val="00E1739F"/>
    <w:rsid w:val="00E23A40"/>
    <w:rsid w:val="00E31AC5"/>
    <w:rsid w:val="00E37288"/>
    <w:rsid w:val="00E40F99"/>
    <w:rsid w:val="00E40FC5"/>
    <w:rsid w:val="00E41130"/>
    <w:rsid w:val="00E5230A"/>
    <w:rsid w:val="00E54C14"/>
    <w:rsid w:val="00E65904"/>
    <w:rsid w:val="00E668D2"/>
    <w:rsid w:val="00E93EFB"/>
    <w:rsid w:val="00E9948A"/>
    <w:rsid w:val="00EB5F09"/>
    <w:rsid w:val="00EB7BB0"/>
    <w:rsid w:val="00EC00E7"/>
    <w:rsid w:val="00EC1DF7"/>
    <w:rsid w:val="00EC4C78"/>
    <w:rsid w:val="00EC50AE"/>
    <w:rsid w:val="00ED6CAE"/>
    <w:rsid w:val="00ED6E2C"/>
    <w:rsid w:val="00ED7235"/>
    <w:rsid w:val="00EE56CA"/>
    <w:rsid w:val="00EF376A"/>
    <w:rsid w:val="00EF393A"/>
    <w:rsid w:val="00EF656B"/>
    <w:rsid w:val="00F03627"/>
    <w:rsid w:val="00F12762"/>
    <w:rsid w:val="00F13F51"/>
    <w:rsid w:val="00F207DC"/>
    <w:rsid w:val="00F21E5C"/>
    <w:rsid w:val="00F26D29"/>
    <w:rsid w:val="00F3461C"/>
    <w:rsid w:val="00F43827"/>
    <w:rsid w:val="00F468D6"/>
    <w:rsid w:val="00F51AB4"/>
    <w:rsid w:val="00F53755"/>
    <w:rsid w:val="00F55E3B"/>
    <w:rsid w:val="00F560E7"/>
    <w:rsid w:val="00F6263E"/>
    <w:rsid w:val="00F637AE"/>
    <w:rsid w:val="00F64995"/>
    <w:rsid w:val="00F7134F"/>
    <w:rsid w:val="00F83A1C"/>
    <w:rsid w:val="00F86A6B"/>
    <w:rsid w:val="00F904D6"/>
    <w:rsid w:val="00F91660"/>
    <w:rsid w:val="00F917A3"/>
    <w:rsid w:val="00FA4504"/>
    <w:rsid w:val="00FA73E6"/>
    <w:rsid w:val="00FA797F"/>
    <w:rsid w:val="00FB52FF"/>
    <w:rsid w:val="00FC1011"/>
    <w:rsid w:val="00FC6835"/>
    <w:rsid w:val="00FD1810"/>
    <w:rsid w:val="00FD1D12"/>
    <w:rsid w:val="00FD4DEA"/>
    <w:rsid w:val="00FE2905"/>
    <w:rsid w:val="00FF007A"/>
    <w:rsid w:val="00FF0D41"/>
    <w:rsid w:val="00FF6FCE"/>
    <w:rsid w:val="0107B7E2"/>
    <w:rsid w:val="010A9612"/>
    <w:rsid w:val="010ACCCB"/>
    <w:rsid w:val="01124915"/>
    <w:rsid w:val="0113763F"/>
    <w:rsid w:val="011477E6"/>
    <w:rsid w:val="011FAC35"/>
    <w:rsid w:val="0123AEC5"/>
    <w:rsid w:val="01281571"/>
    <w:rsid w:val="0128200F"/>
    <w:rsid w:val="012A2E63"/>
    <w:rsid w:val="012A7E68"/>
    <w:rsid w:val="012F6381"/>
    <w:rsid w:val="013460E9"/>
    <w:rsid w:val="013C5708"/>
    <w:rsid w:val="013E3DAD"/>
    <w:rsid w:val="014167F8"/>
    <w:rsid w:val="0141919E"/>
    <w:rsid w:val="014AC3E9"/>
    <w:rsid w:val="014C9391"/>
    <w:rsid w:val="014DE92E"/>
    <w:rsid w:val="01513CFB"/>
    <w:rsid w:val="0151762B"/>
    <w:rsid w:val="0156568B"/>
    <w:rsid w:val="0157B7E2"/>
    <w:rsid w:val="015E964E"/>
    <w:rsid w:val="016658E6"/>
    <w:rsid w:val="016683D4"/>
    <w:rsid w:val="01682A99"/>
    <w:rsid w:val="016ECC2B"/>
    <w:rsid w:val="017662D4"/>
    <w:rsid w:val="01790C2D"/>
    <w:rsid w:val="017CA955"/>
    <w:rsid w:val="0180E2DE"/>
    <w:rsid w:val="018178CC"/>
    <w:rsid w:val="018E7855"/>
    <w:rsid w:val="0192290D"/>
    <w:rsid w:val="0193C755"/>
    <w:rsid w:val="019405C4"/>
    <w:rsid w:val="0195AA18"/>
    <w:rsid w:val="01975722"/>
    <w:rsid w:val="0198FF74"/>
    <w:rsid w:val="019ABA50"/>
    <w:rsid w:val="019B9C0F"/>
    <w:rsid w:val="019E5D44"/>
    <w:rsid w:val="019E6569"/>
    <w:rsid w:val="019F7429"/>
    <w:rsid w:val="01A27C82"/>
    <w:rsid w:val="01A40812"/>
    <w:rsid w:val="01AE856E"/>
    <w:rsid w:val="01BBBACC"/>
    <w:rsid w:val="01BE9132"/>
    <w:rsid w:val="01C03ED5"/>
    <w:rsid w:val="01C237AB"/>
    <w:rsid w:val="01C850D8"/>
    <w:rsid w:val="01CEE69B"/>
    <w:rsid w:val="01D4C4A6"/>
    <w:rsid w:val="01D651B9"/>
    <w:rsid w:val="01DF8F9D"/>
    <w:rsid w:val="01E53ECA"/>
    <w:rsid w:val="01E6C0D4"/>
    <w:rsid w:val="01E96603"/>
    <w:rsid w:val="01E984DD"/>
    <w:rsid w:val="01F2FE4D"/>
    <w:rsid w:val="01F4A32E"/>
    <w:rsid w:val="01F5AFDF"/>
    <w:rsid w:val="020320C0"/>
    <w:rsid w:val="0212C8B8"/>
    <w:rsid w:val="0214065D"/>
    <w:rsid w:val="02151A17"/>
    <w:rsid w:val="02153504"/>
    <w:rsid w:val="021FED08"/>
    <w:rsid w:val="022837EF"/>
    <w:rsid w:val="022BB37D"/>
    <w:rsid w:val="022DDF7F"/>
    <w:rsid w:val="0233402D"/>
    <w:rsid w:val="023637DD"/>
    <w:rsid w:val="0239C333"/>
    <w:rsid w:val="023BA80F"/>
    <w:rsid w:val="0244345D"/>
    <w:rsid w:val="024466B7"/>
    <w:rsid w:val="02473EDF"/>
    <w:rsid w:val="024C83B5"/>
    <w:rsid w:val="024D8165"/>
    <w:rsid w:val="024DB52D"/>
    <w:rsid w:val="024F7E8D"/>
    <w:rsid w:val="025573CB"/>
    <w:rsid w:val="0264A335"/>
    <w:rsid w:val="026B198D"/>
    <w:rsid w:val="026B815B"/>
    <w:rsid w:val="026BE68D"/>
    <w:rsid w:val="026BFFEE"/>
    <w:rsid w:val="026C4D9F"/>
    <w:rsid w:val="02703D82"/>
    <w:rsid w:val="027341F6"/>
    <w:rsid w:val="0273CF66"/>
    <w:rsid w:val="027A7254"/>
    <w:rsid w:val="02817A64"/>
    <w:rsid w:val="028602DC"/>
    <w:rsid w:val="0293FA99"/>
    <w:rsid w:val="02A28439"/>
    <w:rsid w:val="02AE2478"/>
    <w:rsid w:val="02AE8258"/>
    <w:rsid w:val="02AEDFDE"/>
    <w:rsid w:val="02BF30ED"/>
    <w:rsid w:val="02C42443"/>
    <w:rsid w:val="02CB8E71"/>
    <w:rsid w:val="02CD745E"/>
    <w:rsid w:val="02D56D22"/>
    <w:rsid w:val="02DA3209"/>
    <w:rsid w:val="02E2DF97"/>
    <w:rsid w:val="02E404A1"/>
    <w:rsid w:val="02E443E0"/>
    <w:rsid w:val="02E9C14E"/>
    <w:rsid w:val="02EF3200"/>
    <w:rsid w:val="02F280A0"/>
    <w:rsid w:val="02F3C8F9"/>
    <w:rsid w:val="02FB9936"/>
    <w:rsid w:val="02FE5B17"/>
    <w:rsid w:val="02FE68B3"/>
    <w:rsid w:val="03002DC9"/>
    <w:rsid w:val="0307A1B6"/>
    <w:rsid w:val="030C36FC"/>
    <w:rsid w:val="030D6B3C"/>
    <w:rsid w:val="03123AF9"/>
    <w:rsid w:val="0314E0DA"/>
    <w:rsid w:val="03172416"/>
    <w:rsid w:val="031E78BC"/>
    <w:rsid w:val="03216D60"/>
    <w:rsid w:val="0321A272"/>
    <w:rsid w:val="03286190"/>
    <w:rsid w:val="03303C24"/>
    <w:rsid w:val="03386FBD"/>
    <w:rsid w:val="033A54D8"/>
    <w:rsid w:val="03414026"/>
    <w:rsid w:val="0342C1F2"/>
    <w:rsid w:val="034675EB"/>
    <w:rsid w:val="03488DF2"/>
    <w:rsid w:val="034C42CC"/>
    <w:rsid w:val="035B79D2"/>
    <w:rsid w:val="036354DD"/>
    <w:rsid w:val="03664D8C"/>
    <w:rsid w:val="0371B3FC"/>
    <w:rsid w:val="037649BD"/>
    <w:rsid w:val="039BCE76"/>
    <w:rsid w:val="039C835B"/>
    <w:rsid w:val="039FA621"/>
    <w:rsid w:val="03BE3FFD"/>
    <w:rsid w:val="03CBD5C6"/>
    <w:rsid w:val="03DA87DE"/>
    <w:rsid w:val="03DAF55C"/>
    <w:rsid w:val="03DBB9BC"/>
    <w:rsid w:val="03E75867"/>
    <w:rsid w:val="03EC8428"/>
    <w:rsid w:val="03EEADF7"/>
    <w:rsid w:val="03F0F88D"/>
    <w:rsid w:val="03F23E64"/>
    <w:rsid w:val="03F445E5"/>
    <w:rsid w:val="03F6B046"/>
    <w:rsid w:val="03F94430"/>
    <w:rsid w:val="03F9E23A"/>
    <w:rsid w:val="0405EAC7"/>
    <w:rsid w:val="04087BD4"/>
    <w:rsid w:val="04088B87"/>
    <w:rsid w:val="040E0598"/>
    <w:rsid w:val="04195D67"/>
    <w:rsid w:val="041B7E8D"/>
    <w:rsid w:val="041D4AC5"/>
    <w:rsid w:val="041FFE55"/>
    <w:rsid w:val="0423651B"/>
    <w:rsid w:val="04257B5F"/>
    <w:rsid w:val="0425A2ED"/>
    <w:rsid w:val="042ACC1B"/>
    <w:rsid w:val="04437D11"/>
    <w:rsid w:val="0447FDEE"/>
    <w:rsid w:val="044E30A9"/>
    <w:rsid w:val="045080E6"/>
    <w:rsid w:val="04587E02"/>
    <w:rsid w:val="0459DBD0"/>
    <w:rsid w:val="045E0B4A"/>
    <w:rsid w:val="046286CF"/>
    <w:rsid w:val="046FF123"/>
    <w:rsid w:val="0470EE5E"/>
    <w:rsid w:val="04724F14"/>
    <w:rsid w:val="04766CCB"/>
    <w:rsid w:val="047EAFF8"/>
    <w:rsid w:val="04849237"/>
    <w:rsid w:val="0484B01B"/>
    <w:rsid w:val="04850A76"/>
    <w:rsid w:val="04881245"/>
    <w:rsid w:val="048AC353"/>
    <w:rsid w:val="0491541A"/>
    <w:rsid w:val="049157C5"/>
    <w:rsid w:val="049678F2"/>
    <w:rsid w:val="049878D0"/>
    <w:rsid w:val="049D769E"/>
    <w:rsid w:val="049EF1F2"/>
    <w:rsid w:val="04A0583B"/>
    <w:rsid w:val="04A1DD47"/>
    <w:rsid w:val="04A3EEEB"/>
    <w:rsid w:val="04A85267"/>
    <w:rsid w:val="04A93B4C"/>
    <w:rsid w:val="04AA2782"/>
    <w:rsid w:val="04AF2BEA"/>
    <w:rsid w:val="04B0229C"/>
    <w:rsid w:val="04B45A5D"/>
    <w:rsid w:val="04B79F45"/>
    <w:rsid w:val="04BC6A06"/>
    <w:rsid w:val="04C2C7DE"/>
    <w:rsid w:val="04C36E3A"/>
    <w:rsid w:val="04C43543"/>
    <w:rsid w:val="04D33CD1"/>
    <w:rsid w:val="04D3F16A"/>
    <w:rsid w:val="04D43CA0"/>
    <w:rsid w:val="04DD1087"/>
    <w:rsid w:val="04DDB1FB"/>
    <w:rsid w:val="04E9C893"/>
    <w:rsid w:val="04F3276C"/>
    <w:rsid w:val="04F631F4"/>
    <w:rsid w:val="050D803B"/>
    <w:rsid w:val="0513952C"/>
    <w:rsid w:val="05189DB9"/>
    <w:rsid w:val="051919F7"/>
    <w:rsid w:val="0521259F"/>
    <w:rsid w:val="052DCCD6"/>
    <w:rsid w:val="0534FCDE"/>
    <w:rsid w:val="0541AB9E"/>
    <w:rsid w:val="0543C6A3"/>
    <w:rsid w:val="05538F55"/>
    <w:rsid w:val="0554B0F7"/>
    <w:rsid w:val="0568D666"/>
    <w:rsid w:val="056A88BD"/>
    <w:rsid w:val="056F0FBC"/>
    <w:rsid w:val="057499DD"/>
    <w:rsid w:val="0575B8D4"/>
    <w:rsid w:val="0578D4EF"/>
    <w:rsid w:val="0579177C"/>
    <w:rsid w:val="057B56A5"/>
    <w:rsid w:val="057D50F9"/>
    <w:rsid w:val="0580ABF8"/>
    <w:rsid w:val="058328C8"/>
    <w:rsid w:val="058A3BE5"/>
    <w:rsid w:val="058D4250"/>
    <w:rsid w:val="059F1588"/>
    <w:rsid w:val="05A047AC"/>
    <w:rsid w:val="05A21A44"/>
    <w:rsid w:val="05C471DD"/>
    <w:rsid w:val="05CE9E8B"/>
    <w:rsid w:val="05CFB748"/>
    <w:rsid w:val="05D97030"/>
    <w:rsid w:val="05E2A4F1"/>
    <w:rsid w:val="05E5A9FD"/>
    <w:rsid w:val="05F560B7"/>
    <w:rsid w:val="05F5A907"/>
    <w:rsid w:val="05F99443"/>
    <w:rsid w:val="05FA6B69"/>
    <w:rsid w:val="05FBA8FE"/>
    <w:rsid w:val="0600B82D"/>
    <w:rsid w:val="0607E4BC"/>
    <w:rsid w:val="06094E5B"/>
    <w:rsid w:val="0613217B"/>
    <w:rsid w:val="06137347"/>
    <w:rsid w:val="06157B35"/>
    <w:rsid w:val="0617550A"/>
    <w:rsid w:val="061A1101"/>
    <w:rsid w:val="062741CE"/>
    <w:rsid w:val="0629C00A"/>
    <w:rsid w:val="062A60E5"/>
    <w:rsid w:val="062B8D77"/>
    <w:rsid w:val="062D8B38"/>
    <w:rsid w:val="0644535C"/>
    <w:rsid w:val="064B71B0"/>
    <w:rsid w:val="064F78DB"/>
    <w:rsid w:val="0656197E"/>
    <w:rsid w:val="065CA352"/>
    <w:rsid w:val="0664487B"/>
    <w:rsid w:val="066D5BF6"/>
    <w:rsid w:val="0674D61E"/>
    <w:rsid w:val="0679FFB5"/>
    <w:rsid w:val="067F4D23"/>
    <w:rsid w:val="0685CE96"/>
    <w:rsid w:val="069AF59F"/>
    <w:rsid w:val="06ADEA7F"/>
    <w:rsid w:val="06B834A7"/>
    <w:rsid w:val="06B906E7"/>
    <w:rsid w:val="06C0AC64"/>
    <w:rsid w:val="06C587DB"/>
    <w:rsid w:val="06C75BC8"/>
    <w:rsid w:val="06CBDF96"/>
    <w:rsid w:val="06DB4D34"/>
    <w:rsid w:val="06DFD527"/>
    <w:rsid w:val="06E297DB"/>
    <w:rsid w:val="06E616BA"/>
    <w:rsid w:val="06F5CC88"/>
    <w:rsid w:val="07049C87"/>
    <w:rsid w:val="07056622"/>
    <w:rsid w:val="071FCE0A"/>
    <w:rsid w:val="07280C24"/>
    <w:rsid w:val="07297CB3"/>
    <w:rsid w:val="072B9EB3"/>
    <w:rsid w:val="072FF60E"/>
    <w:rsid w:val="07338308"/>
    <w:rsid w:val="074734FD"/>
    <w:rsid w:val="076A2538"/>
    <w:rsid w:val="076B87A9"/>
    <w:rsid w:val="076EA985"/>
    <w:rsid w:val="077112D9"/>
    <w:rsid w:val="07796E36"/>
    <w:rsid w:val="077E93C9"/>
    <w:rsid w:val="078095A6"/>
    <w:rsid w:val="0783E0DA"/>
    <w:rsid w:val="07857CA8"/>
    <w:rsid w:val="078A6497"/>
    <w:rsid w:val="078EDED9"/>
    <w:rsid w:val="079834EB"/>
    <w:rsid w:val="07A15954"/>
    <w:rsid w:val="07A1CF01"/>
    <w:rsid w:val="07A5F39D"/>
    <w:rsid w:val="07A79B71"/>
    <w:rsid w:val="07AA5191"/>
    <w:rsid w:val="07B0152C"/>
    <w:rsid w:val="07B3C546"/>
    <w:rsid w:val="07B728E8"/>
    <w:rsid w:val="07BD3271"/>
    <w:rsid w:val="07C63FDF"/>
    <w:rsid w:val="07C7ABBA"/>
    <w:rsid w:val="07C7FE4D"/>
    <w:rsid w:val="07CB671F"/>
    <w:rsid w:val="07CE6D48"/>
    <w:rsid w:val="07D2C7E5"/>
    <w:rsid w:val="07D49FCA"/>
    <w:rsid w:val="07D6073A"/>
    <w:rsid w:val="07DC9B7C"/>
    <w:rsid w:val="07E77942"/>
    <w:rsid w:val="07EEDE05"/>
    <w:rsid w:val="07F2F74E"/>
    <w:rsid w:val="07F30D9D"/>
    <w:rsid w:val="07F82A68"/>
    <w:rsid w:val="07F9A2BC"/>
    <w:rsid w:val="07FC4F5B"/>
    <w:rsid w:val="080C2ACF"/>
    <w:rsid w:val="080E1B85"/>
    <w:rsid w:val="080ED0FB"/>
    <w:rsid w:val="08152567"/>
    <w:rsid w:val="08206F0E"/>
    <w:rsid w:val="082D09EE"/>
    <w:rsid w:val="082EAF03"/>
    <w:rsid w:val="08317D30"/>
    <w:rsid w:val="0831A9E5"/>
    <w:rsid w:val="083CE81D"/>
    <w:rsid w:val="0847D70A"/>
    <w:rsid w:val="08482FDF"/>
    <w:rsid w:val="0852F342"/>
    <w:rsid w:val="08579665"/>
    <w:rsid w:val="08713117"/>
    <w:rsid w:val="0871F6AF"/>
    <w:rsid w:val="0872CCD2"/>
    <w:rsid w:val="0877684A"/>
    <w:rsid w:val="08795831"/>
    <w:rsid w:val="088A2C9A"/>
    <w:rsid w:val="088B3C52"/>
    <w:rsid w:val="088D1F47"/>
    <w:rsid w:val="089B45A2"/>
    <w:rsid w:val="089F87BC"/>
    <w:rsid w:val="08AD1E14"/>
    <w:rsid w:val="08B29F96"/>
    <w:rsid w:val="08B4C8E9"/>
    <w:rsid w:val="08BA1183"/>
    <w:rsid w:val="08BBF347"/>
    <w:rsid w:val="08BD599C"/>
    <w:rsid w:val="08D35289"/>
    <w:rsid w:val="08D36B52"/>
    <w:rsid w:val="08D37D12"/>
    <w:rsid w:val="08D9CF6A"/>
    <w:rsid w:val="08DFC0DF"/>
    <w:rsid w:val="08E11648"/>
    <w:rsid w:val="08E4C9A5"/>
    <w:rsid w:val="08E4EECC"/>
    <w:rsid w:val="08E66CD7"/>
    <w:rsid w:val="08EDE0DB"/>
    <w:rsid w:val="08F03D4D"/>
    <w:rsid w:val="08F35D2D"/>
    <w:rsid w:val="08F3609F"/>
    <w:rsid w:val="08F6CBCC"/>
    <w:rsid w:val="08FF5DEA"/>
    <w:rsid w:val="0905531B"/>
    <w:rsid w:val="09066B53"/>
    <w:rsid w:val="09126C82"/>
    <w:rsid w:val="09139E3A"/>
    <w:rsid w:val="0914E4D5"/>
    <w:rsid w:val="091E714E"/>
    <w:rsid w:val="09214F31"/>
    <w:rsid w:val="092569F4"/>
    <w:rsid w:val="092769BC"/>
    <w:rsid w:val="092C761E"/>
    <w:rsid w:val="0930724D"/>
    <w:rsid w:val="093A8E72"/>
    <w:rsid w:val="093B8595"/>
    <w:rsid w:val="093C0EDA"/>
    <w:rsid w:val="09423E74"/>
    <w:rsid w:val="0951E6A6"/>
    <w:rsid w:val="0954D1F1"/>
    <w:rsid w:val="095893A7"/>
    <w:rsid w:val="095B6043"/>
    <w:rsid w:val="095BE104"/>
    <w:rsid w:val="095FCE02"/>
    <w:rsid w:val="09600D86"/>
    <w:rsid w:val="09603093"/>
    <w:rsid w:val="0961FF23"/>
    <w:rsid w:val="096770E0"/>
    <w:rsid w:val="096C26E4"/>
    <w:rsid w:val="096CF080"/>
    <w:rsid w:val="096E8619"/>
    <w:rsid w:val="0973D9C7"/>
    <w:rsid w:val="097DC8AF"/>
    <w:rsid w:val="098DBA40"/>
    <w:rsid w:val="098EE941"/>
    <w:rsid w:val="098F64DF"/>
    <w:rsid w:val="09A31B5F"/>
    <w:rsid w:val="09BBED14"/>
    <w:rsid w:val="09BD6A80"/>
    <w:rsid w:val="09CC60FB"/>
    <w:rsid w:val="09E0A5B8"/>
    <w:rsid w:val="09E195E9"/>
    <w:rsid w:val="09E1E6A0"/>
    <w:rsid w:val="09E467C4"/>
    <w:rsid w:val="09E64756"/>
    <w:rsid w:val="09E6830D"/>
    <w:rsid w:val="09E96CFB"/>
    <w:rsid w:val="09ED6EB0"/>
    <w:rsid w:val="09F82DCF"/>
    <w:rsid w:val="09FBE79F"/>
    <w:rsid w:val="09FF45BB"/>
    <w:rsid w:val="0A007709"/>
    <w:rsid w:val="0A026BF6"/>
    <w:rsid w:val="0A0335E3"/>
    <w:rsid w:val="0A05C95D"/>
    <w:rsid w:val="0A05D703"/>
    <w:rsid w:val="0A0D2276"/>
    <w:rsid w:val="0A11FDFD"/>
    <w:rsid w:val="0A1E810D"/>
    <w:rsid w:val="0A1F8B04"/>
    <w:rsid w:val="0A28BD3C"/>
    <w:rsid w:val="0A2A4593"/>
    <w:rsid w:val="0A2BBDFD"/>
    <w:rsid w:val="0A2EE635"/>
    <w:rsid w:val="0A2FD163"/>
    <w:rsid w:val="0A348FFE"/>
    <w:rsid w:val="0A38F164"/>
    <w:rsid w:val="0A4306D2"/>
    <w:rsid w:val="0A47FB7A"/>
    <w:rsid w:val="0A480BEC"/>
    <w:rsid w:val="0A4B0029"/>
    <w:rsid w:val="0A4BD7AD"/>
    <w:rsid w:val="0A4C569A"/>
    <w:rsid w:val="0A554BB7"/>
    <w:rsid w:val="0A5594AF"/>
    <w:rsid w:val="0A5956D0"/>
    <w:rsid w:val="0A5A9354"/>
    <w:rsid w:val="0A63B493"/>
    <w:rsid w:val="0A6D12C2"/>
    <w:rsid w:val="0A753CFA"/>
    <w:rsid w:val="0A844B5E"/>
    <w:rsid w:val="0A89F374"/>
    <w:rsid w:val="0A8A5F45"/>
    <w:rsid w:val="0A918FA3"/>
    <w:rsid w:val="0A9D1054"/>
    <w:rsid w:val="0AA30B0E"/>
    <w:rsid w:val="0AABE293"/>
    <w:rsid w:val="0AAFF4F7"/>
    <w:rsid w:val="0ABF5829"/>
    <w:rsid w:val="0AC4A5ED"/>
    <w:rsid w:val="0AD33FB2"/>
    <w:rsid w:val="0AD76290"/>
    <w:rsid w:val="0AD85592"/>
    <w:rsid w:val="0AD91F3D"/>
    <w:rsid w:val="0ADD5508"/>
    <w:rsid w:val="0ADE6308"/>
    <w:rsid w:val="0AE04E0D"/>
    <w:rsid w:val="0AE0DDF9"/>
    <w:rsid w:val="0AE41FDF"/>
    <w:rsid w:val="0AEF2784"/>
    <w:rsid w:val="0AF500EC"/>
    <w:rsid w:val="0AFD1A16"/>
    <w:rsid w:val="0AFDB9C2"/>
    <w:rsid w:val="0B020ACB"/>
    <w:rsid w:val="0B0A8B66"/>
    <w:rsid w:val="0B0C6D79"/>
    <w:rsid w:val="0B225C01"/>
    <w:rsid w:val="0B2C6CD6"/>
    <w:rsid w:val="0B39E278"/>
    <w:rsid w:val="0B3B4E09"/>
    <w:rsid w:val="0B442CB1"/>
    <w:rsid w:val="0B479435"/>
    <w:rsid w:val="0B5060D8"/>
    <w:rsid w:val="0B51F148"/>
    <w:rsid w:val="0B5381FA"/>
    <w:rsid w:val="0B553ACA"/>
    <w:rsid w:val="0B595893"/>
    <w:rsid w:val="0B5F2000"/>
    <w:rsid w:val="0B64CE71"/>
    <w:rsid w:val="0B7803D3"/>
    <w:rsid w:val="0B7BD761"/>
    <w:rsid w:val="0B88016C"/>
    <w:rsid w:val="0B8B932B"/>
    <w:rsid w:val="0B9E8253"/>
    <w:rsid w:val="0BA62E25"/>
    <w:rsid w:val="0BADB4B6"/>
    <w:rsid w:val="0BB39295"/>
    <w:rsid w:val="0BB608FE"/>
    <w:rsid w:val="0BB75D0C"/>
    <w:rsid w:val="0BBE6289"/>
    <w:rsid w:val="0BC0288F"/>
    <w:rsid w:val="0BC523A1"/>
    <w:rsid w:val="0BD9F3FA"/>
    <w:rsid w:val="0BDA4A78"/>
    <w:rsid w:val="0BDAAA99"/>
    <w:rsid w:val="0BDCAF4B"/>
    <w:rsid w:val="0BDCFF29"/>
    <w:rsid w:val="0BE3E7EC"/>
    <w:rsid w:val="0BEA1DBD"/>
    <w:rsid w:val="0BEB207C"/>
    <w:rsid w:val="0BF3C685"/>
    <w:rsid w:val="0C05ABEC"/>
    <w:rsid w:val="0C08A2D6"/>
    <w:rsid w:val="0C0AFCC6"/>
    <w:rsid w:val="0C1353EA"/>
    <w:rsid w:val="0C229F32"/>
    <w:rsid w:val="0C25D06F"/>
    <w:rsid w:val="0C26BFA2"/>
    <w:rsid w:val="0C2B5B9F"/>
    <w:rsid w:val="0C35E739"/>
    <w:rsid w:val="0C3DA487"/>
    <w:rsid w:val="0C417ABE"/>
    <w:rsid w:val="0C447709"/>
    <w:rsid w:val="0C49C55E"/>
    <w:rsid w:val="0C4FCE30"/>
    <w:rsid w:val="0C572A8D"/>
    <w:rsid w:val="0C5F7CF7"/>
    <w:rsid w:val="0C611891"/>
    <w:rsid w:val="0C62988E"/>
    <w:rsid w:val="0C6B4EB9"/>
    <w:rsid w:val="0C754024"/>
    <w:rsid w:val="0C780626"/>
    <w:rsid w:val="0C78FDDF"/>
    <w:rsid w:val="0C7A86E3"/>
    <w:rsid w:val="0C7BA9ED"/>
    <w:rsid w:val="0C90A394"/>
    <w:rsid w:val="0C948F1B"/>
    <w:rsid w:val="0C953425"/>
    <w:rsid w:val="0C97F328"/>
    <w:rsid w:val="0C9BCAD7"/>
    <w:rsid w:val="0CA05F91"/>
    <w:rsid w:val="0CA49142"/>
    <w:rsid w:val="0CA813A4"/>
    <w:rsid w:val="0CAE81B7"/>
    <w:rsid w:val="0CB58FD1"/>
    <w:rsid w:val="0CBF4DFB"/>
    <w:rsid w:val="0CC32810"/>
    <w:rsid w:val="0CC4450B"/>
    <w:rsid w:val="0CC4DAEE"/>
    <w:rsid w:val="0CC705A1"/>
    <w:rsid w:val="0CCAACA0"/>
    <w:rsid w:val="0CCB13BE"/>
    <w:rsid w:val="0CCD8400"/>
    <w:rsid w:val="0CD6E795"/>
    <w:rsid w:val="0CE129B4"/>
    <w:rsid w:val="0CE4F4AE"/>
    <w:rsid w:val="0CE752B4"/>
    <w:rsid w:val="0CE913AB"/>
    <w:rsid w:val="0CE91AC5"/>
    <w:rsid w:val="0CEB3E89"/>
    <w:rsid w:val="0CF21D70"/>
    <w:rsid w:val="0CFA16AF"/>
    <w:rsid w:val="0CFF2D63"/>
    <w:rsid w:val="0D03B514"/>
    <w:rsid w:val="0D0C3EB9"/>
    <w:rsid w:val="0D0E61A1"/>
    <w:rsid w:val="0D134775"/>
    <w:rsid w:val="0D1D2C03"/>
    <w:rsid w:val="0D213567"/>
    <w:rsid w:val="0D27565D"/>
    <w:rsid w:val="0D2A10D4"/>
    <w:rsid w:val="0D2A6DD2"/>
    <w:rsid w:val="0D2C5193"/>
    <w:rsid w:val="0D2DB504"/>
    <w:rsid w:val="0D3205A8"/>
    <w:rsid w:val="0D3AD6A5"/>
    <w:rsid w:val="0D3BD8B6"/>
    <w:rsid w:val="0D3DDE5F"/>
    <w:rsid w:val="0D42408D"/>
    <w:rsid w:val="0D498517"/>
    <w:rsid w:val="0D49A1BD"/>
    <w:rsid w:val="0D49FC4A"/>
    <w:rsid w:val="0D4F38AA"/>
    <w:rsid w:val="0D57068A"/>
    <w:rsid w:val="0D570B03"/>
    <w:rsid w:val="0D5C2857"/>
    <w:rsid w:val="0D60EB85"/>
    <w:rsid w:val="0D654A20"/>
    <w:rsid w:val="0D74D5E2"/>
    <w:rsid w:val="0D791541"/>
    <w:rsid w:val="0D7B3C35"/>
    <w:rsid w:val="0D7CC2A0"/>
    <w:rsid w:val="0D7D4EDF"/>
    <w:rsid w:val="0D838122"/>
    <w:rsid w:val="0D843D13"/>
    <w:rsid w:val="0D87BE95"/>
    <w:rsid w:val="0D8E3AAD"/>
    <w:rsid w:val="0D923134"/>
    <w:rsid w:val="0D92A597"/>
    <w:rsid w:val="0D95E7CE"/>
    <w:rsid w:val="0D9F7584"/>
    <w:rsid w:val="0DA86BD9"/>
    <w:rsid w:val="0DAC848E"/>
    <w:rsid w:val="0DAFC3E9"/>
    <w:rsid w:val="0DB13ECD"/>
    <w:rsid w:val="0DB3BDDD"/>
    <w:rsid w:val="0DB52E13"/>
    <w:rsid w:val="0DB53435"/>
    <w:rsid w:val="0DB854B8"/>
    <w:rsid w:val="0DBD23C2"/>
    <w:rsid w:val="0DBDBE48"/>
    <w:rsid w:val="0DBDE9B4"/>
    <w:rsid w:val="0DBEB647"/>
    <w:rsid w:val="0DC52ED9"/>
    <w:rsid w:val="0DCAFC71"/>
    <w:rsid w:val="0DD426D0"/>
    <w:rsid w:val="0DDDF151"/>
    <w:rsid w:val="0DDFDB04"/>
    <w:rsid w:val="0DE76727"/>
    <w:rsid w:val="0DEAA95D"/>
    <w:rsid w:val="0DF1353D"/>
    <w:rsid w:val="0DF719AE"/>
    <w:rsid w:val="0E055C35"/>
    <w:rsid w:val="0E0C6405"/>
    <w:rsid w:val="0E1298E9"/>
    <w:rsid w:val="0E2BDE7F"/>
    <w:rsid w:val="0E3903FA"/>
    <w:rsid w:val="0E39965A"/>
    <w:rsid w:val="0E425D3D"/>
    <w:rsid w:val="0E497CE4"/>
    <w:rsid w:val="0E49BA0F"/>
    <w:rsid w:val="0E4A82E2"/>
    <w:rsid w:val="0E4FC14A"/>
    <w:rsid w:val="0E51E9A5"/>
    <w:rsid w:val="0E540645"/>
    <w:rsid w:val="0E5A3FD2"/>
    <w:rsid w:val="0E70565B"/>
    <w:rsid w:val="0E832EA8"/>
    <w:rsid w:val="0E963081"/>
    <w:rsid w:val="0E99C10B"/>
    <w:rsid w:val="0E9D29A8"/>
    <w:rsid w:val="0E9F90C2"/>
    <w:rsid w:val="0E9FECC4"/>
    <w:rsid w:val="0EA1B877"/>
    <w:rsid w:val="0EA42A25"/>
    <w:rsid w:val="0EA5B367"/>
    <w:rsid w:val="0EB8917D"/>
    <w:rsid w:val="0EC7C1E7"/>
    <w:rsid w:val="0ECC2431"/>
    <w:rsid w:val="0ED34479"/>
    <w:rsid w:val="0ED716BA"/>
    <w:rsid w:val="0EE33A19"/>
    <w:rsid w:val="0EE4B084"/>
    <w:rsid w:val="0EE846A4"/>
    <w:rsid w:val="0EEC4DB6"/>
    <w:rsid w:val="0EED049A"/>
    <w:rsid w:val="0EED1773"/>
    <w:rsid w:val="0EF0A79F"/>
    <w:rsid w:val="0EFC4094"/>
    <w:rsid w:val="0EFCB263"/>
    <w:rsid w:val="0F0253C6"/>
    <w:rsid w:val="0F126ECD"/>
    <w:rsid w:val="0F157850"/>
    <w:rsid w:val="0F17F5CE"/>
    <w:rsid w:val="0F1D7B06"/>
    <w:rsid w:val="0F1E6DBA"/>
    <w:rsid w:val="0F27BCB1"/>
    <w:rsid w:val="0F295667"/>
    <w:rsid w:val="0F2A0B0E"/>
    <w:rsid w:val="0F2ADFEF"/>
    <w:rsid w:val="0F2F3130"/>
    <w:rsid w:val="0F412404"/>
    <w:rsid w:val="0F495693"/>
    <w:rsid w:val="0F4A0A82"/>
    <w:rsid w:val="0F4E0123"/>
    <w:rsid w:val="0F4EE28C"/>
    <w:rsid w:val="0F5D7131"/>
    <w:rsid w:val="0F5E8D63"/>
    <w:rsid w:val="0F5FBDCF"/>
    <w:rsid w:val="0F6118C5"/>
    <w:rsid w:val="0F655EB7"/>
    <w:rsid w:val="0F6BF071"/>
    <w:rsid w:val="0F6F460E"/>
    <w:rsid w:val="0F76998E"/>
    <w:rsid w:val="0F7FD66F"/>
    <w:rsid w:val="0F81623E"/>
    <w:rsid w:val="0F92451B"/>
    <w:rsid w:val="0F981710"/>
    <w:rsid w:val="0F9A19F3"/>
    <w:rsid w:val="0F9FCAAB"/>
    <w:rsid w:val="0FA84408"/>
    <w:rsid w:val="0FAB8C49"/>
    <w:rsid w:val="0FACBF57"/>
    <w:rsid w:val="0FAE277A"/>
    <w:rsid w:val="0FBFF00E"/>
    <w:rsid w:val="0FC0B6AC"/>
    <w:rsid w:val="0FC4B21A"/>
    <w:rsid w:val="0FCBBCA7"/>
    <w:rsid w:val="0FCBF203"/>
    <w:rsid w:val="0FD0A364"/>
    <w:rsid w:val="0FD2187C"/>
    <w:rsid w:val="0FD2CE66"/>
    <w:rsid w:val="0FDB2B82"/>
    <w:rsid w:val="0FE86CA7"/>
    <w:rsid w:val="0FEA2FF7"/>
    <w:rsid w:val="0FEA6B88"/>
    <w:rsid w:val="0FEB40D9"/>
    <w:rsid w:val="0FEB8C44"/>
    <w:rsid w:val="0FEE2933"/>
    <w:rsid w:val="0FF06030"/>
    <w:rsid w:val="0FF1128B"/>
    <w:rsid w:val="0FF129F7"/>
    <w:rsid w:val="0FF17F19"/>
    <w:rsid w:val="0FF8699D"/>
    <w:rsid w:val="0FFFED84"/>
    <w:rsid w:val="10006AC9"/>
    <w:rsid w:val="10060AA4"/>
    <w:rsid w:val="100754E1"/>
    <w:rsid w:val="100C3A0E"/>
    <w:rsid w:val="1013A647"/>
    <w:rsid w:val="1013F706"/>
    <w:rsid w:val="1015496A"/>
    <w:rsid w:val="1025626B"/>
    <w:rsid w:val="10271FC1"/>
    <w:rsid w:val="1028AF88"/>
    <w:rsid w:val="10295EA6"/>
    <w:rsid w:val="102A6991"/>
    <w:rsid w:val="1031E3E5"/>
    <w:rsid w:val="10386D5E"/>
    <w:rsid w:val="103A319A"/>
    <w:rsid w:val="103A8F4E"/>
    <w:rsid w:val="1041F73C"/>
    <w:rsid w:val="10508B19"/>
    <w:rsid w:val="1054470B"/>
    <w:rsid w:val="105922E3"/>
    <w:rsid w:val="105B1F51"/>
    <w:rsid w:val="105BD5A1"/>
    <w:rsid w:val="106262FB"/>
    <w:rsid w:val="10676D35"/>
    <w:rsid w:val="1068CF8B"/>
    <w:rsid w:val="106EB62E"/>
    <w:rsid w:val="107121A6"/>
    <w:rsid w:val="107674C5"/>
    <w:rsid w:val="108308A4"/>
    <w:rsid w:val="1083C285"/>
    <w:rsid w:val="108EF39C"/>
    <w:rsid w:val="108FB5D9"/>
    <w:rsid w:val="1090C281"/>
    <w:rsid w:val="10931055"/>
    <w:rsid w:val="1095F799"/>
    <w:rsid w:val="1097AB78"/>
    <w:rsid w:val="109C13E6"/>
    <w:rsid w:val="10A0F73B"/>
    <w:rsid w:val="10A9ADAE"/>
    <w:rsid w:val="10B5C27E"/>
    <w:rsid w:val="10BC3502"/>
    <w:rsid w:val="10C01D44"/>
    <w:rsid w:val="10C3F827"/>
    <w:rsid w:val="10C4EF86"/>
    <w:rsid w:val="10CD8716"/>
    <w:rsid w:val="10D19D6A"/>
    <w:rsid w:val="10D3697F"/>
    <w:rsid w:val="10D5778E"/>
    <w:rsid w:val="10D8792D"/>
    <w:rsid w:val="10DD6651"/>
    <w:rsid w:val="10E5150D"/>
    <w:rsid w:val="10F03EA3"/>
    <w:rsid w:val="10FA0738"/>
    <w:rsid w:val="10FE2E03"/>
    <w:rsid w:val="11018A35"/>
    <w:rsid w:val="1104CC76"/>
    <w:rsid w:val="1107B023"/>
    <w:rsid w:val="110BDA21"/>
    <w:rsid w:val="111337C4"/>
    <w:rsid w:val="11138EB4"/>
    <w:rsid w:val="111C0132"/>
    <w:rsid w:val="111CE8BE"/>
    <w:rsid w:val="111DE1E2"/>
    <w:rsid w:val="1127282A"/>
    <w:rsid w:val="112D4AE9"/>
    <w:rsid w:val="112EB286"/>
    <w:rsid w:val="11322835"/>
    <w:rsid w:val="113BDBC9"/>
    <w:rsid w:val="11446788"/>
    <w:rsid w:val="11510F5B"/>
    <w:rsid w:val="115306EB"/>
    <w:rsid w:val="11532D2C"/>
    <w:rsid w:val="115DD68F"/>
    <w:rsid w:val="116080C8"/>
    <w:rsid w:val="1163C123"/>
    <w:rsid w:val="11689213"/>
    <w:rsid w:val="11694A72"/>
    <w:rsid w:val="117527CB"/>
    <w:rsid w:val="11754F8E"/>
    <w:rsid w:val="117ED9BE"/>
    <w:rsid w:val="11804F7A"/>
    <w:rsid w:val="118223A4"/>
    <w:rsid w:val="11863BE9"/>
    <w:rsid w:val="11875CA5"/>
    <w:rsid w:val="1188695D"/>
    <w:rsid w:val="118F4243"/>
    <w:rsid w:val="11910881"/>
    <w:rsid w:val="1192D61B"/>
    <w:rsid w:val="11984C11"/>
    <w:rsid w:val="11A429EE"/>
    <w:rsid w:val="11A6FB22"/>
    <w:rsid w:val="11A9B3B1"/>
    <w:rsid w:val="11AACE1B"/>
    <w:rsid w:val="11AFE85E"/>
    <w:rsid w:val="11B4AF12"/>
    <w:rsid w:val="11BA9A11"/>
    <w:rsid w:val="11C87C65"/>
    <w:rsid w:val="11CC1952"/>
    <w:rsid w:val="11DD828C"/>
    <w:rsid w:val="11E1FE39"/>
    <w:rsid w:val="11E44A57"/>
    <w:rsid w:val="11F03753"/>
    <w:rsid w:val="11F97FC9"/>
    <w:rsid w:val="1201F386"/>
    <w:rsid w:val="1202B075"/>
    <w:rsid w:val="120514FA"/>
    <w:rsid w:val="120F4B9D"/>
    <w:rsid w:val="12143494"/>
    <w:rsid w:val="12187CFB"/>
    <w:rsid w:val="121A5059"/>
    <w:rsid w:val="121F92E6"/>
    <w:rsid w:val="12249271"/>
    <w:rsid w:val="12289A81"/>
    <w:rsid w:val="123170FE"/>
    <w:rsid w:val="12333ABA"/>
    <w:rsid w:val="1236734B"/>
    <w:rsid w:val="123AC7AA"/>
    <w:rsid w:val="123CDDE0"/>
    <w:rsid w:val="1240DB51"/>
    <w:rsid w:val="12416224"/>
    <w:rsid w:val="124A71B8"/>
    <w:rsid w:val="12551BC8"/>
    <w:rsid w:val="125570F1"/>
    <w:rsid w:val="12560D25"/>
    <w:rsid w:val="1256CE44"/>
    <w:rsid w:val="12578416"/>
    <w:rsid w:val="125B1167"/>
    <w:rsid w:val="1269403A"/>
    <w:rsid w:val="1274126D"/>
    <w:rsid w:val="12750956"/>
    <w:rsid w:val="127F7C69"/>
    <w:rsid w:val="128227A0"/>
    <w:rsid w:val="12838B9B"/>
    <w:rsid w:val="128D4F1D"/>
    <w:rsid w:val="12941796"/>
    <w:rsid w:val="12989FFC"/>
    <w:rsid w:val="1298BCCD"/>
    <w:rsid w:val="129CF379"/>
    <w:rsid w:val="12A3B739"/>
    <w:rsid w:val="12B2F515"/>
    <w:rsid w:val="12B3AA17"/>
    <w:rsid w:val="12B62321"/>
    <w:rsid w:val="12C40EA3"/>
    <w:rsid w:val="12D67295"/>
    <w:rsid w:val="12D76B6D"/>
    <w:rsid w:val="12D8CD58"/>
    <w:rsid w:val="12E14AAE"/>
    <w:rsid w:val="12E17611"/>
    <w:rsid w:val="12F820A8"/>
    <w:rsid w:val="12F95348"/>
    <w:rsid w:val="13018347"/>
    <w:rsid w:val="1308CBA7"/>
    <w:rsid w:val="130A7CA8"/>
    <w:rsid w:val="130DBCF0"/>
    <w:rsid w:val="131877FF"/>
    <w:rsid w:val="13189691"/>
    <w:rsid w:val="131B9A48"/>
    <w:rsid w:val="1321F404"/>
    <w:rsid w:val="132265DB"/>
    <w:rsid w:val="13262FDA"/>
    <w:rsid w:val="132A363E"/>
    <w:rsid w:val="132A73E2"/>
    <w:rsid w:val="132F4002"/>
    <w:rsid w:val="133121FC"/>
    <w:rsid w:val="133567AC"/>
    <w:rsid w:val="133A5543"/>
    <w:rsid w:val="133A99A6"/>
    <w:rsid w:val="133E738D"/>
    <w:rsid w:val="134117F5"/>
    <w:rsid w:val="13422418"/>
    <w:rsid w:val="13424A60"/>
    <w:rsid w:val="13469D70"/>
    <w:rsid w:val="134B9EA1"/>
    <w:rsid w:val="134CBF55"/>
    <w:rsid w:val="134DE115"/>
    <w:rsid w:val="135079F9"/>
    <w:rsid w:val="135159FE"/>
    <w:rsid w:val="1356810D"/>
    <w:rsid w:val="136BE79A"/>
    <w:rsid w:val="136E6EE7"/>
    <w:rsid w:val="137142CE"/>
    <w:rsid w:val="13764BD5"/>
    <w:rsid w:val="13765861"/>
    <w:rsid w:val="138AEC7A"/>
    <w:rsid w:val="138D9D00"/>
    <w:rsid w:val="1395B3F5"/>
    <w:rsid w:val="1396B7AF"/>
    <w:rsid w:val="13992594"/>
    <w:rsid w:val="13998D74"/>
    <w:rsid w:val="139B361A"/>
    <w:rsid w:val="13A1F143"/>
    <w:rsid w:val="13AEF3D9"/>
    <w:rsid w:val="13B101D4"/>
    <w:rsid w:val="13B3643C"/>
    <w:rsid w:val="13B49817"/>
    <w:rsid w:val="13B8DEE1"/>
    <w:rsid w:val="13B93877"/>
    <w:rsid w:val="13BE269A"/>
    <w:rsid w:val="13C86288"/>
    <w:rsid w:val="13C88CD6"/>
    <w:rsid w:val="13C96D61"/>
    <w:rsid w:val="13CAEF09"/>
    <w:rsid w:val="13D98B2F"/>
    <w:rsid w:val="13DA6CF3"/>
    <w:rsid w:val="13DB93FD"/>
    <w:rsid w:val="13DC3DEA"/>
    <w:rsid w:val="13E2AA6E"/>
    <w:rsid w:val="13E2BFE8"/>
    <w:rsid w:val="13F31295"/>
    <w:rsid w:val="13FDF67A"/>
    <w:rsid w:val="13FE5112"/>
    <w:rsid w:val="14000A86"/>
    <w:rsid w:val="1406A0E0"/>
    <w:rsid w:val="140764B6"/>
    <w:rsid w:val="140B2C3F"/>
    <w:rsid w:val="14112A5D"/>
    <w:rsid w:val="1419E35D"/>
    <w:rsid w:val="14208051"/>
    <w:rsid w:val="1424C17F"/>
    <w:rsid w:val="14291F7E"/>
    <w:rsid w:val="142D867C"/>
    <w:rsid w:val="142E9FB9"/>
    <w:rsid w:val="1433DEC8"/>
    <w:rsid w:val="1438CFDA"/>
    <w:rsid w:val="14430E45"/>
    <w:rsid w:val="144CA8AF"/>
    <w:rsid w:val="1453A5B2"/>
    <w:rsid w:val="1453DEF7"/>
    <w:rsid w:val="145E1678"/>
    <w:rsid w:val="14609C46"/>
    <w:rsid w:val="1466171F"/>
    <w:rsid w:val="1467FA70"/>
    <w:rsid w:val="146B1204"/>
    <w:rsid w:val="146B9327"/>
    <w:rsid w:val="146D50CA"/>
    <w:rsid w:val="146F4541"/>
    <w:rsid w:val="14785C2C"/>
    <w:rsid w:val="147B3568"/>
    <w:rsid w:val="147F5BD1"/>
    <w:rsid w:val="1480EC8F"/>
    <w:rsid w:val="1484B86E"/>
    <w:rsid w:val="1485A337"/>
    <w:rsid w:val="1493C7F3"/>
    <w:rsid w:val="1493F029"/>
    <w:rsid w:val="14B6306D"/>
    <w:rsid w:val="14B73037"/>
    <w:rsid w:val="14BACF88"/>
    <w:rsid w:val="14CCE1DB"/>
    <w:rsid w:val="14D788F1"/>
    <w:rsid w:val="14DBC113"/>
    <w:rsid w:val="14DFAB31"/>
    <w:rsid w:val="14E0D92E"/>
    <w:rsid w:val="14E2FCC4"/>
    <w:rsid w:val="14E30881"/>
    <w:rsid w:val="14E37B46"/>
    <w:rsid w:val="14E566F7"/>
    <w:rsid w:val="14E685DB"/>
    <w:rsid w:val="14EA4D4D"/>
    <w:rsid w:val="14EA91B7"/>
    <w:rsid w:val="14EEB186"/>
    <w:rsid w:val="14F99BAC"/>
    <w:rsid w:val="14FB58AC"/>
    <w:rsid w:val="14FBD744"/>
    <w:rsid w:val="14FD0D62"/>
    <w:rsid w:val="15057D98"/>
    <w:rsid w:val="1508F87F"/>
    <w:rsid w:val="150C3BFC"/>
    <w:rsid w:val="151135BF"/>
    <w:rsid w:val="1512D381"/>
    <w:rsid w:val="151CF1CA"/>
    <w:rsid w:val="15295CA9"/>
    <w:rsid w:val="152AA6CF"/>
    <w:rsid w:val="1532AA7F"/>
    <w:rsid w:val="15377F28"/>
    <w:rsid w:val="154687CC"/>
    <w:rsid w:val="154D2392"/>
    <w:rsid w:val="1550E211"/>
    <w:rsid w:val="15541D01"/>
    <w:rsid w:val="155496FC"/>
    <w:rsid w:val="155A04F2"/>
    <w:rsid w:val="155C461E"/>
    <w:rsid w:val="157C77F9"/>
    <w:rsid w:val="157DEA01"/>
    <w:rsid w:val="157F384C"/>
    <w:rsid w:val="158B09C5"/>
    <w:rsid w:val="158C0865"/>
    <w:rsid w:val="158DD727"/>
    <w:rsid w:val="159033B1"/>
    <w:rsid w:val="159797DC"/>
    <w:rsid w:val="159A05D9"/>
    <w:rsid w:val="15A05FAF"/>
    <w:rsid w:val="15A45543"/>
    <w:rsid w:val="15A8CFE5"/>
    <w:rsid w:val="15A8E2E5"/>
    <w:rsid w:val="15AF9566"/>
    <w:rsid w:val="15B2544D"/>
    <w:rsid w:val="15B4142A"/>
    <w:rsid w:val="15B4E58E"/>
    <w:rsid w:val="15B79673"/>
    <w:rsid w:val="15BBC240"/>
    <w:rsid w:val="15BC6B73"/>
    <w:rsid w:val="15C2E3CA"/>
    <w:rsid w:val="15C9BBE1"/>
    <w:rsid w:val="15CB2642"/>
    <w:rsid w:val="15CE05BC"/>
    <w:rsid w:val="15D195AB"/>
    <w:rsid w:val="15D19F26"/>
    <w:rsid w:val="15D73E39"/>
    <w:rsid w:val="15D93A51"/>
    <w:rsid w:val="15DCD559"/>
    <w:rsid w:val="15DE1040"/>
    <w:rsid w:val="15EDCFC8"/>
    <w:rsid w:val="15EE00E3"/>
    <w:rsid w:val="15EF005C"/>
    <w:rsid w:val="15F2D75C"/>
    <w:rsid w:val="15F745BD"/>
    <w:rsid w:val="15FBCA26"/>
    <w:rsid w:val="15FEB2D3"/>
    <w:rsid w:val="1601DF9F"/>
    <w:rsid w:val="16112079"/>
    <w:rsid w:val="1613D614"/>
    <w:rsid w:val="16154EB9"/>
    <w:rsid w:val="1616ABEF"/>
    <w:rsid w:val="16185C3A"/>
    <w:rsid w:val="1627DBA1"/>
    <w:rsid w:val="162C30C5"/>
    <w:rsid w:val="162ECD8A"/>
    <w:rsid w:val="162F889F"/>
    <w:rsid w:val="162F9854"/>
    <w:rsid w:val="16355874"/>
    <w:rsid w:val="1636ECA3"/>
    <w:rsid w:val="163CAE28"/>
    <w:rsid w:val="16445A8F"/>
    <w:rsid w:val="1645D2CF"/>
    <w:rsid w:val="16466540"/>
    <w:rsid w:val="164ECEE1"/>
    <w:rsid w:val="16541383"/>
    <w:rsid w:val="165A9EA7"/>
    <w:rsid w:val="165DD09C"/>
    <w:rsid w:val="165F7B2C"/>
    <w:rsid w:val="166BD6A0"/>
    <w:rsid w:val="16751830"/>
    <w:rsid w:val="16760CAC"/>
    <w:rsid w:val="168238AC"/>
    <w:rsid w:val="1688EC4E"/>
    <w:rsid w:val="168A04C9"/>
    <w:rsid w:val="168DE5B7"/>
    <w:rsid w:val="169980DB"/>
    <w:rsid w:val="169F8A75"/>
    <w:rsid w:val="16A14266"/>
    <w:rsid w:val="16A14DF9"/>
    <w:rsid w:val="16A24C3C"/>
    <w:rsid w:val="16A8C0C1"/>
    <w:rsid w:val="16AB7E69"/>
    <w:rsid w:val="16BA067A"/>
    <w:rsid w:val="16BCB6AD"/>
    <w:rsid w:val="16CC1F8D"/>
    <w:rsid w:val="16D0E060"/>
    <w:rsid w:val="16D83C79"/>
    <w:rsid w:val="16D8D1BA"/>
    <w:rsid w:val="16DA5BBB"/>
    <w:rsid w:val="16DC7CF0"/>
    <w:rsid w:val="16E44BAF"/>
    <w:rsid w:val="16E4E5AF"/>
    <w:rsid w:val="16E73D8D"/>
    <w:rsid w:val="16E85B29"/>
    <w:rsid w:val="16EB7E9C"/>
    <w:rsid w:val="16EDCBDB"/>
    <w:rsid w:val="16F52B85"/>
    <w:rsid w:val="16F7C1EB"/>
    <w:rsid w:val="16F9AA62"/>
    <w:rsid w:val="16FE32C2"/>
    <w:rsid w:val="1702DB36"/>
    <w:rsid w:val="1704EFCB"/>
    <w:rsid w:val="170B3EB9"/>
    <w:rsid w:val="170F79E3"/>
    <w:rsid w:val="17124E29"/>
    <w:rsid w:val="171941EE"/>
    <w:rsid w:val="171C8FD6"/>
    <w:rsid w:val="1721156F"/>
    <w:rsid w:val="1727D8A3"/>
    <w:rsid w:val="172DDF46"/>
    <w:rsid w:val="172E428D"/>
    <w:rsid w:val="1736CEC2"/>
    <w:rsid w:val="17375190"/>
    <w:rsid w:val="1738A6BC"/>
    <w:rsid w:val="174657CA"/>
    <w:rsid w:val="17578C0D"/>
    <w:rsid w:val="175904B1"/>
    <w:rsid w:val="1760B844"/>
    <w:rsid w:val="1763D2EB"/>
    <w:rsid w:val="176B16D2"/>
    <w:rsid w:val="1771DEB7"/>
    <w:rsid w:val="17770256"/>
    <w:rsid w:val="177DDC84"/>
    <w:rsid w:val="17831778"/>
    <w:rsid w:val="17853E58"/>
    <w:rsid w:val="178F355B"/>
    <w:rsid w:val="179265D1"/>
    <w:rsid w:val="179E153D"/>
    <w:rsid w:val="17A5D0FA"/>
    <w:rsid w:val="17B0FB28"/>
    <w:rsid w:val="17B6E98A"/>
    <w:rsid w:val="17C02186"/>
    <w:rsid w:val="17C139D0"/>
    <w:rsid w:val="17C77659"/>
    <w:rsid w:val="17C80126"/>
    <w:rsid w:val="17CC052C"/>
    <w:rsid w:val="17D1A016"/>
    <w:rsid w:val="17DE7D7E"/>
    <w:rsid w:val="17E078A0"/>
    <w:rsid w:val="17E3E169"/>
    <w:rsid w:val="17E464D5"/>
    <w:rsid w:val="17E47F04"/>
    <w:rsid w:val="17E57EA6"/>
    <w:rsid w:val="17E90595"/>
    <w:rsid w:val="17ECA685"/>
    <w:rsid w:val="17ECAC51"/>
    <w:rsid w:val="17EFCB9A"/>
    <w:rsid w:val="17F2E255"/>
    <w:rsid w:val="17F4E427"/>
    <w:rsid w:val="17F8D94B"/>
    <w:rsid w:val="17F92C4A"/>
    <w:rsid w:val="17FF3A86"/>
    <w:rsid w:val="1803205F"/>
    <w:rsid w:val="18073578"/>
    <w:rsid w:val="1809A50D"/>
    <w:rsid w:val="18157DAD"/>
    <w:rsid w:val="181A9D86"/>
    <w:rsid w:val="1824AA70"/>
    <w:rsid w:val="182B0D0D"/>
    <w:rsid w:val="18363F03"/>
    <w:rsid w:val="18368FF4"/>
    <w:rsid w:val="1836DE2D"/>
    <w:rsid w:val="183B238C"/>
    <w:rsid w:val="184BE406"/>
    <w:rsid w:val="184D3723"/>
    <w:rsid w:val="184F9326"/>
    <w:rsid w:val="184FBD01"/>
    <w:rsid w:val="18595084"/>
    <w:rsid w:val="186B5ACF"/>
    <w:rsid w:val="186CFCF6"/>
    <w:rsid w:val="186D74E0"/>
    <w:rsid w:val="186F5A76"/>
    <w:rsid w:val="18728040"/>
    <w:rsid w:val="1874A21B"/>
    <w:rsid w:val="187896CD"/>
    <w:rsid w:val="187EAF24"/>
    <w:rsid w:val="18809A4F"/>
    <w:rsid w:val="18833470"/>
    <w:rsid w:val="188881C7"/>
    <w:rsid w:val="1889C041"/>
    <w:rsid w:val="188C37BE"/>
    <w:rsid w:val="188C7241"/>
    <w:rsid w:val="188FE8E8"/>
    <w:rsid w:val="18915FD9"/>
    <w:rsid w:val="1893D3F5"/>
    <w:rsid w:val="18953B07"/>
    <w:rsid w:val="1895E6C1"/>
    <w:rsid w:val="189B23ED"/>
    <w:rsid w:val="189F811A"/>
    <w:rsid w:val="18A36E29"/>
    <w:rsid w:val="18AFDA5A"/>
    <w:rsid w:val="18B04D82"/>
    <w:rsid w:val="18B178A2"/>
    <w:rsid w:val="18B418BB"/>
    <w:rsid w:val="18BF5A29"/>
    <w:rsid w:val="18C0875E"/>
    <w:rsid w:val="18C170F7"/>
    <w:rsid w:val="18C68AA6"/>
    <w:rsid w:val="18CA3C69"/>
    <w:rsid w:val="18CD789D"/>
    <w:rsid w:val="18DEAA94"/>
    <w:rsid w:val="18E54234"/>
    <w:rsid w:val="18EB1E80"/>
    <w:rsid w:val="18F41148"/>
    <w:rsid w:val="190703E1"/>
    <w:rsid w:val="1912646D"/>
    <w:rsid w:val="1925D0F9"/>
    <w:rsid w:val="192939CF"/>
    <w:rsid w:val="1938A24D"/>
    <w:rsid w:val="19391B30"/>
    <w:rsid w:val="1944BB97"/>
    <w:rsid w:val="194AC875"/>
    <w:rsid w:val="194C57E5"/>
    <w:rsid w:val="194D1029"/>
    <w:rsid w:val="194E09EC"/>
    <w:rsid w:val="194E57A7"/>
    <w:rsid w:val="194EC013"/>
    <w:rsid w:val="195282E2"/>
    <w:rsid w:val="195F6BEE"/>
    <w:rsid w:val="19618719"/>
    <w:rsid w:val="19661685"/>
    <w:rsid w:val="1966D254"/>
    <w:rsid w:val="196C27C2"/>
    <w:rsid w:val="1971F4FD"/>
    <w:rsid w:val="197A3C78"/>
    <w:rsid w:val="197D7391"/>
    <w:rsid w:val="197F3392"/>
    <w:rsid w:val="19800DDF"/>
    <w:rsid w:val="1985AE44"/>
    <w:rsid w:val="1987A9D3"/>
    <w:rsid w:val="199654C3"/>
    <w:rsid w:val="199825B1"/>
    <w:rsid w:val="19A10122"/>
    <w:rsid w:val="19A16030"/>
    <w:rsid w:val="19A65643"/>
    <w:rsid w:val="19B87446"/>
    <w:rsid w:val="19CABB94"/>
    <w:rsid w:val="19D1A560"/>
    <w:rsid w:val="19D40219"/>
    <w:rsid w:val="19DC00CB"/>
    <w:rsid w:val="19DDBB03"/>
    <w:rsid w:val="19E5F761"/>
    <w:rsid w:val="19EA7434"/>
    <w:rsid w:val="19ED872D"/>
    <w:rsid w:val="19EFF5C1"/>
    <w:rsid w:val="19F44E0B"/>
    <w:rsid w:val="1A0B2AD7"/>
    <w:rsid w:val="1A0D5813"/>
    <w:rsid w:val="1A26DE04"/>
    <w:rsid w:val="1A27C976"/>
    <w:rsid w:val="1A2F3CC0"/>
    <w:rsid w:val="1A33634D"/>
    <w:rsid w:val="1A3E6FE3"/>
    <w:rsid w:val="1A48DF9E"/>
    <w:rsid w:val="1A49E360"/>
    <w:rsid w:val="1A4A0448"/>
    <w:rsid w:val="1A4A0944"/>
    <w:rsid w:val="1A4BAABB"/>
    <w:rsid w:val="1A4C7409"/>
    <w:rsid w:val="1A4EA724"/>
    <w:rsid w:val="1A4FA7F5"/>
    <w:rsid w:val="1A52A96F"/>
    <w:rsid w:val="1A550CC4"/>
    <w:rsid w:val="1A5A6054"/>
    <w:rsid w:val="1A5DDD6A"/>
    <w:rsid w:val="1A687F0F"/>
    <w:rsid w:val="1A736C55"/>
    <w:rsid w:val="1A758762"/>
    <w:rsid w:val="1A7A3FF1"/>
    <w:rsid w:val="1A7B6CC6"/>
    <w:rsid w:val="1A7B7C33"/>
    <w:rsid w:val="1A7F2452"/>
    <w:rsid w:val="1A88CE6C"/>
    <w:rsid w:val="1A8A45DC"/>
    <w:rsid w:val="1A8C3C12"/>
    <w:rsid w:val="1A8D359D"/>
    <w:rsid w:val="1AA91DE3"/>
    <w:rsid w:val="1AAB82BE"/>
    <w:rsid w:val="1AAB8C77"/>
    <w:rsid w:val="1AB922F6"/>
    <w:rsid w:val="1ABC7459"/>
    <w:rsid w:val="1AC51528"/>
    <w:rsid w:val="1ACC6089"/>
    <w:rsid w:val="1ACE5C97"/>
    <w:rsid w:val="1AD59CB6"/>
    <w:rsid w:val="1AD67290"/>
    <w:rsid w:val="1AEC5692"/>
    <w:rsid w:val="1AEDE6FD"/>
    <w:rsid w:val="1AF14341"/>
    <w:rsid w:val="1AF41998"/>
    <w:rsid w:val="1AF8DB3F"/>
    <w:rsid w:val="1AFEB1B3"/>
    <w:rsid w:val="1B02351A"/>
    <w:rsid w:val="1B02F1B0"/>
    <w:rsid w:val="1B05CE5C"/>
    <w:rsid w:val="1B0A6572"/>
    <w:rsid w:val="1B1028A1"/>
    <w:rsid w:val="1B2671BB"/>
    <w:rsid w:val="1B2D4A14"/>
    <w:rsid w:val="1B34B50B"/>
    <w:rsid w:val="1B38C960"/>
    <w:rsid w:val="1B3993BD"/>
    <w:rsid w:val="1B41DD17"/>
    <w:rsid w:val="1B43CEEE"/>
    <w:rsid w:val="1B486A95"/>
    <w:rsid w:val="1B550B3D"/>
    <w:rsid w:val="1B594018"/>
    <w:rsid w:val="1B5AAA50"/>
    <w:rsid w:val="1B5CEB58"/>
    <w:rsid w:val="1B61F3A9"/>
    <w:rsid w:val="1B6A9A30"/>
    <w:rsid w:val="1B76E5DF"/>
    <w:rsid w:val="1B788611"/>
    <w:rsid w:val="1B7980CC"/>
    <w:rsid w:val="1B7A9236"/>
    <w:rsid w:val="1B81C7C2"/>
    <w:rsid w:val="1B8B948A"/>
    <w:rsid w:val="1BA189CD"/>
    <w:rsid w:val="1BA3EA1F"/>
    <w:rsid w:val="1BA66698"/>
    <w:rsid w:val="1BAA46E5"/>
    <w:rsid w:val="1BAF291F"/>
    <w:rsid w:val="1BB91FF6"/>
    <w:rsid w:val="1BBD87EE"/>
    <w:rsid w:val="1BC24FDD"/>
    <w:rsid w:val="1BD3A36A"/>
    <w:rsid w:val="1BD96515"/>
    <w:rsid w:val="1BDA11EE"/>
    <w:rsid w:val="1BDCBB1F"/>
    <w:rsid w:val="1BDD59AE"/>
    <w:rsid w:val="1BDE8555"/>
    <w:rsid w:val="1BE0842B"/>
    <w:rsid w:val="1BE55C6C"/>
    <w:rsid w:val="1BE77B1C"/>
    <w:rsid w:val="1BED9D3B"/>
    <w:rsid w:val="1BEE2902"/>
    <w:rsid w:val="1BEEF758"/>
    <w:rsid w:val="1BEFD8A7"/>
    <w:rsid w:val="1BF0C1F2"/>
    <w:rsid w:val="1BF7533F"/>
    <w:rsid w:val="1C11CED9"/>
    <w:rsid w:val="1C1CD6E4"/>
    <w:rsid w:val="1C25AFBE"/>
    <w:rsid w:val="1C2856DF"/>
    <w:rsid w:val="1C342967"/>
    <w:rsid w:val="1C35FDEA"/>
    <w:rsid w:val="1C3B1007"/>
    <w:rsid w:val="1C3BD129"/>
    <w:rsid w:val="1C3DEC72"/>
    <w:rsid w:val="1C4170D0"/>
    <w:rsid w:val="1C50EFEA"/>
    <w:rsid w:val="1C54A2BA"/>
    <w:rsid w:val="1C578A0F"/>
    <w:rsid w:val="1C5870EE"/>
    <w:rsid w:val="1C6557AD"/>
    <w:rsid w:val="1C68128F"/>
    <w:rsid w:val="1C6A47BF"/>
    <w:rsid w:val="1C6E0DAC"/>
    <w:rsid w:val="1C6F2FFA"/>
    <w:rsid w:val="1C7390C7"/>
    <w:rsid w:val="1C8142E8"/>
    <w:rsid w:val="1C835376"/>
    <w:rsid w:val="1C96A66E"/>
    <w:rsid w:val="1C972F51"/>
    <w:rsid w:val="1C9764FA"/>
    <w:rsid w:val="1C9C729E"/>
    <w:rsid w:val="1C9E41A1"/>
    <w:rsid w:val="1CA6B850"/>
    <w:rsid w:val="1CAB22A8"/>
    <w:rsid w:val="1CAE1F6E"/>
    <w:rsid w:val="1CB35E73"/>
    <w:rsid w:val="1CBD8757"/>
    <w:rsid w:val="1CBF6021"/>
    <w:rsid w:val="1CCF7E68"/>
    <w:rsid w:val="1CD045E2"/>
    <w:rsid w:val="1CD14E7C"/>
    <w:rsid w:val="1CD4E747"/>
    <w:rsid w:val="1CD5530B"/>
    <w:rsid w:val="1CD900F2"/>
    <w:rsid w:val="1CE30FF6"/>
    <w:rsid w:val="1CE3F92A"/>
    <w:rsid w:val="1CE75E03"/>
    <w:rsid w:val="1CEFE255"/>
    <w:rsid w:val="1CF3AB77"/>
    <w:rsid w:val="1CFD7CCF"/>
    <w:rsid w:val="1CFFF2AD"/>
    <w:rsid w:val="1D06DE73"/>
    <w:rsid w:val="1D0ECBF9"/>
    <w:rsid w:val="1D12C9E0"/>
    <w:rsid w:val="1D148A2A"/>
    <w:rsid w:val="1D18FED1"/>
    <w:rsid w:val="1D1DE566"/>
    <w:rsid w:val="1D1F5529"/>
    <w:rsid w:val="1D23446F"/>
    <w:rsid w:val="1D261EDD"/>
    <w:rsid w:val="1D2802F5"/>
    <w:rsid w:val="1D37886E"/>
    <w:rsid w:val="1D4628A4"/>
    <w:rsid w:val="1D4ECF5B"/>
    <w:rsid w:val="1D55809E"/>
    <w:rsid w:val="1D55FA9A"/>
    <w:rsid w:val="1D58BDF5"/>
    <w:rsid w:val="1D5BE717"/>
    <w:rsid w:val="1D5E2096"/>
    <w:rsid w:val="1D5FA8E1"/>
    <w:rsid w:val="1D65E452"/>
    <w:rsid w:val="1D687344"/>
    <w:rsid w:val="1D6B37D5"/>
    <w:rsid w:val="1D6C7BD5"/>
    <w:rsid w:val="1D6E6181"/>
    <w:rsid w:val="1D6F4589"/>
    <w:rsid w:val="1D6F73CB"/>
    <w:rsid w:val="1D73732B"/>
    <w:rsid w:val="1D78D13E"/>
    <w:rsid w:val="1D7D40A5"/>
    <w:rsid w:val="1D7DEF8C"/>
    <w:rsid w:val="1D841D4F"/>
    <w:rsid w:val="1D860BBA"/>
    <w:rsid w:val="1D8784F5"/>
    <w:rsid w:val="1D93A18F"/>
    <w:rsid w:val="1D966E56"/>
    <w:rsid w:val="1D9743D7"/>
    <w:rsid w:val="1D97B93F"/>
    <w:rsid w:val="1D97CE6F"/>
    <w:rsid w:val="1D99E073"/>
    <w:rsid w:val="1D99F4DB"/>
    <w:rsid w:val="1DA021AC"/>
    <w:rsid w:val="1DA9BC8D"/>
    <w:rsid w:val="1DB3680F"/>
    <w:rsid w:val="1DB8993E"/>
    <w:rsid w:val="1DBA121D"/>
    <w:rsid w:val="1DC1A982"/>
    <w:rsid w:val="1DC226CC"/>
    <w:rsid w:val="1DC3693C"/>
    <w:rsid w:val="1DC9EE60"/>
    <w:rsid w:val="1DCD94B2"/>
    <w:rsid w:val="1DD0EC5E"/>
    <w:rsid w:val="1DD5CB93"/>
    <w:rsid w:val="1DDD4F9D"/>
    <w:rsid w:val="1DE1D487"/>
    <w:rsid w:val="1DE576F0"/>
    <w:rsid w:val="1DE7CD06"/>
    <w:rsid w:val="1DEE86C6"/>
    <w:rsid w:val="1DF23F1C"/>
    <w:rsid w:val="1DFEF1FF"/>
    <w:rsid w:val="1E028EEC"/>
    <w:rsid w:val="1E0E0659"/>
    <w:rsid w:val="1E0EC905"/>
    <w:rsid w:val="1E135F32"/>
    <w:rsid w:val="1E14902D"/>
    <w:rsid w:val="1E153CFF"/>
    <w:rsid w:val="1E15A8F2"/>
    <w:rsid w:val="1E1FEF40"/>
    <w:rsid w:val="1E2000B7"/>
    <w:rsid w:val="1E2587BF"/>
    <w:rsid w:val="1E28EF9C"/>
    <w:rsid w:val="1E2D1162"/>
    <w:rsid w:val="1E3BD96B"/>
    <w:rsid w:val="1E4586FB"/>
    <w:rsid w:val="1E5646CF"/>
    <w:rsid w:val="1E57B32F"/>
    <w:rsid w:val="1E59F383"/>
    <w:rsid w:val="1E5D4513"/>
    <w:rsid w:val="1E61061F"/>
    <w:rsid w:val="1E665495"/>
    <w:rsid w:val="1E6C55CD"/>
    <w:rsid w:val="1E953163"/>
    <w:rsid w:val="1E9700F5"/>
    <w:rsid w:val="1EA2AED4"/>
    <w:rsid w:val="1EABBD72"/>
    <w:rsid w:val="1EAF0481"/>
    <w:rsid w:val="1EAFA78C"/>
    <w:rsid w:val="1EB518F6"/>
    <w:rsid w:val="1EBA73C5"/>
    <w:rsid w:val="1EBB02D9"/>
    <w:rsid w:val="1EC5FC49"/>
    <w:rsid w:val="1ECB3C0C"/>
    <w:rsid w:val="1ECBCC31"/>
    <w:rsid w:val="1ED0638C"/>
    <w:rsid w:val="1EDC7865"/>
    <w:rsid w:val="1EE126CA"/>
    <w:rsid w:val="1EE4F0A7"/>
    <w:rsid w:val="1EE57C8C"/>
    <w:rsid w:val="1EF5A5D1"/>
    <w:rsid w:val="1EF77967"/>
    <w:rsid w:val="1F022F16"/>
    <w:rsid w:val="1F0D7230"/>
    <w:rsid w:val="1F0DC2E6"/>
    <w:rsid w:val="1F1B67D0"/>
    <w:rsid w:val="1F1D99A5"/>
    <w:rsid w:val="1F21D4D4"/>
    <w:rsid w:val="1F25AEF2"/>
    <w:rsid w:val="1F27FEE8"/>
    <w:rsid w:val="1F29AE48"/>
    <w:rsid w:val="1F2A4AEE"/>
    <w:rsid w:val="1F2FC8E2"/>
    <w:rsid w:val="1F3C102E"/>
    <w:rsid w:val="1F43C92A"/>
    <w:rsid w:val="1F4C7976"/>
    <w:rsid w:val="1F505B46"/>
    <w:rsid w:val="1F50A7BF"/>
    <w:rsid w:val="1F52B545"/>
    <w:rsid w:val="1F56654C"/>
    <w:rsid w:val="1F591943"/>
    <w:rsid w:val="1F5B0EE0"/>
    <w:rsid w:val="1F5C3F8F"/>
    <w:rsid w:val="1F5D79E3"/>
    <w:rsid w:val="1F5F28E7"/>
    <w:rsid w:val="1F60EB9F"/>
    <w:rsid w:val="1F6281EB"/>
    <w:rsid w:val="1F62B058"/>
    <w:rsid w:val="1F64CA26"/>
    <w:rsid w:val="1F66F7ED"/>
    <w:rsid w:val="1F682F4E"/>
    <w:rsid w:val="1F6BCA29"/>
    <w:rsid w:val="1F6DE04B"/>
    <w:rsid w:val="1F723FBB"/>
    <w:rsid w:val="1F738861"/>
    <w:rsid w:val="1F7827D2"/>
    <w:rsid w:val="1F7B8281"/>
    <w:rsid w:val="1F806EF2"/>
    <w:rsid w:val="1F811381"/>
    <w:rsid w:val="1F878419"/>
    <w:rsid w:val="1F8E1B00"/>
    <w:rsid w:val="1FA00D64"/>
    <w:rsid w:val="1FA067A9"/>
    <w:rsid w:val="1FA6E135"/>
    <w:rsid w:val="1FB41652"/>
    <w:rsid w:val="1FB4D437"/>
    <w:rsid w:val="1FC4CE67"/>
    <w:rsid w:val="1FCD0017"/>
    <w:rsid w:val="1FCF2669"/>
    <w:rsid w:val="1FD4B23F"/>
    <w:rsid w:val="1FD7682E"/>
    <w:rsid w:val="1FDDD2AA"/>
    <w:rsid w:val="1FDFA15B"/>
    <w:rsid w:val="1FEE7516"/>
    <w:rsid w:val="1FEF4F63"/>
    <w:rsid w:val="1FF1EDC2"/>
    <w:rsid w:val="1FF276F2"/>
    <w:rsid w:val="1FFBD8ED"/>
    <w:rsid w:val="200672A0"/>
    <w:rsid w:val="2015C78F"/>
    <w:rsid w:val="201AAEEB"/>
    <w:rsid w:val="201FA37C"/>
    <w:rsid w:val="2024D7A8"/>
    <w:rsid w:val="20253D28"/>
    <w:rsid w:val="2026CED5"/>
    <w:rsid w:val="2027E746"/>
    <w:rsid w:val="20294945"/>
    <w:rsid w:val="202C45E4"/>
    <w:rsid w:val="2036F5A4"/>
    <w:rsid w:val="203E0C8E"/>
    <w:rsid w:val="203FC85E"/>
    <w:rsid w:val="2043BAD2"/>
    <w:rsid w:val="204516AB"/>
    <w:rsid w:val="20459B37"/>
    <w:rsid w:val="204892CA"/>
    <w:rsid w:val="20509F93"/>
    <w:rsid w:val="2050CEE9"/>
    <w:rsid w:val="2056B3C7"/>
    <w:rsid w:val="2060C287"/>
    <w:rsid w:val="20645791"/>
    <w:rsid w:val="206A99C0"/>
    <w:rsid w:val="206F5FE8"/>
    <w:rsid w:val="20709B56"/>
    <w:rsid w:val="207305B3"/>
    <w:rsid w:val="20772C80"/>
    <w:rsid w:val="207E398C"/>
    <w:rsid w:val="208061FA"/>
    <w:rsid w:val="2083FEB4"/>
    <w:rsid w:val="2085876D"/>
    <w:rsid w:val="20878341"/>
    <w:rsid w:val="20883BB0"/>
    <w:rsid w:val="209541B8"/>
    <w:rsid w:val="209902F0"/>
    <w:rsid w:val="209B8579"/>
    <w:rsid w:val="209BBA3E"/>
    <w:rsid w:val="20A39D9D"/>
    <w:rsid w:val="20A96F4A"/>
    <w:rsid w:val="20B4133C"/>
    <w:rsid w:val="20B8C2EF"/>
    <w:rsid w:val="20C2241A"/>
    <w:rsid w:val="20C58FAB"/>
    <w:rsid w:val="20C87AD5"/>
    <w:rsid w:val="20CDC729"/>
    <w:rsid w:val="20D27BC3"/>
    <w:rsid w:val="20D5072A"/>
    <w:rsid w:val="20D711A3"/>
    <w:rsid w:val="20D75CB7"/>
    <w:rsid w:val="20D86F83"/>
    <w:rsid w:val="20D94FB3"/>
    <w:rsid w:val="20FBF342"/>
    <w:rsid w:val="20FE2A85"/>
    <w:rsid w:val="210E735C"/>
    <w:rsid w:val="210E7BE0"/>
    <w:rsid w:val="2110B863"/>
    <w:rsid w:val="21153D15"/>
    <w:rsid w:val="211837F4"/>
    <w:rsid w:val="211AB58F"/>
    <w:rsid w:val="211C0687"/>
    <w:rsid w:val="21209F61"/>
    <w:rsid w:val="2120C208"/>
    <w:rsid w:val="2122501B"/>
    <w:rsid w:val="2124D2C3"/>
    <w:rsid w:val="21293AA0"/>
    <w:rsid w:val="212ADEA0"/>
    <w:rsid w:val="212B598E"/>
    <w:rsid w:val="21324228"/>
    <w:rsid w:val="2133A363"/>
    <w:rsid w:val="21350544"/>
    <w:rsid w:val="2136EE74"/>
    <w:rsid w:val="21465B28"/>
    <w:rsid w:val="214826F7"/>
    <w:rsid w:val="2149E143"/>
    <w:rsid w:val="214FD54D"/>
    <w:rsid w:val="2154CADA"/>
    <w:rsid w:val="2156D1B6"/>
    <w:rsid w:val="216309A0"/>
    <w:rsid w:val="21692B63"/>
    <w:rsid w:val="21795492"/>
    <w:rsid w:val="218EDCAC"/>
    <w:rsid w:val="219AE441"/>
    <w:rsid w:val="219D5EB3"/>
    <w:rsid w:val="21A051AB"/>
    <w:rsid w:val="21A747E0"/>
    <w:rsid w:val="21AC567E"/>
    <w:rsid w:val="21ADE71D"/>
    <w:rsid w:val="21AE4AA8"/>
    <w:rsid w:val="21B7F608"/>
    <w:rsid w:val="21CBE7EC"/>
    <w:rsid w:val="21D117BB"/>
    <w:rsid w:val="21D290E0"/>
    <w:rsid w:val="21D86C8A"/>
    <w:rsid w:val="21DAE0CF"/>
    <w:rsid w:val="21DF1C75"/>
    <w:rsid w:val="21E06720"/>
    <w:rsid w:val="21E205D2"/>
    <w:rsid w:val="21F1D63E"/>
    <w:rsid w:val="21F7969A"/>
    <w:rsid w:val="22058E9B"/>
    <w:rsid w:val="220A2626"/>
    <w:rsid w:val="2210C5F9"/>
    <w:rsid w:val="2218C78C"/>
    <w:rsid w:val="2219EE98"/>
    <w:rsid w:val="221BCE3A"/>
    <w:rsid w:val="2222E5E4"/>
    <w:rsid w:val="22239FBF"/>
    <w:rsid w:val="222569ED"/>
    <w:rsid w:val="223F328B"/>
    <w:rsid w:val="2246E44E"/>
    <w:rsid w:val="224D0BDB"/>
    <w:rsid w:val="224FE8D0"/>
    <w:rsid w:val="225DBB54"/>
    <w:rsid w:val="2261B62A"/>
    <w:rsid w:val="2264EB5D"/>
    <w:rsid w:val="2268D2D3"/>
    <w:rsid w:val="226D65FE"/>
    <w:rsid w:val="22778619"/>
    <w:rsid w:val="22809106"/>
    <w:rsid w:val="22849303"/>
    <w:rsid w:val="2287B046"/>
    <w:rsid w:val="2296C549"/>
    <w:rsid w:val="2296C9A9"/>
    <w:rsid w:val="2296D091"/>
    <w:rsid w:val="22A232CE"/>
    <w:rsid w:val="22A4694D"/>
    <w:rsid w:val="22A8AC8F"/>
    <w:rsid w:val="22A970D9"/>
    <w:rsid w:val="22AB2923"/>
    <w:rsid w:val="22AE5349"/>
    <w:rsid w:val="22AF65F2"/>
    <w:rsid w:val="22B32343"/>
    <w:rsid w:val="22B940D3"/>
    <w:rsid w:val="22B95EB3"/>
    <w:rsid w:val="22C2EF3C"/>
    <w:rsid w:val="22C73A4A"/>
    <w:rsid w:val="22D4E91C"/>
    <w:rsid w:val="22D671C5"/>
    <w:rsid w:val="22EB50B7"/>
    <w:rsid w:val="22F20B01"/>
    <w:rsid w:val="22F6DF42"/>
    <w:rsid w:val="230160FB"/>
    <w:rsid w:val="23080CBB"/>
    <w:rsid w:val="23085F68"/>
    <w:rsid w:val="230DE9D5"/>
    <w:rsid w:val="232AB2E8"/>
    <w:rsid w:val="232B1F3A"/>
    <w:rsid w:val="2341605E"/>
    <w:rsid w:val="2343719F"/>
    <w:rsid w:val="2343D55A"/>
    <w:rsid w:val="23444A84"/>
    <w:rsid w:val="23484276"/>
    <w:rsid w:val="23493DCD"/>
    <w:rsid w:val="234A403C"/>
    <w:rsid w:val="23501E04"/>
    <w:rsid w:val="23526A30"/>
    <w:rsid w:val="2356ABB5"/>
    <w:rsid w:val="23597D4D"/>
    <w:rsid w:val="23598FCE"/>
    <w:rsid w:val="23614F3C"/>
    <w:rsid w:val="23659857"/>
    <w:rsid w:val="2367FD3D"/>
    <w:rsid w:val="236A2690"/>
    <w:rsid w:val="236C676E"/>
    <w:rsid w:val="236F11E1"/>
    <w:rsid w:val="237914C9"/>
    <w:rsid w:val="237CE9AE"/>
    <w:rsid w:val="238C20CF"/>
    <w:rsid w:val="238F5FF7"/>
    <w:rsid w:val="23924D99"/>
    <w:rsid w:val="23943E3D"/>
    <w:rsid w:val="2395B7CF"/>
    <w:rsid w:val="23A213D4"/>
    <w:rsid w:val="23A72796"/>
    <w:rsid w:val="23A74ED7"/>
    <w:rsid w:val="23A9566C"/>
    <w:rsid w:val="23AA1283"/>
    <w:rsid w:val="23ACA66D"/>
    <w:rsid w:val="23ADDDE8"/>
    <w:rsid w:val="23BA401C"/>
    <w:rsid w:val="23C2E9A8"/>
    <w:rsid w:val="23C70DC7"/>
    <w:rsid w:val="23D65E20"/>
    <w:rsid w:val="23DC1B55"/>
    <w:rsid w:val="23E03182"/>
    <w:rsid w:val="23E459C7"/>
    <w:rsid w:val="23FA1D70"/>
    <w:rsid w:val="24020E66"/>
    <w:rsid w:val="24033A05"/>
    <w:rsid w:val="240CEF10"/>
    <w:rsid w:val="2411EB45"/>
    <w:rsid w:val="2412CAAA"/>
    <w:rsid w:val="241B6F17"/>
    <w:rsid w:val="2424A78A"/>
    <w:rsid w:val="242E776D"/>
    <w:rsid w:val="242EC26B"/>
    <w:rsid w:val="243E6EF0"/>
    <w:rsid w:val="2451B8CF"/>
    <w:rsid w:val="2453E015"/>
    <w:rsid w:val="2453E976"/>
    <w:rsid w:val="245F2D47"/>
    <w:rsid w:val="24610611"/>
    <w:rsid w:val="2463569F"/>
    <w:rsid w:val="2479C1DA"/>
    <w:rsid w:val="247BD611"/>
    <w:rsid w:val="24804DC2"/>
    <w:rsid w:val="2481AE1C"/>
    <w:rsid w:val="2484749D"/>
    <w:rsid w:val="248D4E4E"/>
    <w:rsid w:val="24984A24"/>
    <w:rsid w:val="24A242D2"/>
    <w:rsid w:val="24A5CD17"/>
    <w:rsid w:val="24ACD582"/>
    <w:rsid w:val="24ACDA62"/>
    <w:rsid w:val="24B41A4E"/>
    <w:rsid w:val="24C1E639"/>
    <w:rsid w:val="24C20F10"/>
    <w:rsid w:val="24C341D3"/>
    <w:rsid w:val="24CA7206"/>
    <w:rsid w:val="24E3217C"/>
    <w:rsid w:val="24E3F740"/>
    <w:rsid w:val="24E43D8C"/>
    <w:rsid w:val="24E4D68C"/>
    <w:rsid w:val="24E94A06"/>
    <w:rsid w:val="24EF346C"/>
    <w:rsid w:val="24F7F8C8"/>
    <w:rsid w:val="24F8553E"/>
    <w:rsid w:val="24FAA920"/>
    <w:rsid w:val="24FE897F"/>
    <w:rsid w:val="2500B581"/>
    <w:rsid w:val="25049B2F"/>
    <w:rsid w:val="25085E9D"/>
    <w:rsid w:val="2515E950"/>
    <w:rsid w:val="252366FD"/>
    <w:rsid w:val="25273E67"/>
    <w:rsid w:val="25300F15"/>
    <w:rsid w:val="253492A2"/>
    <w:rsid w:val="253E2C43"/>
    <w:rsid w:val="253EFF7B"/>
    <w:rsid w:val="253FB582"/>
    <w:rsid w:val="25401A73"/>
    <w:rsid w:val="2545FF43"/>
    <w:rsid w:val="25489D4F"/>
    <w:rsid w:val="255009C6"/>
    <w:rsid w:val="25530806"/>
    <w:rsid w:val="255CAB96"/>
    <w:rsid w:val="2563AE95"/>
    <w:rsid w:val="256A2EE1"/>
    <w:rsid w:val="256F6CE4"/>
    <w:rsid w:val="2571E12D"/>
    <w:rsid w:val="25724C25"/>
    <w:rsid w:val="2574F8C1"/>
    <w:rsid w:val="2582B6CC"/>
    <w:rsid w:val="2585E209"/>
    <w:rsid w:val="258636A3"/>
    <w:rsid w:val="259071A7"/>
    <w:rsid w:val="2594E235"/>
    <w:rsid w:val="25964333"/>
    <w:rsid w:val="25A8BF71"/>
    <w:rsid w:val="25AA7BDB"/>
    <w:rsid w:val="25AB1EB4"/>
    <w:rsid w:val="25AE82C5"/>
    <w:rsid w:val="25AF326A"/>
    <w:rsid w:val="25CE6A6B"/>
    <w:rsid w:val="25CF3925"/>
    <w:rsid w:val="25D40086"/>
    <w:rsid w:val="25D87887"/>
    <w:rsid w:val="25D8A401"/>
    <w:rsid w:val="25DAD38D"/>
    <w:rsid w:val="25DB0BAD"/>
    <w:rsid w:val="25DBFE43"/>
    <w:rsid w:val="25EFDFBE"/>
    <w:rsid w:val="25F2A278"/>
    <w:rsid w:val="25F35571"/>
    <w:rsid w:val="25F42C7C"/>
    <w:rsid w:val="260117C1"/>
    <w:rsid w:val="2602F1D6"/>
    <w:rsid w:val="260FC56B"/>
    <w:rsid w:val="26210B5D"/>
    <w:rsid w:val="26220250"/>
    <w:rsid w:val="262C4AC8"/>
    <w:rsid w:val="26372EE3"/>
    <w:rsid w:val="2638EB7B"/>
    <w:rsid w:val="26398925"/>
    <w:rsid w:val="263C9C86"/>
    <w:rsid w:val="2645EBD2"/>
    <w:rsid w:val="264642F3"/>
    <w:rsid w:val="264D5610"/>
    <w:rsid w:val="2652FC0B"/>
    <w:rsid w:val="265452C1"/>
    <w:rsid w:val="265B754C"/>
    <w:rsid w:val="265CF516"/>
    <w:rsid w:val="265DB69A"/>
    <w:rsid w:val="26634953"/>
    <w:rsid w:val="266E80AA"/>
    <w:rsid w:val="267F4022"/>
    <w:rsid w:val="268ADFD3"/>
    <w:rsid w:val="268CAA82"/>
    <w:rsid w:val="2695EEFF"/>
    <w:rsid w:val="26990B95"/>
    <w:rsid w:val="269C718F"/>
    <w:rsid w:val="269D29AB"/>
    <w:rsid w:val="269EDD14"/>
    <w:rsid w:val="26A2DA33"/>
    <w:rsid w:val="26AD4CD7"/>
    <w:rsid w:val="26AEF9ED"/>
    <w:rsid w:val="26B9AC26"/>
    <w:rsid w:val="26BD3152"/>
    <w:rsid w:val="26C17789"/>
    <w:rsid w:val="26C17D30"/>
    <w:rsid w:val="26C34F63"/>
    <w:rsid w:val="26C740AF"/>
    <w:rsid w:val="26D37F7C"/>
    <w:rsid w:val="26D42177"/>
    <w:rsid w:val="26D5675B"/>
    <w:rsid w:val="26DA6406"/>
    <w:rsid w:val="26E1A86A"/>
    <w:rsid w:val="26E3210E"/>
    <w:rsid w:val="26E845A7"/>
    <w:rsid w:val="26EFB5CF"/>
    <w:rsid w:val="26F94E6D"/>
    <w:rsid w:val="26FB2E2F"/>
    <w:rsid w:val="26FD5104"/>
    <w:rsid w:val="26FE0611"/>
    <w:rsid w:val="2702E7D9"/>
    <w:rsid w:val="270F0AD7"/>
    <w:rsid w:val="2713455B"/>
    <w:rsid w:val="2719B6A6"/>
    <w:rsid w:val="271FB384"/>
    <w:rsid w:val="272044F1"/>
    <w:rsid w:val="2722C6CC"/>
    <w:rsid w:val="27245C97"/>
    <w:rsid w:val="27257328"/>
    <w:rsid w:val="27292277"/>
    <w:rsid w:val="272DA627"/>
    <w:rsid w:val="27305F79"/>
    <w:rsid w:val="2732C57A"/>
    <w:rsid w:val="27337DCE"/>
    <w:rsid w:val="27397F11"/>
    <w:rsid w:val="2739B78C"/>
    <w:rsid w:val="273B2B5B"/>
    <w:rsid w:val="27430C4C"/>
    <w:rsid w:val="2745E9F3"/>
    <w:rsid w:val="27464C3C"/>
    <w:rsid w:val="274B5762"/>
    <w:rsid w:val="27540229"/>
    <w:rsid w:val="2754BB91"/>
    <w:rsid w:val="275A734A"/>
    <w:rsid w:val="276216D9"/>
    <w:rsid w:val="27648564"/>
    <w:rsid w:val="2766182F"/>
    <w:rsid w:val="27692691"/>
    <w:rsid w:val="2769D9D7"/>
    <w:rsid w:val="276E39CB"/>
    <w:rsid w:val="276F3EFA"/>
    <w:rsid w:val="2776DC0E"/>
    <w:rsid w:val="27771815"/>
    <w:rsid w:val="2778E0E1"/>
    <w:rsid w:val="277CE1FC"/>
    <w:rsid w:val="278181B0"/>
    <w:rsid w:val="27849F20"/>
    <w:rsid w:val="27914210"/>
    <w:rsid w:val="2796CE09"/>
    <w:rsid w:val="279F132D"/>
    <w:rsid w:val="27A7D7FD"/>
    <w:rsid w:val="27A7F327"/>
    <w:rsid w:val="27B036EF"/>
    <w:rsid w:val="27B8D60D"/>
    <w:rsid w:val="27BA200C"/>
    <w:rsid w:val="27BB7273"/>
    <w:rsid w:val="27C5E68A"/>
    <w:rsid w:val="27CFB871"/>
    <w:rsid w:val="27D99467"/>
    <w:rsid w:val="27DA5FB9"/>
    <w:rsid w:val="27DAE65F"/>
    <w:rsid w:val="27DB8B3C"/>
    <w:rsid w:val="27DE0A99"/>
    <w:rsid w:val="27E1281B"/>
    <w:rsid w:val="27E14C7F"/>
    <w:rsid w:val="27EDD54F"/>
    <w:rsid w:val="27EECC6C"/>
    <w:rsid w:val="27FBF2C2"/>
    <w:rsid w:val="27FCED80"/>
    <w:rsid w:val="2800B8D9"/>
    <w:rsid w:val="280A6635"/>
    <w:rsid w:val="280C9BAE"/>
    <w:rsid w:val="28115325"/>
    <w:rsid w:val="2817F5D0"/>
    <w:rsid w:val="28190780"/>
    <w:rsid w:val="281D0677"/>
    <w:rsid w:val="282147A3"/>
    <w:rsid w:val="28348A64"/>
    <w:rsid w:val="283F89A9"/>
    <w:rsid w:val="283FD7A1"/>
    <w:rsid w:val="28415456"/>
    <w:rsid w:val="284288C4"/>
    <w:rsid w:val="28564119"/>
    <w:rsid w:val="2861A84F"/>
    <w:rsid w:val="2861EE0E"/>
    <w:rsid w:val="2862690A"/>
    <w:rsid w:val="2867691E"/>
    <w:rsid w:val="286A3A83"/>
    <w:rsid w:val="28737561"/>
    <w:rsid w:val="2875C5EB"/>
    <w:rsid w:val="2878AB9B"/>
    <w:rsid w:val="2885A92C"/>
    <w:rsid w:val="28928C84"/>
    <w:rsid w:val="289604CF"/>
    <w:rsid w:val="289A2A36"/>
    <w:rsid w:val="289B1800"/>
    <w:rsid w:val="289F0D1C"/>
    <w:rsid w:val="28A56EA2"/>
    <w:rsid w:val="28AD5133"/>
    <w:rsid w:val="28B1CC79"/>
    <w:rsid w:val="28B8C416"/>
    <w:rsid w:val="28BD2415"/>
    <w:rsid w:val="28C20C86"/>
    <w:rsid w:val="28CBB7B2"/>
    <w:rsid w:val="28D9CCCE"/>
    <w:rsid w:val="28DC97D2"/>
    <w:rsid w:val="28DEE942"/>
    <w:rsid w:val="28E08494"/>
    <w:rsid w:val="28E584CF"/>
    <w:rsid w:val="28F6EC14"/>
    <w:rsid w:val="28F84BF5"/>
    <w:rsid w:val="28FFE05F"/>
    <w:rsid w:val="2905854E"/>
    <w:rsid w:val="291E6A1B"/>
    <w:rsid w:val="291E93B1"/>
    <w:rsid w:val="291F58C8"/>
    <w:rsid w:val="292058C0"/>
    <w:rsid w:val="2927A5DD"/>
    <w:rsid w:val="2928F681"/>
    <w:rsid w:val="293A87E4"/>
    <w:rsid w:val="29415495"/>
    <w:rsid w:val="2944A041"/>
    <w:rsid w:val="2947EADB"/>
    <w:rsid w:val="294F0AC8"/>
    <w:rsid w:val="295965D0"/>
    <w:rsid w:val="295F975F"/>
    <w:rsid w:val="29717555"/>
    <w:rsid w:val="29788DFA"/>
    <w:rsid w:val="29794133"/>
    <w:rsid w:val="2979C50B"/>
    <w:rsid w:val="297CF87C"/>
    <w:rsid w:val="298C2DDC"/>
    <w:rsid w:val="298F3990"/>
    <w:rsid w:val="29938574"/>
    <w:rsid w:val="299700DB"/>
    <w:rsid w:val="299EA07C"/>
    <w:rsid w:val="29A34469"/>
    <w:rsid w:val="29A74602"/>
    <w:rsid w:val="29A7D8A0"/>
    <w:rsid w:val="29A80FC8"/>
    <w:rsid w:val="29ABA0CB"/>
    <w:rsid w:val="29ABF0B3"/>
    <w:rsid w:val="29AE461D"/>
    <w:rsid w:val="29AE7FB9"/>
    <w:rsid w:val="29B46764"/>
    <w:rsid w:val="29B8AFC2"/>
    <w:rsid w:val="29BA8A65"/>
    <w:rsid w:val="29C46793"/>
    <w:rsid w:val="29D71B77"/>
    <w:rsid w:val="29D86040"/>
    <w:rsid w:val="29EECE08"/>
    <w:rsid w:val="29FD03B6"/>
    <w:rsid w:val="2A03AB35"/>
    <w:rsid w:val="2A073DC8"/>
    <w:rsid w:val="2A075D9C"/>
    <w:rsid w:val="2A082418"/>
    <w:rsid w:val="2A0DB733"/>
    <w:rsid w:val="2A0E3A34"/>
    <w:rsid w:val="2A147ABC"/>
    <w:rsid w:val="2A165186"/>
    <w:rsid w:val="2A16A14A"/>
    <w:rsid w:val="2A1B142B"/>
    <w:rsid w:val="2A1D0093"/>
    <w:rsid w:val="2A218914"/>
    <w:rsid w:val="2A323779"/>
    <w:rsid w:val="2A39EC75"/>
    <w:rsid w:val="2A43738E"/>
    <w:rsid w:val="2A52A346"/>
    <w:rsid w:val="2A56285D"/>
    <w:rsid w:val="2A575446"/>
    <w:rsid w:val="2A595405"/>
    <w:rsid w:val="2A5B1B80"/>
    <w:rsid w:val="2A68003B"/>
    <w:rsid w:val="2A727B89"/>
    <w:rsid w:val="2A7B972A"/>
    <w:rsid w:val="2A7E8EC3"/>
    <w:rsid w:val="2A817B97"/>
    <w:rsid w:val="2A82057B"/>
    <w:rsid w:val="2A83D911"/>
    <w:rsid w:val="2A8AE6FF"/>
    <w:rsid w:val="2A8D1468"/>
    <w:rsid w:val="2A936020"/>
    <w:rsid w:val="2A989525"/>
    <w:rsid w:val="2A989A0E"/>
    <w:rsid w:val="2A9D6F93"/>
    <w:rsid w:val="2AA0C753"/>
    <w:rsid w:val="2AA20C6E"/>
    <w:rsid w:val="2AA2C5DC"/>
    <w:rsid w:val="2AA33DD0"/>
    <w:rsid w:val="2AA77CCD"/>
    <w:rsid w:val="2AAA052F"/>
    <w:rsid w:val="2AAD7FBD"/>
    <w:rsid w:val="2AAE4D58"/>
    <w:rsid w:val="2AB03D00"/>
    <w:rsid w:val="2AB9C34D"/>
    <w:rsid w:val="2ABF7A19"/>
    <w:rsid w:val="2ACBE77E"/>
    <w:rsid w:val="2AD65845"/>
    <w:rsid w:val="2AD70304"/>
    <w:rsid w:val="2ADF93E9"/>
    <w:rsid w:val="2AE99053"/>
    <w:rsid w:val="2AF1A591"/>
    <w:rsid w:val="2AF27878"/>
    <w:rsid w:val="2AF764D6"/>
    <w:rsid w:val="2B06F2C9"/>
    <w:rsid w:val="2B0C8856"/>
    <w:rsid w:val="2B0FA029"/>
    <w:rsid w:val="2B17467F"/>
    <w:rsid w:val="2B1A38E0"/>
    <w:rsid w:val="2B1A6130"/>
    <w:rsid w:val="2B1B0733"/>
    <w:rsid w:val="2B2859DD"/>
    <w:rsid w:val="2B2DD3F9"/>
    <w:rsid w:val="2B31B14D"/>
    <w:rsid w:val="2B360C16"/>
    <w:rsid w:val="2B393B62"/>
    <w:rsid w:val="2B3ADC09"/>
    <w:rsid w:val="2B3B51D2"/>
    <w:rsid w:val="2B3B9DDF"/>
    <w:rsid w:val="2B47C114"/>
    <w:rsid w:val="2B61BFAE"/>
    <w:rsid w:val="2B6215EA"/>
    <w:rsid w:val="2B65C915"/>
    <w:rsid w:val="2B6C7CB8"/>
    <w:rsid w:val="2B75792F"/>
    <w:rsid w:val="2B7BC5F6"/>
    <w:rsid w:val="2B880C11"/>
    <w:rsid w:val="2B8CED46"/>
    <w:rsid w:val="2B90D59E"/>
    <w:rsid w:val="2B91121F"/>
    <w:rsid w:val="2B920A27"/>
    <w:rsid w:val="2B96DA78"/>
    <w:rsid w:val="2B974F16"/>
    <w:rsid w:val="2B9D71E4"/>
    <w:rsid w:val="2B9DBF23"/>
    <w:rsid w:val="2B9F05ED"/>
    <w:rsid w:val="2B9F7B96"/>
    <w:rsid w:val="2BA0BE7D"/>
    <w:rsid w:val="2BA42283"/>
    <w:rsid w:val="2BA58599"/>
    <w:rsid w:val="2BAC29A4"/>
    <w:rsid w:val="2BAE0B65"/>
    <w:rsid w:val="2BB01233"/>
    <w:rsid w:val="2BB6E48C"/>
    <w:rsid w:val="2BB7ED5E"/>
    <w:rsid w:val="2BB8A98D"/>
    <w:rsid w:val="2BC0089D"/>
    <w:rsid w:val="2BD58AD2"/>
    <w:rsid w:val="2BD6DEBC"/>
    <w:rsid w:val="2BE09221"/>
    <w:rsid w:val="2BEB20F1"/>
    <w:rsid w:val="2BED2D5D"/>
    <w:rsid w:val="2BF08312"/>
    <w:rsid w:val="2BF65997"/>
    <w:rsid w:val="2BF68CBC"/>
    <w:rsid w:val="2BF8558B"/>
    <w:rsid w:val="2BFE6834"/>
    <w:rsid w:val="2BFEBC2C"/>
    <w:rsid w:val="2C00C3DE"/>
    <w:rsid w:val="2C07A9FD"/>
    <w:rsid w:val="2C0CE126"/>
    <w:rsid w:val="2C0D7709"/>
    <w:rsid w:val="2C151716"/>
    <w:rsid w:val="2C159AC1"/>
    <w:rsid w:val="2C168A04"/>
    <w:rsid w:val="2C16E745"/>
    <w:rsid w:val="2C170608"/>
    <w:rsid w:val="2C179091"/>
    <w:rsid w:val="2C1BAB2C"/>
    <w:rsid w:val="2C1DC271"/>
    <w:rsid w:val="2C1EB1E0"/>
    <w:rsid w:val="2C24008F"/>
    <w:rsid w:val="2C35890D"/>
    <w:rsid w:val="2C36A707"/>
    <w:rsid w:val="2C3A3D2D"/>
    <w:rsid w:val="2C3D8D9B"/>
    <w:rsid w:val="2C3F1E71"/>
    <w:rsid w:val="2C3F219B"/>
    <w:rsid w:val="2C4C0D61"/>
    <w:rsid w:val="2C4EB16A"/>
    <w:rsid w:val="2C56DDDF"/>
    <w:rsid w:val="2C5FFDC9"/>
    <w:rsid w:val="2C609743"/>
    <w:rsid w:val="2C66D215"/>
    <w:rsid w:val="2C727228"/>
    <w:rsid w:val="2C7547DD"/>
    <w:rsid w:val="2C81662C"/>
    <w:rsid w:val="2C8BF020"/>
    <w:rsid w:val="2C8DD3D5"/>
    <w:rsid w:val="2C928553"/>
    <w:rsid w:val="2C9B267A"/>
    <w:rsid w:val="2C9D013D"/>
    <w:rsid w:val="2CA256D8"/>
    <w:rsid w:val="2CA358B8"/>
    <w:rsid w:val="2CA87B32"/>
    <w:rsid w:val="2CAEC225"/>
    <w:rsid w:val="2CB679AB"/>
    <w:rsid w:val="2CC24210"/>
    <w:rsid w:val="2CC507CA"/>
    <w:rsid w:val="2CCF27A6"/>
    <w:rsid w:val="2CD05BE9"/>
    <w:rsid w:val="2CD09324"/>
    <w:rsid w:val="2CD34836"/>
    <w:rsid w:val="2CDBAD29"/>
    <w:rsid w:val="2CDBB2AF"/>
    <w:rsid w:val="2CE09F35"/>
    <w:rsid w:val="2CE6F193"/>
    <w:rsid w:val="2CE77BBC"/>
    <w:rsid w:val="2CE7C29D"/>
    <w:rsid w:val="2CED1197"/>
    <w:rsid w:val="2CF38E4B"/>
    <w:rsid w:val="2D0A3EDC"/>
    <w:rsid w:val="2D1A0B9B"/>
    <w:rsid w:val="2D29B23C"/>
    <w:rsid w:val="2D2D9561"/>
    <w:rsid w:val="2D461BB3"/>
    <w:rsid w:val="2D472F22"/>
    <w:rsid w:val="2D4C570E"/>
    <w:rsid w:val="2D4D2FFF"/>
    <w:rsid w:val="2D55C1BB"/>
    <w:rsid w:val="2D5B9D54"/>
    <w:rsid w:val="2D65F589"/>
    <w:rsid w:val="2D6627DE"/>
    <w:rsid w:val="2D69D83B"/>
    <w:rsid w:val="2D7890A0"/>
    <w:rsid w:val="2D87F519"/>
    <w:rsid w:val="2D88D6AA"/>
    <w:rsid w:val="2D938C69"/>
    <w:rsid w:val="2D9B27BE"/>
    <w:rsid w:val="2D9F1FB0"/>
    <w:rsid w:val="2D9F2001"/>
    <w:rsid w:val="2D9FAAD7"/>
    <w:rsid w:val="2DA792B4"/>
    <w:rsid w:val="2DA81F94"/>
    <w:rsid w:val="2DBDD080"/>
    <w:rsid w:val="2DC1DA55"/>
    <w:rsid w:val="2DC817CB"/>
    <w:rsid w:val="2DC99E38"/>
    <w:rsid w:val="2DC9CFD2"/>
    <w:rsid w:val="2DCB52EE"/>
    <w:rsid w:val="2DCC9EA9"/>
    <w:rsid w:val="2DCFF9A1"/>
    <w:rsid w:val="2DD2C4C9"/>
    <w:rsid w:val="2DE2E7AF"/>
    <w:rsid w:val="2DE435FA"/>
    <w:rsid w:val="2DE8FAA4"/>
    <w:rsid w:val="2DED2250"/>
    <w:rsid w:val="2DEECD09"/>
    <w:rsid w:val="2DF15792"/>
    <w:rsid w:val="2DF4EEE1"/>
    <w:rsid w:val="2E038840"/>
    <w:rsid w:val="2E0810D7"/>
    <w:rsid w:val="2E09ECF1"/>
    <w:rsid w:val="2E0A7286"/>
    <w:rsid w:val="2E0AA160"/>
    <w:rsid w:val="2E1C082D"/>
    <w:rsid w:val="2E25CDDC"/>
    <w:rsid w:val="2E272164"/>
    <w:rsid w:val="2E27E6CE"/>
    <w:rsid w:val="2E3103C8"/>
    <w:rsid w:val="2E363821"/>
    <w:rsid w:val="2E3768F9"/>
    <w:rsid w:val="2E3D40DD"/>
    <w:rsid w:val="2E469F1E"/>
    <w:rsid w:val="2E4AA3ED"/>
    <w:rsid w:val="2E51CFAA"/>
    <w:rsid w:val="2E58EBA0"/>
    <w:rsid w:val="2E6003E9"/>
    <w:rsid w:val="2E630D33"/>
    <w:rsid w:val="2E656A07"/>
    <w:rsid w:val="2E65DDEE"/>
    <w:rsid w:val="2E68C87F"/>
    <w:rsid w:val="2E6FDAB8"/>
    <w:rsid w:val="2E71B48A"/>
    <w:rsid w:val="2E71D1D8"/>
    <w:rsid w:val="2E820629"/>
    <w:rsid w:val="2E83F806"/>
    <w:rsid w:val="2E84B6E1"/>
    <w:rsid w:val="2E88E1F8"/>
    <w:rsid w:val="2E8A45FE"/>
    <w:rsid w:val="2E8AEA6F"/>
    <w:rsid w:val="2E8B766A"/>
    <w:rsid w:val="2E9C4924"/>
    <w:rsid w:val="2E9DDD98"/>
    <w:rsid w:val="2E9E2FD2"/>
    <w:rsid w:val="2EA2B22C"/>
    <w:rsid w:val="2EAB098C"/>
    <w:rsid w:val="2EAE4534"/>
    <w:rsid w:val="2EB1AD7C"/>
    <w:rsid w:val="2EB3F6D4"/>
    <w:rsid w:val="2EB6F97B"/>
    <w:rsid w:val="2EC63F94"/>
    <w:rsid w:val="2ED33283"/>
    <w:rsid w:val="2EE0F84F"/>
    <w:rsid w:val="2EF0CED3"/>
    <w:rsid w:val="2EF5053D"/>
    <w:rsid w:val="2EFBA4CA"/>
    <w:rsid w:val="2EFD3122"/>
    <w:rsid w:val="2F0D3B1E"/>
    <w:rsid w:val="2F119A8D"/>
    <w:rsid w:val="2F140B24"/>
    <w:rsid w:val="2F16E001"/>
    <w:rsid w:val="2F1B093C"/>
    <w:rsid w:val="2F1F2285"/>
    <w:rsid w:val="2F1FB48F"/>
    <w:rsid w:val="2F256756"/>
    <w:rsid w:val="2F25B413"/>
    <w:rsid w:val="2F2F5CCA"/>
    <w:rsid w:val="2F34B1D5"/>
    <w:rsid w:val="2F37472E"/>
    <w:rsid w:val="2F3835C4"/>
    <w:rsid w:val="2F4490F6"/>
    <w:rsid w:val="2F4C0767"/>
    <w:rsid w:val="2F565910"/>
    <w:rsid w:val="2F66CEAE"/>
    <w:rsid w:val="2F6DD097"/>
    <w:rsid w:val="2F7212E7"/>
    <w:rsid w:val="2F782ABF"/>
    <w:rsid w:val="2F786ABE"/>
    <w:rsid w:val="2F7E36C3"/>
    <w:rsid w:val="2F87F3E1"/>
    <w:rsid w:val="2F8A0B90"/>
    <w:rsid w:val="2F90DAA2"/>
    <w:rsid w:val="2F954481"/>
    <w:rsid w:val="2F966110"/>
    <w:rsid w:val="2F9D1B4A"/>
    <w:rsid w:val="2F9F58A1"/>
    <w:rsid w:val="2FA0E3D9"/>
    <w:rsid w:val="2FA310F6"/>
    <w:rsid w:val="2FA50A65"/>
    <w:rsid w:val="2FA5CC89"/>
    <w:rsid w:val="2FA94171"/>
    <w:rsid w:val="2FAA7427"/>
    <w:rsid w:val="2FAAFB69"/>
    <w:rsid w:val="2FAEA3B7"/>
    <w:rsid w:val="2FB2F9D5"/>
    <w:rsid w:val="2FB3562D"/>
    <w:rsid w:val="2FB39424"/>
    <w:rsid w:val="2FB5B086"/>
    <w:rsid w:val="2FBF5CC8"/>
    <w:rsid w:val="2FC0328C"/>
    <w:rsid w:val="2FC9DA3A"/>
    <w:rsid w:val="2FCA3A12"/>
    <w:rsid w:val="2FCA694F"/>
    <w:rsid w:val="2FCC504B"/>
    <w:rsid w:val="2FCDE1F8"/>
    <w:rsid w:val="2FD29CD6"/>
    <w:rsid w:val="2FD76A38"/>
    <w:rsid w:val="2FE05026"/>
    <w:rsid w:val="2FEC9E64"/>
    <w:rsid w:val="2FEDA112"/>
    <w:rsid w:val="2FF3D3D9"/>
    <w:rsid w:val="2FF48BEA"/>
    <w:rsid w:val="2FF54D48"/>
    <w:rsid w:val="2FFD024B"/>
    <w:rsid w:val="30048120"/>
    <w:rsid w:val="300D5CD5"/>
    <w:rsid w:val="300D60B3"/>
    <w:rsid w:val="300DA239"/>
    <w:rsid w:val="301199F2"/>
    <w:rsid w:val="30124A45"/>
    <w:rsid w:val="3018837C"/>
    <w:rsid w:val="301988C1"/>
    <w:rsid w:val="301DF070"/>
    <w:rsid w:val="301E9895"/>
    <w:rsid w:val="301FF24B"/>
    <w:rsid w:val="3024B259"/>
    <w:rsid w:val="302AE8E4"/>
    <w:rsid w:val="302C9FDF"/>
    <w:rsid w:val="302DB0F7"/>
    <w:rsid w:val="3033A917"/>
    <w:rsid w:val="30380055"/>
    <w:rsid w:val="303D0E60"/>
    <w:rsid w:val="30443F3D"/>
    <w:rsid w:val="30501827"/>
    <w:rsid w:val="30617505"/>
    <w:rsid w:val="30635A3C"/>
    <w:rsid w:val="306F7A78"/>
    <w:rsid w:val="30735E03"/>
    <w:rsid w:val="3074596D"/>
    <w:rsid w:val="30792FD6"/>
    <w:rsid w:val="3079DB8F"/>
    <w:rsid w:val="308A55AF"/>
    <w:rsid w:val="308E7C84"/>
    <w:rsid w:val="308EBFF0"/>
    <w:rsid w:val="3099CC39"/>
    <w:rsid w:val="309BA89D"/>
    <w:rsid w:val="30A80EC0"/>
    <w:rsid w:val="30B0B779"/>
    <w:rsid w:val="30B1BE2D"/>
    <w:rsid w:val="30C0904B"/>
    <w:rsid w:val="30C80184"/>
    <w:rsid w:val="30D337DA"/>
    <w:rsid w:val="30D41D61"/>
    <w:rsid w:val="30D4BEA3"/>
    <w:rsid w:val="30D91D88"/>
    <w:rsid w:val="30DC3B8D"/>
    <w:rsid w:val="30E00DC3"/>
    <w:rsid w:val="30E06157"/>
    <w:rsid w:val="30E25B2D"/>
    <w:rsid w:val="30E84EDD"/>
    <w:rsid w:val="30EC9D80"/>
    <w:rsid w:val="30F757B8"/>
    <w:rsid w:val="30F9F684"/>
    <w:rsid w:val="30FAD69A"/>
    <w:rsid w:val="30FCB67B"/>
    <w:rsid w:val="3103554B"/>
    <w:rsid w:val="3103ADB0"/>
    <w:rsid w:val="310405F7"/>
    <w:rsid w:val="311FD192"/>
    <w:rsid w:val="31261157"/>
    <w:rsid w:val="312B45F0"/>
    <w:rsid w:val="312B8166"/>
    <w:rsid w:val="3137AFF1"/>
    <w:rsid w:val="3144A9C3"/>
    <w:rsid w:val="314CE515"/>
    <w:rsid w:val="315A23EE"/>
    <w:rsid w:val="3164AC87"/>
    <w:rsid w:val="316DB58B"/>
    <w:rsid w:val="3179F80D"/>
    <w:rsid w:val="3187876D"/>
    <w:rsid w:val="3187FFA2"/>
    <w:rsid w:val="31886EC5"/>
    <w:rsid w:val="318E72C2"/>
    <w:rsid w:val="318FF589"/>
    <w:rsid w:val="3193E42D"/>
    <w:rsid w:val="319AAB43"/>
    <w:rsid w:val="319C54C1"/>
    <w:rsid w:val="319DE1F4"/>
    <w:rsid w:val="31A56C36"/>
    <w:rsid w:val="31ACBE54"/>
    <w:rsid w:val="31B1AB86"/>
    <w:rsid w:val="31B90AC5"/>
    <w:rsid w:val="31C253FD"/>
    <w:rsid w:val="31C72E1A"/>
    <w:rsid w:val="31CC08D8"/>
    <w:rsid w:val="31D9E0B6"/>
    <w:rsid w:val="31DBF511"/>
    <w:rsid w:val="31DF558A"/>
    <w:rsid w:val="31E00F9E"/>
    <w:rsid w:val="31E6A3D4"/>
    <w:rsid w:val="31EAA401"/>
    <w:rsid w:val="31ECA781"/>
    <w:rsid w:val="31F720CD"/>
    <w:rsid w:val="32061C67"/>
    <w:rsid w:val="32081142"/>
    <w:rsid w:val="320EA2FC"/>
    <w:rsid w:val="32130A89"/>
    <w:rsid w:val="3227B5B7"/>
    <w:rsid w:val="32280BBA"/>
    <w:rsid w:val="323CE54C"/>
    <w:rsid w:val="323DF9F3"/>
    <w:rsid w:val="323F7FA0"/>
    <w:rsid w:val="324244F9"/>
    <w:rsid w:val="32459B3E"/>
    <w:rsid w:val="3247B5AC"/>
    <w:rsid w:val="3258AB22"/>
    <w:rsid w:val="3258DDF2"/>
    <w:rsid w:val="3263CA6E"/>
    <w:rsid w:val="326861BF"/>
    <w:rsid w:val="327142C9"/>
    <w:rsid w:val="3273DF1E"/>
    <w:rsid w:val="327FEAEC"/>
    <w:rsid w:val="3280068B"/>
    <w:rsid w:val="328B340B"/>
    <w:rsid w:val="32938A24"/>
    <w:rsid w:val="3296F239"/>
    <w:rsid w:val="329E0AB0"/>
    <w:rsid w:val="32A32008"/>
    <w:rsid w:val="32A853DE"/>
    <w:rsid w:val="32B95F3D"/>
    <w:rsid w:val="32BA09E4"/>
    <w:rsid w:val="32BDF2EE"/>
    <w:rsid w:val="32BF23F9"/>
    <w:rsid w:val="32C0106A"/>
    <w:rsid w:val="32D5BB90"/>
    <w:rsid w:val="32D83E25"/>
    <w:rsid w:val="32E4B978"/>
    <w:rsid w:val="32E8C9FA"/>
    <w:rsid w:val="32E9E193"/>
    <w:rsid w:val="32EC23D9"/>
    <w:rsid w:val="32F277A5"/>
    <w:rsid w:val="32FB17D6"/>
    <w:rsid w:val="32FCA0D7"/>
    <w:rsid w:val="32FD4250"/>
    <w:rsid w:val="3300A99F"/>
    <w:rsid w:val="33153752"/>
    <w:rsid w:val="332AFECB"/>
    <w:rsid w:val="332BC5EA"/>
    <w:rsid w:val="33367BA4"/>
    <w:rsid w:val="333A0B0B"/>
    <w:rsid w:val="333C39A2"/>
    <w:rsid w:val="334193A9"/>
    <w:rsid w:val="33430B86"/>
    <w:rsid w:val="33472459"/>
    <w:rsid w:val="334C096F"/>
    <w:rsid w:val="334CB2F5"/>
    <w:rsid w:val="334DD372"/>
    <w:rsid w:val="3351B763"/>
    <w:rsid w:val="3353694F"/>
    <w:rsid w:val="3359AF3B"/>
    <w:rsid w:val="335B2798"/>
    <w:rsid w:val="335C826E"/>
    <w:rsid w:val="3371A746"/>
    <w:rsid w:val="3372A8A7"/>
    <w:rsid w:val="33743CD8"/>
    <w:rsid w:val="33809173"/>
    <w:rsid w:val="33890B6A"/>
    <w:rsid w:val="33891B16"/>
    <w:rsid w:val="338972E7"/>
    <w:rsid w:val="3394472F"/>
    <w:rsid w:val="33A7963F"/>
    <w:rsid w:val="33AA7E0E"/>
    <w:rsid w:val="33BF2506"/>
    <w:rsid w:val="33C1D9C4"/>
    <w:rsid w:val="33C8241A"/>
    <w:rsid w:val="33C85634"/>
    <w:rsid w:val="33CE2627"/>
    <w:rsid w:val="33D84B5E"/>
    <w:rsid w:val="33E108F1"/>
    <w:rsid w:val="33E5ACCE"/>
    <w:rsid w:val="33EAB8C3"/>
    <w:rsid w:val="33EEC247"/>
    <w:rsid w:val="33F6C0CE"/>
    <w:rsid w:val="33F78B35"/>
    <w:rsid w:val="33F91DC8"/>
    <w:rsid w:val="33FA3C98"/>
    <w:rsid w:val="34097A19"/>
    <w:rsid w:val="341F4A79"/>
    <w:rsid w:val="342A627A"/>
    <w:rsid w:val="342B70F1"/>
    <w:rsid w:val="34317359"/>
    <w:rsid w:val="3436D2CF"/>
    <w:rsid w:val="34396CA2"/>
    <w:rsid w:val="343AA346"/>
    <w:rsid w:val="343DBD0A"/>
    <w:rsid w:val="3441349E"/>
    <w:rsid w:val="34474208"/>
    <w:rsid w:val="344A3BAD"/>
    <w:rsid w:val="34645BB0"/>
    <w:rsid w:val="3474807C"/>
    <w:rsid w:val="3476CED9"/>
    <w:rsid w:val="34787154"/>
    <w:rsid w:val="3479814A"/>
    <w:rsid w:val="347FA0B8"/>
    <w:rsid w:val="34885744"/>
    <w:rsid w:val="348A5F6D"/>
    <w:rsid w:val="34927689"/>
    <w:rsid w:val="349382DE"/>
    <w:rsid w:val="34A08E1B"/>
    <w:rsid w:val="34A7883B"/>
    <w:rsid w:val="34AC7D76"/>
    <w:rsid w:val="34AFA14F"/>
    <w:rsid w:val="34C2D46C"/>
    <w:rsid w:val="34CB401D"/>
    <w:rsid w:val="34CC02B7"/>
    <w:rsid w:val="34CFC835"/>
    <w:rsid w:val="34D8D122"/>
    <w:rsid w:val="34D9EAD1"/>
    <w:rsid w:val="34DA0A24"/>
    <w:rsid w:val="34E531AA"/>
    <w:rsid w:val="34E86DCA"/>
    <w:rsid w:val="34EA333F"/>
    <w:rsid w:val="34F6E286"/>
    <w:rsid w:val="34FD45DC"/>
    <w:rsid w:val="3511564E"/>
    <w:rsid w:val="35119FF0"/>
    <w:rsid w:val="3516D408"/>
    <w:rsid w:val="3522767E"/>
    <w:rsid w:val="3523586A"/>
    <w:rsid w:val="3523A9FD"/>
    <w:rsid w:val="35285C98"/>
    <w:rsid w:val="3529B2B4"/>
    <w:rsid w:val="352F5D4B"/>
    <w:rsid w:val="3536CB0E"/>
    <w:rsid w:val="3537B7E4"/>
    <w:rsid w:val="35381300"/>
    <w:rsid w:val="35422115"/>
    <w:rsid w:val="35440A7F"/>
    <w:rsid w:val="354776A1"/>
    <w:rsid w:val="3548A048"/>
    <w:rsid w:val="354A5574"/>
    <w:rsid w:val="354D6AC4"/>
    <w:rsid w:val="3552B43E"/>
    <w:rsid w:val="355DC6D2"/>
    <w:rsid w:val="355F7863"/>
    <w:rsid w:val="356197BD"/>
    <w:rsid w:val="356561FD"/>
    <w:rsid w:val="356CE6E8"/>
    <w:rsid w:val="356E6489"/>
    <w:rsid w:val="356F19C0"/>
    <w:rsid w:val="3573EFA4"/>
    <w:rsid w:val="3574EA20"/>
    <w:rsid w:val="3577CA2F"/>
    <w:rsid w:val="35781A40"/>
    <w:rsid w:val="357CB592"/>
    <w:rsid w:val="357D717C"/>
    <w:rsid w:val="358EF613"/>
    <w:rsid w:val="3594A8DA"/>
    <w:rsid w:val="35950E6D"/>
    <w:rsid w:val="359E9E4E"/>
    <w:rsid w:val="35A5BADE"/>
    <w:rsid w:val="35AA8288"/>
    <w:rsid w:val="35B4377F"/>
    <w:rsid w:val="35DEF6D5"/>
    <w:rsid w:val="35E0E736"/>
    <w:rsid w:val="35E4AD65"/>
    <w:rsid w:val="35ED4A75"/>
    <w:rsid w:val="35F05EBE"/>
    <w:rsid w:val="35FB2B2A"/>
    <w:rsid w:val="36055158"/>
    <w:rsid w:val="36105A68"/>
    <w:rsid w:val="361B4BAA"/>
    <w:rsid w:val="3627CC17"/>
    <w:rsid w:val="362E46EA"/>
    <w:rsid w:val="364FA99E"/>
    <w:rsid w:val="3651A89A"/>
    <w:rsid w:val="36563497"/>
    <w:rsid w:val="365FB4FC"/>
    <w:rsid w:val="36673C9D"/>
    <w:rsid w:val="366BA3CE"/>
    <w:rsid w:val="366D2CCD"/>
    <w:rsid w:val="366D6A0E"/>
    <w:rsid w:val="36764AA6"/>
    <w:rsid w:val="3677A23E"/>
    <w:rsid w:val="3681AF95"/>
    <w:rsid w:val="368BBDF4"/>
    <w:rsid w:val="36937114"/>
    <w:rsid w:val="36990D6D"/>
    <w:rsid w:val="36A95533"/>
    <w:rsid w:val="36ACC863"/>
    <w:rsid w:val="36AF2F5F"/>
    <w:rsid w:val="36B06689"/>
    <w:rsid w:val="36CECF82"/>
    <w:rsid w:val="36D3BF73"/>
    <w:rsid w:val="36D7B29C"/>
    <w:rsid w:val="36DB8265"/>
    <w:rsid w:val="36E0DE53"/>
    <w:rsid w:val="36EDE399"/>
    <w:rsid w:val="36F271CE"/>
    <w:rsid w:val="36F5DFDC"/>
    <w:rsid w:val="36FAC852"/>
    <w:rsid w:val="370E1E85"/>
    <w:rsid w:val="370E9FC1"/>
    <w:rsid w:val="371FA782"/>
    <w:rsid w:val="37372A75"/>
    <w:rsid w:val="3737D634"/>
    <w:rsid w:val="3742C34E"/>
    <w:rsid w:val="37432CFB"/>
    <w:rsid w:val="3745C014"/>
    <w:rsid w:val="374601F6"/>
    <w:rsid w:val="374A5358"/>
    <w:rsid w:val="37517F3F"/>
    <w:rsid w:val="375E7B51"/>
    <w:rsid w:val="3761AFF2"/>
    <w:rsid w:val="37661D11"/>
    <w:rsid w:val="37679D57"/>
    <w:rsid w:val="37686476"/>
    <w:rsid w:val="376A4414"/>
    <w:rsid w:val="376B0A2D"/>
    <w:rsid w:val="376B83A8"/>
    <w:rsid w:val="3770A6B0"/>
    <w:rsid w:val="37791FEC"/>
    <w:rsid w:val="3788948A"/>
    <w:rsid w:val="3789AE5E"/>
    <w:rsid w:val="378F04B8"/>
    <w:rsid w:val="378FD305"/>
    <w:rsid w:val="379285B2"/>
    <w:rsid w:val="3793F1AF"/>
    <w:rsid w:val="3794ED5E"/>
    <w:rsid w:val="3795BBC4"/>
    <w:rsid w:val="37A0429D"/>
    <w:rsid w:val="37A1A4A1"/>
    <w:rsid w:val="37AF79E0"/>
    <w:rsid w:val="37B52128"/>
    <w:rsid w:val="37B6B823"/>
    <w:rsid w:val="37B82A9B"/>
    <w:rsid w:val="37B980E2"/>
    <w:rsid w:val="37BB595D"/>
    <w:rsid w:val="37C5D7E5"/>
    <w:rsid w:val="37C6A134"/>
    <w:rsid w:val="37DBCFF4"/>
    <w:rsid w:val="37E3A853"/>
    <w:rsid w:val="37EA349E"/>
    <w:rsid w:val="37EE7DE9"/>
    <w:rsid w:val="37F7870F"/>
    <w:rsid w:val="37F8371E"/>
    <w:rsid w:val="37FF61BA"/>
    <w:rsid w:val="3802BB78"/>
    <w:rsid w:val="3803DC07"/>
    <w:rsid w:val="380F128D"/>
    <w:rsid w:val="381BEC27"/>
    <w:rsid w:val="382F59E5"/>
    <w:rsid w:val="38334CBF"/>
    <w:rsid w:val="3835DACE"/>
    <w:rsid w:val="3835E9C7"/>
    <w:rsid w:val="383DB0EC"/>
    <w:rsid w:val="3842832F"/>
    <w:rsid w:val="3847E32A"/>
    <w:rsid w:val="384E4384"/>
    <w:rsid w:val="38508833"/>
    <w:rsid w:val="3851C13E"/>
    <w:rsid w:val="386D4DAA"/>
    <w:rsid w:val="387E1579"/>
    <w:rsid w:val="38857BAC"/>
    <w:rsid w:val="3891B7FF"/>
    <w:rsid w:val="38A50973"/>
    <w:rsid w:val="38AB8051"/>
    <w:rsid w:val="38AF6AF1"/>
    <w:rsid w:val="38B1E92B"/>
    <w:rsid w:val="38B7786F"/>
    <w:rsid w:val="38B7C1F8"/>
    <w:rsid w:val="38BBD71C"/>
    <w:rsid w:val="38BE270F"/>
    <w:rsid w:val="38C63D65"/>
    <w:rsid w:val="38CB7990"/>
    <w:rsid w:val="38D53D39"/>
    <w:rsid w:val="38DB7A35"/>
    <w:rsid w:val="38DBD997"/>
    <w:rsid w:val="38DBE6CA"/>
    <w:rsid w:val="38DF9CE7"/>
    <w:rsid w:val="38E47A5D"/>
    <w:rsid w:val="38F092A9"/>
    <w:rsid w:val="38F30D2E"/>
    <w:rsid w:val="38F39215"/>
    <w:rsid w:val="39042CF7"/>
    <w:rsid w:val="3908584E"/>
    <w:rsid w:val="39089B9C"/>
    <w:rsid w:val="390BC2DA"/>
    <w:rsid w:val="390F3ACF"/>
    <w:rsid w:val="390FD92A"/>
    <w:rsid w:val="39116D23"/>
    <w:rsid w:val="39140B67"/>
    <w:rsid w:val="39161D57"/>
    <w:rsid w:val="3928AE76"/>
    <w:rsid w:val="392AC67D"/>
    <w:rsid w:val="392E5613"/>
    <w:rsid w:val="393080A3"/>
    <w:rsid w:val="3931A421"/>
    <w:rsid w:val="3931C059"/>
    <w:rsid w:val="393D7502"/>
    <w:rsid w:val="393E9D70"/>
    <w:rsid w:val="393EA443"/>
    <w:rsid w:val="3946A02A"/>
    <w:rsid w:val="3948B154"/>
    <w:rsid w:val="394AB2A0"/>
    <w:rsid w:val="394AC227"/>
    <w:rsid w:val="394BA234"/>
    <w:rsid w:val="394DA8E6"/>
    <w:rsid w:val="3954A276"/>
    <w:rsid w:val="3958E836"/>
    <w:rsid w:val="395B70B0"/>
    <w:rsid w:val="395EDEE1"/>
    <w:rsid w:val="396B50BD"/>
    <w:rsid w:val="396BDE80"/>
    <w:rsid w:val="396D6CFA"/>
    <w:rsid w:val="3977670A"/>
    <w:rsid w:val="397A4C52"/>
    <w:rsid w:val="397F57F1"/>
    <w:rsid w:val="39813A1D"/>
    <w:rsid w:val="39843CE1"/>
    <w:rsid w:val="398525C2"/>
    <w:rsid w:val="398674A0"/>
    <w:rsid w:val="3989EF46"/>
    <w:rsid w:val="398B87A7"/>
    <w:rsid w:val="398D9FE7"/>
    <w:rsid w:val="398DA3C9"/>
    <w:rsid w:val="399736E2"/>
    <w:rsid w:val="399C5A58"/>
    <w:rsid w:val="399E73A0"/>
    <w:rsid w:val="399F2A78"/>
    <w:rsid w:val="399F326F"/>
    <w:rsid w:val="39A09E1C"/>
    <w:rsid w:val="39A6548F"/>
    <w:rsid w:val="39B4847F"/>
    <w:rsid w:val="39B49D4B"/>
    <w:rsid w:val="39B6FE4D"/>
    <w:rsid w:val="39BC9A8A"/>
    <w:rsid w:val="39CA8B2E"/>
    <w:rsid w:val="39D3937B"/>
    <w:rsid w:val="39E1EA2B"/>
    <w:rsid w:val="39E35EA8"/>
    <w:rsid w:val="39E3B38B"/>
    <w:rsid w:val="39E4CB7D"/>
    <w:rsid w:val="39E62FB4"/>
    <w:rsid w:val="39F6C98D"/>
    <w:rsid w:val="3A063C1C"/>
    <w:rsid w:val="3A08896B"/>
    <w:rsid w:val="3A0B8863"/>
    <w:rsid w:val="3A0D3A86"/>
    <w:rsid w:val="3A19186A"/>
    <w:rsid w:val="3A1BDE14"/>
    <w:rsid w:val="3A1C52AE"/>
    <w:rsid w:val="3A25A59E"/>
    <w:rsid w:val="3A3429F7"/>
    <w:rsid w:val="3A34A364"/>
    <w:rsid w:val="3A3AB554"/>
    <w:rsid w:val="3A46CEAD"/>
    <w:rsid w:val="3A5048C9"/>
    <w:rsid w:val="3A5E821B"/>
    <w:rsid w:val="3A69B116"/>
    <w:rsid w:val="3A69FF93"/>
    <w:rsid w:val="3A6D7A3F"/>
    <w:rsid w:val="3A76367F"/>
    <w:rsid w:val="3A768F9B"/>
    <w:rsid w:val="3A77C0A3"/>
    <w:rsid w:val="3A811987"/>
    <w:rsid w:val="3A850391"/>
    <w:rsid w:val="3A86D1A4"/>
    <w:rsid w:val="3A88778C"/>
    <w:rsid w:val="3A8CBB8D"/>
    <w:rsid w:val="3A8E6CB2"/>
    <w:rsid w:val="3A99855D"/>
    <w:rsid w:val="3A9D4E4C"/>
    <w:rsid w:val="3AA428AF"/>
    <w:rsid w:val="3AA5195C"/>
    <w:rsid w:val="3AA60A55"/>
    <w:rsid w:val="3AADAA6C"/>
    <w:rsid w:val="3AAE8C4F"/>
    <w:rsid w:val="3AB4973B"/>
    <w:rsid w:val="3AB4B328"/>
    <w:rsid w:val="3ABF91CE"/>
    <w:rsid w:val="3AC2B902"/>
    <w:rsid w:val="3AC36C3E"/>
    <w:rsid w:val="3AC773C7"/>
    <w:rsid w:val="3AC904D3"/>
    <w:rsid w:val="3ACBD377"/>
    <w:rsid w:val="3AD94563"/>
    <w:rsid w:val="3AE13ECF"/>
    <w:rsid w:val="3AE3C557"/>
    <w:rsid w:val="3AEC8AB3"/>
    <w:rsid w:val="3AF11319"/>
    <w:rsid w:val="3AF54214"/>
    <w:rsid w:val="3AF834D3"/>
    <w:rsid w:val="3AF9384A"/>
    <w:rsid w:val="3B0FB3E0"/>
    <w:rsid w:val="3B14C8E3"/>
    <w:rsid w:val="3B229227"/>
    <w:rsid w:val="3B259CF8"/>
    <w:rsid w:val="3B27D317"/>
    <w:rsid w:val="3B2EEA49"/>
    <w:rsid w:val="3B353FEC"/>
    <w:rsid w:val="3B368680"/>
    <w:rsid w:val="3B396488"/>
    <w:rsid w:val="3B3D9E00"/>
    <w:rsid w:val="3B50643E"/>
    <w:rsid w:val="3B52B59F"/>
    <w:rsid w:val="3B5775F3"/>
    <w:rsid w:val="3B5A71B3"/>
    <w:rsid w:val="3B5D8444"/>
    <w:rsid w:val="3B604A3C"/>
    <w:rsid w:val="3B62B314"/>
    <w:rsid w:val="3B6AD788"/>
    <w:rsid w:val="3B7309FC"/>
    <w:rsid w:val="3B7361ED"/>
    <w:rsid w:val="3B7BC450"/>
    <w:rsid w:val="3B7F8E84"/>
    <w:rsid w:val="3B7FB6AF"/>
    <w:rsid w:val="3B872962"/>
    <w:rsid w:val="3B8FB096"/>
    <w:rsid w:val="3B9174E3"/>
    <w:rsid w:val="3B942469"/>
    <w:rsid w:val="3B9AE213"/>
    <w:rsid w:val="3B9C85A7"/>
    <w:rsid w:val="3BA02DC6"/>
    <w:rsid w:val="3BA3ADF4"/>
    <w:rsid w:val="3BB58542"/>
    <w:rsid w:val="3BDCC03F"/>
    <w:rsid w:val="3BE3E940"/>
    <w:rsid w:val="3BEC2B1F"/>
    <w:rsid w:val="3BF84A08"/>
    <w:rsid w:val="3BFA527C"/>
    <w:rsid w:val="3C06FDBF"/>
    <w:rsid w:val="3C080F3B"/>
    <w:rsid w:val="3C11CA19"/>
    <w:rsid w:val="3C1844E0"/>
    <w:rsid w:val="3C2678F4"/>
    <w:rsid w:val="3C2729C1"/>
    <w:rsid w:val="3C3497B8"/>
    <w:rsid w:val="3C3E2728"/>
    <w:rsid w:val="3C40460C"/>
    <w:rsid w:val="3C429BCA"/>
    <w:rsid w:val="3C4C9936"/>
    <w:rsid w:val="3C585522"/>
    <w:rsid w:val="3C5FFD6A"/>
    <w:rsid w:val="3C61A5C4"/>
    <w:rsid w:val="3C630A46"/>
    <w:rsid w:val="3C638892"/>
    <w:rsid w:val="3C66CCEF"/>
    <w:rsid w:val="3C6F1EB5"/>
    <w:rsid w:val="3C749FE3"/>
    <w:rsid w:val="3C75FB17"/>
    <w:rsid w:val="3C861996"/>
    <w:rsid w:val="3C8668B2"/>
    <w:rsid w:val="3C8B5FF4"/>
    <w:rsid w:val="3C91AF2A"/>
    <w:rsid w:val="3C9DF3D3"/>
    <w:rsid w:val="3CA729AF"/>
    <w:rsid w:val="3CAD5782"/>
    <w:rsid w:val="3CC2E104"/>
    <w:rsid w:val="3CC540A9"/>
    <w:rsid w:val="3CCE5786"/>
    <w:rsid w:val="3CCF51C7"/>
    <w:rsid w:val="3CCFFDC0"/>
    <w:rsid w:val="3CD19EA1"/>
    <w:rsid w:val="3CD20681"/>
    <w:rsid w:val="3CD256E1"/>
    <w:rsid w:val="3CD56ED4"/>
    <w:rsid w:val="3CD8EDF7"/>
    <w:rsid w:val="3CE9A2AB"/>
    <w:rsid w:val="3CEDCF73"/>
    <w:rsid w:val="3CEF6416"/>
    <w:rsid w:val="3CEF6CD5"/>
    <w:rsid w:val="3CF0051A"/>
    <w:rsid w:val="3CFF612F"/>
    <w:rsid w:val="3D0209DE"/>
    <w:rsid w:val="3D0A1976"/>
    <w:rsid w:val="3D0B1E98"/>
    <w:rsid w:val="3D0F7040"/>
    <w:rsid w:val="3D157C5F"/>
    <w:rsid w:val="3D16835D"/>
    <w:rsid w:val="3D1794B1"/>
    <w:rsid w:val="3D1B298C"/>
    <w:rsid w:val="3D1B330E"/>
    <w:rsid w:val="3D28989D"/>
    <w:rsid w:val="3D301C12"/>
    <w:rsid w:val="3D336E7D"/>
    <w:rsid w:val="3D38F6EE"/>
    <w:rsid w:val="3D3A1EDF"/>
    <w:rsid w:val="3D420C65"/>
    <w:rsid w:val="3D4423EA"/>
    <w:rsid w:val="3D4F0845"/>
    <w:rsid w:val="3D56A5FE"/>
    <w:rsid w:val="3D67800D"/>
    <w:rsid w:val="3D682012"/>
    <w:rsid w:val="3D766133"/>
    <w:rsid w:val="3D88393F"/>
    <w:rsid w:val="3D8CBD0F"/>
    <w:rsid w:val="3D8ED6FF"/>
    <w:rsid w:val="3D93E7F4"/>
    <w:rsid w:val="3D96F143"/>
    <w:rsid w:val="3D99F47D"/>
    <w:rsid w:val="3DABF6B9"/>
    <w:rsid w:val="3DB7386E"/>
    <w:rsid w:val="3DB9A1D2"/>
    <w:rsid w:val="3DBA9B57"/>
    <w:rsid w:val="3DC124F6"/>
    <w:rsid w:val="3DC91B21"/>
    <w:rsid w:val="3DCDC539"/>
    <w:rsid w:val="3DD40929"/>
    <w:rsid w:val="3DE89ED9"/>
    <w:rsid w:val="3DE91EED"/>
    <w:rsid w:val="3DF08DF1"/>
    <w:rsid w:val="3DF5F11A"/>
    <w:rsid w:val="3E00BB45"/>
    <w:rsid w:val="3E0580C7"/>
    <w:rsid w:val="3E0F21D8"/>
    <w:rsid w:val="3E21FBD8"/>
    <w:rsid w:val="3E26A500"/>
    <w:rsid w:val="3E2D552B"/>
    <w:rsid w:val="3E335324"/>
    <w:rsid w:val="3E3455F0"/>
    <w:rsid w:val="3E379D1B"/>
    <w:rsid w:val="3E4897FD"/>
    <w:rsid w:val="3E4AA409"/>
    <w:rsid w:val="3E4DAF13"/>
    <w:rsid w:val="3E5347D9"/>
    <w:rsid w:val="3E54C3B0"/>
    <w:rsid w:val="3E60452B"/>
    <w:rsid w:val="3E627C3D"/>
    <w:rsid w:val="3E62D620"/>
    <w:rsid w:val="3E66B3CA"/>
    <w:rsid w:val="3E67432E"/>
    <w:rsid w:val="3E6EDF53"/>
    <w:rsid w:val="3E78F2D0"/>
    <w:rsid w:val="3E7A9378"/>
    <w:rsid w:val="3E7A9B4C"/>
    <w:rsid w:val="3E8248AE"/>
    <w:rsid w:val="3E86F2CC"/>
    <w:rsid w:val="3E8C2746"/>
    <w:rsid w:val="3E8CC17A"/>
    <w:rsid w:val="3E91B7AE"/>
    <w:rsid w:val="3E990B60"/>
    <w:rsid w:val="3E9919E1"/>
    <w:rsid w:val="3E9DFC51"/>
    <w:rsid w:val="3EA043C9"/>
    <w:rsid w:val="3EA5BC58"/>
    <w:rsid w:val="3EA6F348"/>
    <w:rsid w:val="3EB2D50B"/>
    <w:rsid w:val="3EB36512"/>
    <w:rsid w:val="3EBCE739"/>
    <w:rsid w:val="3EC241DF"/>
    <w:rsid w:val="3ECE5274"/>
    <w:rsid w:val="3EDE9A2A"/>
    <w:rsid w:val="3EDEE013"/>
    <w:rsid w:val="3EE3D1C3"/>
    <w:rsid w:val="3EEC22CB"/>
    <w:rsid w:val="3EEC9A2B"/>
    <w:rsid w:val="3EF360D6"/>
    <w:rsid w:val="3EF54238"/>
    <w:rsid w:val="3EFD03E7"/>
    <w:rsid w:val="3F132A28"/>
    <w:rsid w:val="3F16B08E"/>
    <w:rsid w:val="3F1FE8F5"/>
    <w:rsid w:val="3F2AF923"/>
    <w:rsid w:val="3F30E75E"/>
    <w:rsid w:val="3F33A4A5"/>
    <w:rsid w:val="3F438833"/>
    <w:rsid w:val="3F4537E4"/>
    <w:rsid w:val="3F491327"/>
    <w:rsid w:val="3F4978B7"/>
    <w:rsid w:val="3F4979E9"/>
    <w:rsid w:val="3F4A1660"/>
    <w:rsid w:val="3F509132"/>
    <w:rsid w:val="3F50C249"/>
    <w:rsid w:val="3F569C4E"/>
    <w:rsid w:val="3F5CBBA0"/>
    <w:rsid w:val="3F679A5B"/>
    <w:rsid w:val="3F80FC9E"/>
    <w:rsid w:val="3F8402F1"/>
    <w:rsid w:val="3F9AE4EA"/>
    <w:rsid w:val="3F9F0394"/>
    <w:rsid w:val="3FA6C8E1"/>
    <w:rsid w:val="3FA819DB"/>
    <w:rsid w:val="3FB32D99"/>
    <w:rsid w:val="3FCBC409"/>
    <w:rsid w:val="3FD33C59"/>
    <w:rsid w:val="3FD38B33"/>
    <w:rsid w:val="3FD576FC"/>
    <w:rsid w:val="3FDE8885"/>
    <w:rsid w:val="3FE8A1C0"/>
    <w:rsid w:val="3FEB73C3"/>
    <w:rsid w:val="3FF12095"/>
    <w:rsid w:val="4002E1F9"/>
    <w:rsid w:val="400A9DA6"/>
    <w:rsid w:val="400C9967"/>
    <w:rsid w:val="401173F7"/>
    <w:rsid w:val="40176BF3"/>
    <w:rsid w:val="401DDED6"/>
    <w:rsid w:val="401F9B98"/>
    <w:rsid w:val="40208A47"/>
    <w:rsid w:val="4030A01D"/>
    <w:rsid w:val="4038F156"/>
    <w:rsid w:val="403CC2C7"/>
    <w:rsid w:val="40404DF8"/>
    <w:rsid w:val="40406017"/>
    <w:rsid w:val="40407C37"/>
    <w:rsid w:val="4043891D"/>
    <w:rsid w:val="40442B2D"/>
    <w:rsid w:val="404761B3"/>
    <w:rsid w:val="404A0A07"/>
    <w:rsid w:val="404D4CD3"/>
    <w:rsid w:val="405345B6"/>
    <w:rsid w:val="4054D722"/>
    <w:rsid w:val="40617978"/>
    <w:rsid w:val="406E93A2"/>
    <w:rsid w:val="4070964F"/>
    <w:rsid w:val="4071DFF7"/>
    <w:rsid w:val="40729EAC"/>
    <w:rsid w:val="407D1EAE"/>
    <w:rsid w:val="408196DF"/>
    <w:rsid w:val="4085789E"/>
    <w:rsid w:val="40944A33"/>
    <w:rsid w:val="409B39C8"/>
    <w:rsid w:val="409DA6FF"/>
    <w:rsid w:val="409EB52C"/>
    <w:rsid w:val="40AA01EE"/>
    <w:rsid w:val="40B1CC67"/>
    <w:rsid w:val="40D18DDF"/>
    <w:rsid w:val="40D244EE"/>
    <w:rsid w:val="40DA0A2E"/>
    <w:rsid w:val="40E1151B"/>
    <w:rsid w:val="40E24D6C"/>
    <w:rsid w:val="40E32E16"/>
    <w:rsid w:val="40F15BBA"/>
    <w:rsid w:val="40F55740"/>
    <w:rsid w:val="40F8520F"/>
    <w:rsid w:val="40FB72D6"/>
    <w:rsid w:val="40FEA060"/>
    <w:rsid w:val="410150D0"/>
    <w:rsid w:val="410219E0"/>
    <w:rsid w:val="41035B4F"/>
    <w:rsid w:val="41098866"/>
    <w:rsid w:val="410AA34A"/>
    <w:rsid w:val="410C864A"/>
    <w:rsid w:val="410D68CC"/>
    <w:rsid w:val="410DF255"/>
    <w:rsid w:val="4112B307"/>
    <w:rsid w:val="411783DE"/>
    <w:rsid w:val="41184793"/>
    <w:rsid w:val="411FF339"/>
    <w:rsid w:val="4120A5B7"/>
    <w:rsid w:val="412E164D"/>
    <w:rsid w:val="4132141E"/>
    <w:rsid w:val="4136B54B"/>
    <w:rsid w:val="413AD3F5"/>
    <w:rsid w:val="41404570"/>
    <w:rsid w:val="414FCC53"/>
    <w:rsid w:val="415649B9"/>
    <w:rsid w:val="41572453"/>
    <w:rsid w:val="41589FC4"/>
    <w:rsid w:val="415BF1F5"/>
    <w:rsid w:val="41635501"/>
    <w:rsid w:val="41666439"/>
    <w:rsid w:val="4170C685"/>
    <w:rsid w:val="417485A7"/>
    <w:rsid w:val="417C1DE8"/>
    <w:rsid w:val="41806609"/>
    <w:rsid w:val="41829920"/>
    <w:rsid w:val="41864ADC"/>
    <w:rsid w:val="41868A2A"/>
    <w:rsid w:val="4190FD5A"/>
    <w:rsid w:val="419273AD"/>
    <w:rsid w:val="4192EC6F"/>
    <w:rsid w:val="4196CB83"/>
    <w:rsid w:val="4198E73E"/>
    <w:rsid w:val="41A2355B"/>
    <w:rsid w:val="41A4EB16"/>
    <w:rsid w:val="41A61953"/>
    <w:rsid w:val="41A6C8F8"/>
    <w:rsid w:val="41A9EBAE"/>
    <w:rsid w:val="41B63881"/>
    <w:rsid w:val="41BC0947"/>
    <w:rsid w:val="41C6E0A0"/>
    <w:rsid w:val="41CDA60C"/>
    <w:rsid w:val="41D0DFAB"/>
    <w:rsid w:val="41E6236A"/>
    <w:rsid w:val="41EA873F"/>
    <w:rsid w:val="41F7340C"/>
    <w:rsid w:val="41F8A598"/>
    <w:rsid w:val="41FBF48A"/>
    <w:rsid w:val="420798EA"/>
    <w:rsid w:val="4209D4C9"/>
    <w:rsid w:val="420BB887"/>
    <w:rsid w:val="42242D4C"/>
    <w:rsid w:val="4226B483"/>
    <w:rsid w:val="42397760"/>
    <w:rsid w:val="423DEFF1"/>
    <w:rsid w:val="4241C9FB"/>
    <w:rsid w:val="424E1059"/>
    <w:rsid w:val="424EDCA3"/>
    <w:rsid w:val="42506775"/>
    <w:rsid w:val="4250CD6A"/>
    <w:rsid w:val="42546788"/>
    <w:rsid w:val="425FC04C"/>
    <w:rsid w:val="42640AAB"/>
    <w:rsid w:val="426D3502"/>
    <w:rsid w:val="4270A548"/>
    <w:rsid w:val="427686F2"/>
    <w:rsid w:val="428575F5"/>
    <w:rsid w:val="4285D312"/>
    <w:rsid w:val="4289992E"/>
    <w:rsid w:val="428C216E"/>
    <w:rsid w:val="428C2B6C"/>
    <w:rsid w:val="42945FCE"/>
    <w:rsid w:val="42984DBF"/>
    <w:rsid w:val="42AE364F"/>
    <w:rsid w:val="42B3543F"/>
    <w:rsid w:val="42BA4356"/>
    <w:rsid w:val="42BAE7CE"/>
    <w:rsid w:val="42BE08CA"/>
    <w:rsid w:val="42C0E955"/>
    <w:rsid w:val="42C48F16"/>
    <w:rsid w:val="42CB05AB"/>
    <w:rsid w:val="42CBCB2A"/>
    <w:rsid w:val="42D1CCA6"/>
    <w:rsid w:val="42E08776"/>
    <w:rsid w:val="42E0C88F"/>
    <w:rsid w:val="42E47AF2"/>
    <w:rsid w:val="42E91F46"/>
    <w:rsid w:val="42F22F66"/>
    <w:rsid w:val="42F8B8C6"/>
    <w:rsid w:val="430A28D9"/>
    <w:rsid w:val="43113195"/>
    <w:rsid w:val="4318973B"/>
    <w:rsid w:val="4319DF32"/>
    <w:rsid w:val="43265AFA"/>
    <w:rsid w:val="4327FA38"/>
    <w:rsid w:val="43298403"/>
    <w:rsid w:val="432CE745"/>
    <w:rsid w:val="432FD2B1"/>
    <w:rsid w:val="433327B7"/>
    <w:rsid w:val="43365CC6"/>
    <w:rsid w:val="433A24ED"/>
    <w:rsid w:val="433DE1CF"/>
    <w:rsid w:val="43473D11"/>
    <w:rsid w:val="4349AE62"/>
    <w:rsid w:val="4352351F"/>
    <w:rsid w:val="4358CBBF"/>
    <w:rsid w:val="435A29EB"/>
    <w:rsid w:val="435B66C5"/>
    <w:rsid w:val="435CC110"/>
    <w:rsid w:val="435E59A2"/>
    <w:rsid w:val="436D267F"/>
    <w:rsid w:val="4375F1ED"/>
    <w:rsid w:val="43779075"/>
    <w:rsid w:val="43786B9F"/>
    <w:rsid w:val="43787F9E"/>
    <w:rsid w:val="4378F4BD"/>
    <w:rsid w:val="438987A4"/>
    <w:rsid w:val="438DE0BC"/>
    <w:rsid w:val="438EE0DB"/>
    <w:rsid w:val="43970DA9"/>
    <w:rsid w:val="43990125"/>
    <w:rsid w:val="43A32F26"/>
    <w:rsid w:val="43A94D53"/>
    <w:rsid w:val="43A9831C"/>
    <w:rsid w:val="43B0A909"/>
    <w:rsid w:val="43B2181C"/>
    <w:rsid w:val="43B6107B"/>
    <w:rsid w:val="43B70510"/>
    <w:rsid w:val="43B81027"/>
    <w:rsid w:val="43BD2EDE"/>
    <w:rsid w:val="43BEA1BA"/>
    <w:rsid w:val="43C49BCC"/>
    <w:rsid w:val="43C535A2"/>
    <w:rsid w:val="43C971D2"/>
    <w:rsid w:val="43C9B437"/>
    <w:rsid w:val="43D5AF3F"/>
    <w:rsid w:val="43DFB566"/>
    <w:rsid w:val="43E28DC1"/>
    <w:rsid w:val="43EB5F8B"/>
    <w:rsid w:val="43ED22C9"/>
    <w:rsid w:val="43EEC0A6"/>
    <w:rsid w:val="43EECFA3"/>
    <w:rsid w:val="43F04CC5"/>
    <w:rsid w:val="43F32261"/>
    <w:rsid w:val="43F73805"/>
    <w:rsid w:val="43F8AAD9"/>
    <w:rsid w:val="43FC761F"/>
    <w:rsid w:val="4401D9DD"/>
    <w:rsid w:val="440915FB"/>
    <w:rsid w:val="4416297E"/>
    <w:rsid w:val="441B4D7A"/>
    <w:rsid w:val="441BC87B"/>
    <w:rsid w:val="441E6E04"/>
    <w:rsid w:val="441E886D"/>
    <w:rsid w:val="4428E2F7"/>
    <w:rsid w:val="4430BA7E"/>
    <w:rsid w:val="44330237"/>
    <w:rsid w:val="4442CEC9"/>
    <w:rsid w:val="44485A14"/>
    <w:rsid w:val="4448E664"/>
    <w:rsid w:val="444B2513"/>
    <w:rsid w:val="444DCA59"/>
    <w:rsid w:val="444EABC6"/>
    <w:rsid w:val="444FC1FD"/>
    <w:rsid w:val="44579FEA"/>
    <w:rsid w:val="445A4809"/>
    <w:rsid w:val="445AEF00"/>
    <w:rsid w:val="446252B2"/>
    <w:rsid w:val="446365E2"/>
    <w:rsid w:val="44650FDA"/>
    <w:rsid w:val="4469281A"/>
    <w:rsid w:val="4469838D"/>
    <w:rsid w:val="4469C259"/>
    <w:rsid w:val="446FC531"/>
    <w:rsid w:val="446FD0C6"/>
    <w:rsid w:val="4476CCED"/>
    <w:rsid w:val="44799F85"/>
    <w:rsid w:val="447A0B7F"/>
    <w:rsid w:val="447A97C0"/>
    <w:rsid w:val="4481DCAA"/>
    <w:rsid w:val="4484850C"/>
    <w:rsid w:val="44955F15"/>
    <w:rsid w:val="449627E7"/>
    <w:rsid w:val="449B0A98"/>
    <w:rsid w:val="44B27179"/>
    <w:rsid w:val="44B75FA3"/>
    <w:rsid w:val="44B8EB00"/>
    <w:rsid w:val="44BB1466"/>
    <w:rsid w:val="44C410C7"/>
    <w:rsid w:val="44C5742E"/>
    <w:rsid w:val="44C8287D"/>
    <w:rsid w:val="44C8CD8E"/>
    <w:rsid w:val="44CF1197"/>
    <w:rsid w:val="44D1FC7B"/>
    <w:rsid w:val="44D9BA16"/>
    <w:rsid w:val="44D9FEAC"/>
    <w:rsid w:val="44F4B490"/>
    <w:rsid w:val="44F67060"/>
    <w:rsid w:val="45008777"/>
    <w:rsid w:val="45011D5A"/>
    <w:rsid w:val="4502F502"/>
    <w:rsid w:val="45097B6E"/>
    <w:rsid w:val="451A7BED"/>
    <w:rsid w:val="45255805"/>
    <w:rsid w:val="452D3AC4"/>
    <w:rsid w:val="4537EEE3"/>
    <w:rsid w:val="453AE21C"/>
    <w:rsid w:val="454830B4"/>
    <w:rsid w:val="454A143A"/>
    <w:rsid w:val="45526E6D"/>
    <w:rsid w:val="45535307"/>
    <w:rsid w:val="4558C6A0"/>
    <w:rsid w:val="455D2C1A"/>
    <w:rsid w:val="45610603"/>
    <w:rsid w:val="4562D2B8"/>
    <w:rsid w:val="45674079"/>
    <w:rsid w:val="45681751"/>
    <w:rsid w:val="457095AB"/>
    <w:rsid w:val="4572D33A"/>
    <w:rsid w:val="45747835"/>
    <w:rsid w:val="4574DAE5"/>
    <w:rsid w:val="457EBD9B"/>
    <w:rsid w:val="45825811"/>
    <w:rsid w:val="4589B5FD"/>
    <w:rsid w:val="459A1AA4"/>
    <w:rsid w:val="459AE71C"/>
    <w:rsid w:val="45A3CAF5"/>
    <w:rsid w:val="45AEF35E"/>
    <w:rsid w:val="45AFB5D4"/>
    <w:rsid w:val="45AFFDCF"/>
    <w:rsid w:val="45BDD7E1"/>
    <w:rsid w:val="45BE45F1"/>
    <w:rsid w:val="45C5DA97"/>
    <w:rsid w:val="45CED298"/>
    <w:rsid w:val="45D13EA4"/>
    <w:rsid w:val="45D8A449"/>
    <w:rsid w:val="45DB4329"/>
    <w:rsid w:val="45E2B7DF"/>
    <w:rsid w:val="45E7C824"/>
    <w:rsid w:val="45EA6701"/>
    <w:rsid w:val="45EAD96A"/>
    <w:rsid w:val="45F222F6"/>
    <w:rsid w:val="45F3543D"/>
    <w:rsid w:val="45FD0A41"/>
    <w:rsid w:val="45FD5BCB"/>
    <w:rsid w:val="45FE3AFF"/>
    <w:rsid w:val="4604B8DA"/>
    <w:rsid w:val="46086EC0"/>
    <w:rsid w:val="460D592F"/>
    <w:rsid w:val="460EF232"/>
    <w:rsid w:val="461526B1"/>
    <w:rsid w:val="46164BBE"/>
    <w:rsid w:val="4619E7C9"/>
    <w:rsid w:val="461CF429"/>
    <w:rsid w:val="4625AEDC"/>
    <w:rsid w:val="4625E925"/>
    <w:rsid w:val="46289D78"/>
    <w:rsid w:val="4632CA01"/>
    <w:rsid w:val="4633E08C"/>
    <w:rsid w:val="4635888C"/>
    <w:rsid w:val="46374090"/>
    <w:rsid w:val="46379DD5"/>
    <w:rsid w:val="463F35C9"/>
    <w:rsid w:val="464759CA"/>
    <w:rsid w:val="46526427"/>
    <w:rsid w:val="465339D5"/>
    <w:rsid w:val="465CF1C0"/>
    <w:rsid w:val="465FDD18"/>
    <w:rsid w:val="466244E4"/>
    <w:rsid w:val="4679DF2A"/>
    <w:rsid w:val="468066D0"/>
    <w:rsid w:val="4689A9A4"/>
    <w:rsid w:val="469084F1"/>
    <w:rsid w:val="469240C1"/>
    <w:rsid w:val="469AD45E"/>
    <w:rsid w:val="469B9A3E"/>
    <w:rsid w:val="469E5119"/>
    <w:rsid w:val="46B0D9AA"/>
    <w:rsid w:val="46B35942"/>
    <w:rsid w:val="46BFF1DB"/>
    <w:rsid w:val="46C1173A"/>
    <w:rsid w:val="46C12866"/>
    <w:rsid w:val="46C7F91E"/>
    <w:rsid w:val="46C90B25"/>
    <w:rsid w:val="46CD2225"/>
    <w:rsid w:val="46D5170F"/>
    <w:rsid w:val="46DE36A7"/>
    <w:rsid w:val="46E06B58"/>
    <w:rsid w:val="46E2A8D3"/>
    <w:rsid w:val="46E529F8"/>
    <w:rsid w:val="46E6A570"/>
    <w:rsid w:val="46EA0402"/>
    <w:rsid w:val="46F0E1ED"/>
    <w:rsid w:val="46F78CE7"/>
    <w:rsid w:val="46F79E6F"/>
    <w:rsid w:val="46FAE7B7"/>
    <w:rsid w:val="46FD40FB"/>
    <w:rsid w:val="4701371A"/>
    <w:rsid w:val="470310DA"/>
    <w:rsid w:val="470CE883"/>
    <w:rsid w:val="471B1C6A"/>
    <w:rsid w:val="4720997A"/>
    <w:rsid w:val="4723366F"/>
    <w:rsid w:val="4725A172"/>
    <w:rsid w:val="472CCD89"/>
    <w:rsid w:val="472D740E"/>
    <w:rsid w:val="47356DEB"/>
    <w:rsid w:val="47371915"/>
    <w:rsid w:val="473BF943"/>
    <w:rsid w:val="473CBF27"/>
    <w:rsid w:val="473E2C52"/>
    <w:rsid w:val="4740C4CB"/>
    <w:rsid w:val="4741C7F8"/>
    <w:rsid w:val="4742318E"/>
    <w:rsid w:val="4744EF26"/>
    <w:rsid w:val="474726D3"/>
    <w:rsid w:val="47483C31"/>
    <w:rsid w:val="4758E718"/>
    <w:rsid w:val="475BE39B"/>
    <w:rsid w:val="475C41FA"/>
    <w:rsid w:val="475C9E78"/>
    <w:rsid w:val="47655FE3"/>
    <w:rsid w:val="47657829"/>
    <w:rsid w:val="4769F2CB"/>
    <w:rsid w:val="476C4130"/>
    <w:rsid w:val="47742D30"/>
    <w:rsid w:val="4783CE8F"/>
    <w:rsid w:val="4785EDE9"/>
    <w:rsid w:val="478B9652"/>
    <w:rsid w:val="478E950A"/>
    <w:rsid w:val="4795D30E"/>
    <w:rsid w:val="4797313C"/>
    <w:rsid w:val="479B0E02"/>
    <w:rsid w:val="479FA5F0"/>
    <w:rsid w:val="47A23C26"/>
    <w:rsid w:val="47A5F6CF"/>
    <w:rsid w:val="47A67BB0"/>
    <w:rsid w:val="47A9AD9B"/>
    <w:rsid w:val="47AE6DAF"/>
    <w:rsid w:val="47B0180B"/>
    <w:rsid w:val="47BE9E8F"/>
    <w:rsid w:val="47C5E1EF"/>
    <w:rsid w:val="47C887AC"/>
    <w:rsid w:val="47D6D5EE"/>
    <w:rsid w:val="47DAF5CE"/>
    <w:rsid w:val="47E2680D"/>
    <w:rsid w:val="47EBD424"/>
    <w:rsid w:val="47F2EBE6"/>
    <w:rsid w:val="47FAFA17"/>
    <w:rsid w:val="480800B1"/>
    <w:rsid w:val="480EA653"/>
    <w:rsid w:val="4815C199"/>
    <w:rsid w:val="4815CB38"/>
    <w:rsid w:val="48197A4F"/>
    <w:rsid w:val="481B969F"/>
    <w:rsid w:val="481E566E"/>
    <w:rsid w:val="481EBDCD"/>
    <w:rsid w:val="4826D3CA"/>
    <w:rsid w:val="482BD069"/>
    <w:rsid w:val="482D38B6"/>
    <w:rsid w:val="48367E74"/>
    <w:rsid w:val="4840D8DB"/>
    <w:rsid w:val="4843E32D"/>
    <w:rsid w:val="484ACAC3"/>
    <w:rsid w:val="484D4F9A"/>
    <w:rsid w:val="48574D47"/>
    <w:rsid w:val="4866C985"/>
    <w:rsid w:val="4868E4EE"/>
    <w:rsid w:val="486BD94E"/>
    <w:rsid w:val="48711CF6"/>
    <w:rsid w:val="48728423"/>
    <w:rsid w:val="488B814A"/>
    <w:rsid w:val="4899C5D5"/>
    <w:rsid w:val="48A24FCB"/>
    <w:rsid w:val="48A84247"/>
    <w:rsid w:val="48AA0DD6"/>
    <w:rsid w:val="48B0F3F0"/>
    <w:rsid w:val="48B55772"/>
    <w:rsid w:val="48BD3D95"/>
    <w:rsid w:val="48BED8E5"/>
    <w:rsid w:val="48C14A39"/>
    <w:rsid w:val="48C2B2D6"/>
    <w:rsid w:val="48C54E32"/>
    <w:rsid w:val="48CC5199"/>
    <w:rsid w:val="48CD92ED"/>
    <w:rsid w:val="48CDD2A7"/>
    <w:rsid w:val="48D04F0C"/>
    <w:rsid w:val="48E8202D"/>
    <w:rsid w:val="48EFF457"/>
    <w:rsid w:val="48EFF56D"/>
    <w:rsid w:val="48F045E0"/>
    <w:rsid w:val="48F088EB"/>
    <w:rsid w:val="48F637DB"/>
    <w:rsid w:val="48F6D027"/>
    <w:rsid w:val="48FD32CE"/>
    <w:rsid w:val="48FD5A27"/>
    <w:rsid w:val="4905B699"/>
    <w:rsid w:val="490C3CFC"/>
    <w:rsid w:val="490C949E"/>
    <w:rsid w:val="491DD0B6"/>
    <w:rsid w:val="491FB1A7"/>
    <w:rsid w:val="49236829"/>
    <w:rsid w:val="49244BCF"/>
    <w:rsid w:val="492766B3"/>
    <w:rsid w:val="492BB41B"/>
    <w:rsid w:val="492CCAEB"/>
    <w:rsid w:val="493170F5"/>
    <w:rsid w:val="4937C62E"/>
    <w:rsid w:val="493F9100"/>
    <w:rsid w:val="4944F9F1"/>
    <w:rsid w:val="494FE877"/>
    <w:rsid w:val="49516DC3"/>
    <w:rsid w:val="4953B0E3"/>
    <w:rsid w:val="4954CC1D"/>
    <w:rsid w:val="4958A69F"/>
    <w:rsid w:val="495D20DF"/>
    <w:rsid w:val="4961D89D"/>
    <w:rsid w:val="496A111F"/>
    <w:rsid w:val="4973974D"/>
    <w:rsid w:val="4975E564"/>
    <w:rsid w:val="4977123C"/>
    <w:rsid w:val="49A6B692"/>
    <w:rsid w:val="49AB1427"/>
    <w:rsid w:val="49B293A1"/>
    <w:rsid w:val="49B5ADA2"/>
    <w:rsid w:val="49B76700"/>
    <w:rsid w:val="49C0BDE2"/>
    <w:rsid w:val="49C176A3"/>
    <w:rsid w:val="49C4EC4D"/>
    <w:rsid w:val="49D275A9"/>
    <w:rsid w:val="49D8DE31"/>
    <w:rsid w:val="49DD8D52"/>
    <w:rsid w:val="49DFE4D1"/>
    <w:rsid w:val="49EF58B2"/>
    <w:rsid w:val="49EFAD55"/>
    <w:rsid w:val="49F03158"/>
    <w:rsid w:val="49F38F74"/>
    <w:rsid w:val="49FDA61B"/>
    <w:rsid w:val="4A02797A"/>
    <w:rsid w:val="4A0A05BD"/>
    <w:rsid w:val="4A0BBBD4"/>
    <w:rsid w:val="4A0E5484"/>
    <w:rsid w:val="4A11F185"/>
    <w:rsid w:val="4A13D486"/>
    <w:rsid w:val="4A1DF2D2"/>
    <w:rsid w:val="4A2E01B6"/>
    <w:rsid w:val="4A2EDD0B"/>
    <w:rsid w:val="4A371B2F"/>
    <w:rsid w:val="4A3AB19C"/>
    <w:rsid w:val="4A3CC6F7"/>
    <w:rsid w:val="4A559CDE"/>
    <w:rsid w:val="4A5A3723"/>
    <w:rsid w:val="4A5BC819"/>
    <w:rsid w:val="4A6409C3"/>
    <w:rsid w:val="4A6A2EFA"/>
    <w:rsid w:val="4A7AF1B9"/>
    <w:rsid w:val="4A8A4BE3"/>
    <w:rsid w:val="4A8E0F9E"/>
    <w:rsid w:val="4A8F853C"/>
    <w:rsid w:val="4A8FE9A1"/>
    <w:rsid w:val="4A95D4E1"/>
    <w:rsid w:val="4A994BBA"/>
    <w:rsid w:val="4A9C3986"/>
    <w:rsid w:val="4AA45378"/>
    <w:rsid w:val="4AB08976"/>
    <w:rsid w:val="4AB62902"/>
    <w:rsid w:val="4AB9254A"/>
    <w:rsid w:val="4AC33714"/>
    <w:rsid w:val="4AD19641"/>
    <w:rsid w:val="4ADD969B"/>
    <w:rsid w:val="4AE10B87"/>
    <w:rsid w:val="4AE4A297"/>
    <w:rsid w:val="4AE65FEF"/>
    <w:rsid w:val="4AEA4EF0"/>
    <w:rsid w:val="4AEAAC90"/>
    <w:rsid w:val="4AECFA94"/>
    <w:rsid w:val="4AFE66ED"/>
    <w:rsid w:val="4B042BE1"/>
    <w:rsid w:val="4B08A9A1"/>
    <w:rsid w:val="4B0A8D5F"/>
    <w:rsid w:val="4B229514"/>
    <w:rsid w:val="4B2DAE41"/>
    <w:rsid w:val="4B2EC33F"/>
    <w:rsid w:val="4B2FD33D"/>
    <w:rsid w:val="4B33FA0E"/>
    <w:rsid w:val="4B34A4D4"/>
    <w:rsid w:val="4B353BA5"/>
    <w:rsid w:val="4B362ED3"/>
    <w:rsid w:val="4B364EB0"/>
    <w:rsid w:val="4B37B503"/>
    <w:rsid w:val="4B39333B"/>
    <w:rsid w:val="4B40D31F"/>
    <w:rsid w:val="4B4A55B8"/>
    <w:rsid w:val="4B4AFCFA"/>
    <w:rsid w:val="4B4DEC02"/>
    <w:rsid w:val="4B5006B7"/>
    <w:rsid w:val="4B50D18A"/>
    <w:rsid w:val="4B533233"/>
    <w:rsid w:val="4B5DBE0F"/>
    <w:rsid w:val="4B6A35A5"/>
    <w:rsid w:val="4B839183"/>
    <w:rsid w:val="4B862F37"/>
    <w:rsid w:val="4B8B19AA"/>
    <w:rsid w:val="4B8D9285"/>
    <w:rsid w:val="4B98C44C"/>
    <w:rsid w:val="4B9A729B"/>
    <w:rsid w:val="4BAD0B27"/>
    <w:rsid w:val="4BB191A8"/>
    <w:rsid w:val="4BB6CC27"/>
    <w:rsid w:val="4BBBA1FC"/>
    <w:rsid w:val="4BC33C09"/>
    <w:rsid w:val="4BC7F927"/>
    <w:rsid w:val="4BC94EFC"/>
    <w:rsid w:val="4BCB3D00"/>
    <w:rsid w:val="4BE4FC81"/>
    <w:rsid w:val="4BE737D8"/>
    <w:rsid w:val="4BEDE358"/>
    <w:rsid w:val="4BF40268"/>
    <w:rsid w:val="4BF597B9"/>
    <w:rsid w:val="4C010A62"/>
    <w:rsid w:val="4C0918A0"/>
    <w:rsid w:val="4C1863CC"/>
    <w:rsid w:val="4C1BF2B2"/>
    <w:rsid w:val="4C1D25A6"/>
    <w:rsid w:val="4C1FEC1E"/>
    <w:rsid w:val="4C3CE7E6"/>
    <w:rsid w:val="4C40A6B5"/>
    <w:rsid w:val="4C4EA33E"/>
    <w:rsid w:val="4C4F4F84"/>
    <w:rsid w:val="4C528D85"/>
    <w:rsid w:val="4C5E0A60"/>
    <w:rsid w:val="4C7731C2"/>
    <w:rsid w:val="4C77B044"/>
    <w:rsid w:val="4C79699D"/>
    <w:rsid w:val="4C8C824D"/>
    <w:rsid w:val="4C933F2B"/>
    <w:rsid w:val="4C9580FC"/>
    <w:rsid w:val="4C95E5FF"/>
    <w:rsid w:val="4C9A9697"/>
    <w:rsid w:val="4CA221EA"/>
    <w:rsid w:val="4CA229DE"/>
    <w:rsid w:val="4CAB93B7"/>
    <w:rsid w:val="4CAD89C1"/>
    <w:rsid w:val="4CAE9CC8"/>
    <w:rsid w:val="4CAEF193"/>
    <w:rsid w:val="4CBBABDF"/>
    <w:rsid w:val="4CC41A6A"/>
    <w:rsid w:val="4CCA3C8A"/>
    <w:rsid w:val="4CCCFDBC"/>
    <w:rsid w:val="4CD00A5F"/>
    <w:rsid w:val="4CD41C99"/>
    <w:rsid w:val="4CD74F08"/>
    <w:rsid w:val="4CD827FC"/>
    <w:rsid w:val="4CE4BBBD"/>
    <w:rsid w:val="4CE4E802"/>
    <w:rsid w:val="4CE6D60F"/>
    <w:rsid w:val="4CF842C7"/>
    <w:rsid w:val="4D029787"/>
    <w:rsid w:val="4D08E3C8"/>
    <w:rsid w:val="4D0D633F"/>
    <w:rsid w:val="4D0E37CB"/>
    <w:rsid w:val="4D11053F"/>
    <w:rsid w:val="4D11760D"/>
    <w:rsid w:val="4D11906D"/>
    <w:rsid w:val="4D1E72BB"/>
    <w:rsid w:val="4D201B2E"/>
    <w:rsid w:val="4D26A264"/>
    <w:rsid w:val="4D29C071"/>
    <w:rsid w:val="4D2FBFA0"/>
    <w:rsid w:val="4D31AB38"/>
    <w:rsid w:val="4D37EA79"/>
    <w:rsid w:val="4D3E2684"/>
    <w:rsid w:val="4D44F8E5"/>
    <w:rsid w:val="4D53343B"/>
    <w:rsid w:val="4D5A5F42"/>
    <w:rsid w:val="4D68C626"/>
    <w:rsid w:val="4D6A9F83"/>
    <w:rsid w:val="4D745EBB"/>
    <w:rsid w:val="4D7481A3"/>
    <w:rsid w:val="4D8D69F6"/>
    <w:rsid w:val="4D8D94DD"/>
    <w:rsid w:val="4D92F54C"/>
    <w:rsid w:val="4D9A25AA"/>
    <w:rsid w:val="4DA0C4C5"/>
    <w:rsid w:val="4DA4E901"/>
    <w:rsid w:val="4DA59E45"/>
    <w:rsid w:val="4DA8816B"/>
    <w:rsid w:val="4DAADB06"/>
    <w:rsid w:val="4DAB2BCA"/>
    <w:rsid w:val="4DAC5C71"/>
    <w:rsid w:val="4DAC5CD2"/>
    <w:rsid w:val="4DAD630E"/>
    <w:rsid w:val="4DBFB1A5"/>
    <w:rsid w:val="4DCA2F90"/>
    <w:rsid w:val="4DCD6722"/>
    <w:rsid w:val="4DD0EC7C"/>
    <w:rsid w:val="4DD4B9AD"/>
    <w:rsid w:val="4DD5EAAB"/>
    <w:rsid w:val="4DE35A07"/>
    <w:rsid w:val="4DE61FEE"/>
    <w:rsid w:val="4DE77F15"/>
    <w:rsid w:val="4DEBDD98"/>
    <w:rsid w:val="4DF606E6"/>
    <w:rsid w:val="4DF7D378"/>
    <w:rsid w:val="4DF90D51"/>
    <w:rsid w:val="4DFDFB31"/>
    <w:rsid w:val="4E0441E6"/>
    <w:rsid w:val="4E12B5AC"/>
    <w:rsid w:val="4E19300C"/>
    <w:rsid w:val="4E1DAF33"/>
    <w:rsid w:val="4E2025B5"/>
    <w:rsid w:val="4E20EB67"/>
    <w:rsid w:val="4E299654"/>
    <w:rsid w:val="4E3B36C8"/>
    <w:rsid w:val="4E40457A"/>
    <w:rsid w:val="4E441E68"/>
    <w:rsid w:val="4E44B650"/>
    <w:rsid w:val="4E4D383E"/>
    <w:rsid w:val="4E5D623B"/>
    <w:rsid w:val="4E5E599F"/>
    <w:rsid w:val="4E78E055"/>
    <w:rsid w:val="4E7F7742"/>
    <w:rsid w:val="4E7FFF5C"/>
    <w:rsid w:val="4E8142A8"/>
    <w:rsid w:val="4E833334"/>
    <w:rsid w:val="4E877C82"/>
    <w:rsid w:val="4E8DB20F"/>
    <w:rsid w:val="4E9866A5"/>
    <w:rsid w:val="4E98EF7C"/>
    <w:rsid w:val="4EA3BB34"/>
    <w:rsid w:val="4EAA533C"/>
    <w:rsid w:val="4EAFEBA2"/>
    <w:rsid w:val="4EB02994"/>
    <w:rsid w:val="4EB7070A"/>
    <w:rsid w:val="4EB8171A"/>
    <w:rsid w:val="4EBED8A5"/>
    <w:rsid w:val="4ED0650E"/>
    <w:rsid w:val="4EDA79E1"/>
    <w:rsid w:val="4EDB0CDC"/>
    <w:rsid w:val="4EDCDBBC"/>
    <w:rsid w:val="4EE562A8"/>
    <w:rsid w:val="4EF163F5"/>
    <w:rsid w:val="4F038DB2"/>
    <w:rsid w:val="4F14907A"/>
    <w:rsid w:val="4F19A955"/>
    <w:rsid w:val="4F19B580"/>
    <w:rsid w:val="4F340D56"/>
    <w:rsid w:val="4F34EC03"/>
    <w:rsid w:val="4F39B1DA"/>
    <w:rsid w:val="4F3B4054"/>
    <w:rsid w:val="4F45CDB4"/>
    <w:rsid w:val="4F4A8FA3"/>
    <w:rsid w:val="4F68284A"/>
    <w:rsid w:val="4F6C3221"/>
    <w:rsid w:val="4F739D6F"/>
    <w:rsid w:val="4F77982F"/>
    <w:rsid w:val="4F7CF7A6"/>
    <w:rsid w:val="4F800E70"/>
    <w:rsid w:val="4F8AD91D"/>
    <w:rsid w:val="4F8B990B"/>
    <w:rsid w:val="4F8D7869"/>
    <w:rsid w:val="4F906056"/>
    <w:rsid w:val="4F94CCF6"/>
    <w:rsid w:val="4F97B1A8"/>
    <w:rsid w:val="4F9D3F1A"/>
    <w:rsid w:val="4FA03984"/>
    <w:rsid w:val="4FA5DAF1"/>
    <w:rsid w:val="4FB344C2"/>
    <w:rsid w:val="4FB3B649"/>
    <w:rsid w:val="4FBD5183"/>
    <w:rsid w:val="4FBDED16"/>
    <w:rsid w:val="4FBE8847"/>
    <w:rsid w:val="4FC0C6D9"/>
    <w:rsid w:val="4FC2008F"/>
    <w:rsid w:val="4FC21705"/>
    <w:rsid w:val="4FC6C3C4"/>
    <w:rsid w:val="4FC896A3"/>
    <w:rsid w:val="4FD5AF17"/>
    <w:rsid w:val="4FE350F1"/>
    <w:rsid w:val="4FE5F14B"/>
    <w:rsid w:val="4FE9E5A0"/>
    <w:rsid w:val="4FFA7F8F"/>
    <w:rsid w:val="50053ECC"/>
    <w:rsid w:val="500948E3"/>
    <w:rsid w:val="50151222"/>
    <w:rsid w:val="5018B48F"/>
    <w:rsid w:val="501E2E01"/>
    <w:rsid w:val="5027FA01"/>
    <w:rsid w:val="502C3033"/>
    <w:rsid w:val="502EE751"/>
    <w:rsid w:val="5033A7E1"/>
    <w:rsid w:val="50368023"/>
    <w:rsid w:val="503B900F"/>
    <w:rsid w:val="503B93FF"/>
    <w:rsid w:val="503D0A2E"/>
    <w:rsid w:val="503DDA49"/>
    <w:rsid w:val="50409188"/>
    <w:rsid w:val="50409CD0"/>
    <w:rsid w:val="5041973E"/>
    <w:rsid w:val="504B24A4"/>
    <w:rsid w:val="5053CEC5"/>
    <w:rsid w:val="5055EF16"/>
    <w:rsid w:val="5059C4FE"/>
    <w:rsid w:val="505CAAB0"/>
    <w:rsid w:val="505DAF9E"/>
    <w:rsid w:val="505EF842"/>
    <w:rsid w:val="505FB57D"/>
    <w:rsid w:val="506447E9"/>
    <w:rsid w:val="506A39D8"/>
    <w:rsid w:val="506AFAEC"/>
    <w:rsid w:val="506B6040"/>
    <w:rsid w:val="50730661"/>
    <w:rsid w:val="50779D42"/>
    <w:rsid w:val="507EB1B1"/>
    <w:rsid w:val="508267BD"/>
    <w:rsid w:val="5086E36A"/>
    <w:rsid w:val="50874D9E"/>
    <w:rsid w:val="509D27F1"/>
    <w:rsid w:val="50A65CB3"/>
    <w:rsid w:val="50A6F213"/>
    <w:rsid w:val="50B511D1"/>
    <w:rsid w:val="50C11D37"/>
    <w:rsid w:val="50C13068"/>
    <w:rsid w:val="50C45F3E"/>
    <w:rsid w:val="50CAE618"/>
    <w:rsid w:val="50CC25FC"/>
    <w:rsid w:val="50CD233D"/>
    <w:rsid w:val="50D5AE17"/>
    <w:rsid w:val="50D75B08"/>
    <w:rsid w:val="50D972BA"/>
    <w:rsid w:val="50D9CAA6"/>
    <w:rsid w:val="50DA0D0E"/>
    <w:rsid w:val="50DF57D5"/>
    <w:rsid w:val="50E1DEF5"/>
    <w:rsid w:val="50F48EE6"/>
    <w:rsid w:val="50F85824"/>
    <w:rsid w:val="5102B674"/>
    <w:rsid w:val="510448FF"/>
    <w:rsid w:val="51060E71"/>
    <w:rsid w:val="5108A7DF"/>
    <w:rsid w:val="510D2FC0"/>
    <w:rsid w:val="511A3ECA"/>
    <w:rsid w:val="5126F43E"/>
    <w:rsid w:val="513321EF"/>
    <w:rsid w:val="5136FA11"/>
    <w:rsid w:val="513B9A56"/>
    <w:rsid w:val="513FF26B"/>
    <w:rsid w:val="51473B8B"/>
    <w:rsid w:val="515A6461"/>
    <w:rsid w:val="5160A686"/>
    <w:rsid w:val="51680448"/>
    <w:rsid w:val="51694F1A"/>
    <w:rsid w:val="5170085B"/>
    <w:rsid w:val="517C5712"/>
    <w:rsid w:val="517E45C8"/>
    <w:rsid w:val="517EB74E"/>
    <w:rsid w:val="5181997D"/>
    <w:rsid w:val="5181E857"/>
    <w:rsid w:val="51894A53"/>
    <w:rsid w:val="518D3BF4"/>
    <w:rsid w:val="518E0545"/>
    <w:rsid w:val="518EE1F0"/>
    <w:rsid w:val="519D8822"/>
    <w:rsid w:val="519EE28F"/>
    <w:rsid w:val="519F14C1"/>
    <w:rsid w:val="51A1EAA5"/>
    <w:rsid w:val="51A5A04B"/>
    <w:rsid w:val="51A78DBC"/>
    <w:rsid w:val="51AECD9F"/>
    <w:rsid w:val="51B6DF0A"/>
    <w:rsid w:val="51B94211"/>
    <w:rsid w:val="51BB69E3"/>
    <w:rsid w:val="51BCD8EA"/>
    <w:rsid w:val="51C1B2DA"/>
    <w:rsid w:val="51C28817"/>
    <w:rsid w:val="51C3CB20"/>
    <w:rsid w:val="51C4CDD3"/>
    <w:rsid w:val="51C990D3"/>
    <w:rsid w:val="51CAB7B2"/>
    <w:rsid w:val="51CF5C72"/>
    <w:rsid w:val="51D0903E"/>
    <w:rsid w:val="51DF6DEF"/>
    <w:rsid w:val="51E1E4B6"/>
    <w:rsid w:val="51E64131"/>
    <w:rsid w:val="51EDA053"/>
    <w:rsid w:val="51F69DFC"/>
    <w:rsid w:val="51F843E2"/>
    <w:rsid w:val="51F97FFF"/>
    <w:rsid w:val="51FED6DF"/>
    <w:rsid w:val="5200184A"/>
    <w:rsid w:val="5200B4C1"/>
    <w:rsid w:val="52037038"/>
    <w:rsid w:val="5205E3C5"/>
    <w:rsid w:val="5209591C"/>
    <w:rsid w:val="520BB5CE"/>
    <w:rsid w:val="520C49F0"/>
    <w:rsid w:val="5212ABAD"/>
    <w:rsid w:val="5218ED13"/>
    <w:rsid w:val="5219EF0A"/>
    <w:rsid w:val="5226A55E"/>
    <w:rsid w:val="5226DF54"/>
    <w:rsid w:val="52272CEF"/>
    <w:rsid w:val="5229BA6A"/>
    <w:rsid w:val="522AB4F4"/>
    <w:rsid w:val="522C714D"/>
    <w:rsid w:val="522F6CA1"/>
    <w:rsid w:val="52362854"/>
    <w:rsid w:val="523D343D"/>
    <w:rsid w:val="52412562"/>
    <w:rsid w:val="5247B2BC"/>
    <w:rsid w:val="52552AE3"/>
    <w:rsid w:val="5256759D"/>
    <w:rsid w:val="525C108E"/>
    <w:rsid w:val="526279DC"/>
    <w:rsid w:val="52635B1F"/>
    <w:rsid w:val="526616D8"/>
    <w:rsid w:val="5267361A"/>
    <w:rsid w:val="52676564"/>
    <w:rsid w:val="52719510"/>
    <w:rsid w:val="5272620E"/>
    <w:rsid w:val="5273032B"/>
    <w:rsid w:val="52785A24"/>
    <w:rsid w:val="52847D54"/>
    <w:rsid w:val="528D8B3E"/>
    <w:rsid w:val="528FD7C4"/>
    <w:rsid w:val="5290B587"/>
    <w:rsid w:val="5290CF56"/>
    <w:rsid w:val="52913D32"/>
    <w:rsid w:val="529F4D34"/>
    <w:rsid w:val="52A1CC4A"/>
    <w:rsid w:val="52A3746B"/>
    <w:rsid w:val="52A508BF"/>
    <w:rsid w:val="52B0FB52"/>
    <w:rsid w:val="52B74B89"/>
    <w:rsid w:val="52B7AF32"/>
    <w:rsid w:val="52BA3AF8"/>
    <w:rsid w:val="52BEB8B0"/>
    <w:rsid w:val="52C1B246"/>
    <w:rsid w:val="52C7D1BD"/>
    <w:rsid w:val="52C8E1DC"/>
    <w:rsid w:val="52CF2D8A"/>
    <w:rsid w:val="52CFEE9E"/>
    <w:rsid w:val="52D0B670"/>
    <w:rsid w:val="52E66088"/>
    <w:rsid w:val="52EDF0E9"/>
    <w:rsid w:val="52F8574A"/>
    <w:rsid w:val="52FE6EB8"/>
    <w:rsid w:val="52FEB8E7"/>
    <w:rsid w:val="5306F94C"/>
    <w:rsid w:val="53085E05"/>
    <w:rsid w:val="530F7F96"/>
    <w:rsid w:val="5320FE8F"/>
    <w:rsid w:val="53218662"/>
    <w:rsid w:val="5326A967"/>
    <w:rsid w:val="53338829"/>
    <w:rsid w:val="53442837"/>
    <w:rsid w:val="534AF895"/>
    <w:rsid w:val="534F0FC9"/>
    <w:rsid w:val="535E129B"/>
    <w:rsid w:val="53683826"/>
    <w:rsid w:val="5369A9AB"/>
    <w:rsid w:val="5370150A"/>
    <w:rsid w:val="5376F57F"/>
    <w:rsid w:val="537C89EC"/>
    <w:rsid w:val="537EC671"/>
    <w:rsid w:val="5387DE0A"/>
    <w:rsid w:val="539A6C23"/>
    <w:rsid w:val="53A294C6"/>
    <w:rsid w:val="53A58480"/>
    <w:rsid w:val="53A798F4"/>
    <w:rsid w:val="53B43FFF"/>
    <w:rsid w:val="53BC0591"/>
    <w:rsid w:val="53BD3709"/>
    <w:rsid w:val="53BEE4C8"/>
    <w:rsid w:val="53C69AC2"/>
    <w:rsid w:val="53D2A97C"/>
    <w:rsid w:val="53D33D7C"/>
    <w:rsid w:val="53D57238"/>
    <w:rsid w:val="53DB2658"/>
    <w:rsid w:val="53DD426E"/>
    <w:rsid w:val="53E0C7B7"/>
    <w:rsid w:val="53E4634E"/>
    <w:rsid w:val="53ECF1E9"/>
    <w:rsid w:val="53EE59BA"/>
    <w:rsid w:val="53F098ED"/>
    <w:rsid w:val="53FE56E2"/>
    <w:rsid w:val="540FDFBD"/>
    <w:rsid w:val="541324EB"/>
    <w:rsid w:val="5418D421"/>
    <w:rsid w:val="5420BDC2"/>
    <w:rsid w:val="5421F2EE"/>
    <w:rsid w:val="543020F4"/>
    <w:rsid w:val="5430C345"/>
    <w:rsid w:val="543B88F6"/>
    <w:rsid w:val="5446E51B"/>
    <w:rsid w:val="54473D00"/>
    <w:rsid w:val="544DCF57"/>
    <w:rsid w:val="545296A2"/>
    <w:rsid w:val="545D0B48"/>
    <w:rsid w:val="545D9F6A"/>
    <w:rsid w:val="545DBAED"/>
    <w:rsid w:val="545F0A2E"/>
    <w:rsid w:val="545F6113"/>
    <w:rsid w:val="5463CA91"/>
    <w:rsid w:val="5463D179"/>
    <w:rsid w:val="5464C1D8"/>
    <w:rsid w:val="546B3421"/>
    <w:rsid w:val="546EC0E2"/>
    <w:rsid w:val="547AFF4E"/>
    <w:rsid w:val="54803634"/>
    <w:rsid w:val="54870C26"/>
    <w:rsid w:val="548804CF"/>
    <w:rsid w:val="548AEF89"/>
    <w:rsid w:val="548C5879"/>
    <w:rsid w:val="5498F207"/>
    <w:rsid w:val="54993D75"/>
    <w:rsid w:val="549A9C4B"/>
    <w:rsid w:val="549AC2C9"/>
    <w:rsid w:val="549F356C"/>
    <w:rsid w:val="54A2AB71"/>
    <w:rsid w:val="54A9756F"/>
    <w:rsid w:val="54A99605"/>
    <w:rsid w:val="54C0EB15"/>
    <w:rsid w:val="54C3E02A"/>
    <w:rsid w:val="54C5C8FB"/>
    <w:rsid w:val="54D80FA1"/>
    <w:rsid w:val="54D8F393"/>
    <w:rsid w:val="54DAE6E1"/>
    <w:rsid w:val="54DBCE04"/>
    <w:rsid w:val="54DFF898"/>
    <w:rsid w:val="54E52FC1"/>
    <w:rsid w:val="54EEB6BC"/>
    <w:rsid w:val="54F0996C"/>
    <w:rsid w:val="54FA3382"/>
    <w:rsid w:val="5501A039"/>
    <w:rsid w:val="5502F697"/>
    <w:rsid w:val="550ADC90"/>
    <w:rsid w:val="550C036C"/>
    <w:rsid w:val="550D0264"/>
    <w:rsid w:val="551A4CB8"/>
    <w:rsid w:val="551B0D54"/>
    <w:rsid w:val="552751E1"/>
    <w:rsid w:val="55351056"/>
    <w:rsid w:val="553733CC"/>
    <w:rsid w:val="553A4B20"/>
    <w:rsid w:val="5540A6B5"/>
    <w:rsid w:val="5542D617"/>
    <w:rsid w:val="554A3A0D"/>
    <w:rsid w:val="554F37AF"/>
    <w:rsid w:val="555265EE"/>
    <w:rsid w:val="5553F053"/>
    <w:rsid w:val="555A59A8"/>
    <w:rsid w:val="555ABEC1"/>
    <w:rsid w:val="555B9B46"/>
    <w:rsid w:val="555BDAF3"/>
    <w:rsid w:val="55609AEE"/>
    <w:rsid w:val="556892FF"/>
    <w:rsid w:val="55718819"/>
    <w:rsid w:val="55737172"/>
    <w:rsid w:val="55785003"/>
    <w:rsid w:val="557A5289"/>
    <w:rsid w:val="5590B593"/>
    <w:rsid w:val="5595ECB2"/>
    <w:rsid w:val="559C795A"/>
    <w:rsid w:val="55A07CFC"/>
    <w:rsid w:val="55A7F34C"/>
    <w:rsid w:val="55B00CC4"/>
    <w:rsid w:val="55B87BBF"/>
    <w:rsid w:val="55BD3D9E"/>
    <w:rsid w:val="55D4BD23"/>
    <w:rsid w:val="55D77DB5"/>
    <w:rsid w:val="55DB8524"/>
    <w:rsid w:val="55DDC140"/>
    <w:rsid w:val="55DF2377"/>
    <w:rsid w:val="55E11BB5"/>
    <w:rsid w:val="55E303D3"/>
    <w:rsid w:val="55E4142F"/>
    <w:rsid w:val="55E8E1D2"/>
    <w:rsid w:val="55F6B738"/>
    <w:rsid w:val="55FA5E84"/>
    <w:rsid w:val="5603669C"/>
    <w:rsid w:val="56070482"/>
    <w:rsid w:val="560B4204"/>
    <w:rsid w:val="560E4422"/>
    <w:rsid w:val="560F8CE3"/>
    <w:rsid w:val="5615B777"/>
    <w:rsid w:val="561A4128"/>
    <w:rsid w:val="561F2B3B"/>
    <w:rsid w:val="56290828"/>
    <w:rsid w:val="562BFD4C"/>
    <w:rsid w:val="562C2E2F"/>
    <w:rsid w:val="562F21E1"/>
    <w:rsid w:val="5639664F"/>
    <w:rsid w:val="563FFAD4"/>
    <w:rsid w:val="5641A8ED"/>
    <w:rsid w:val="5641F299"/>
    <w:rsid w:val="564A740C"/>
    <w:rsid w:val="565733B6"/>
    <w:rsid w:val="565B723D"/>
    <w:rsid w:val="5661B6E4"/>
    <w:rsid w:val="5662E4AF"/>
    <w:rsid w:val="5669B738"/>
    <w:rsid w:val="566CB040"/>
    <w:rsid w:val="5673A4D1"/>
    <w:rsid w:val="567A370D"/>
    <w:rsid w:val="567A5FD1"/>
    <w:rsid w:val="567AEBA6"/>
    <w:rsid w:val="567D92BB"/>
    <w:rsid w:val="567E221A"/>
    <w:rsid w:val="568452A5"/>
    <w:rsid w:val="56896A0A"/>
    <w:rsid w:val="568C9920"/>
    <w:rsid w:val="568D417C"/>
    <w:rsid w:val="568F564C"/>
    <w:rsid w:val="568FCA3D"/>
    <w:rsid w:val="56953F49"/>
    <w:rsid w:val="569603E3"/>
    <w:rsid w:val="56A2F748"/>
    <w:rsid w:val="56A6CE8A"/>
    <w:rsid w:val="56A82D32"/>
    <w:rsid w:val="56AC3EB2"/>
    <w:rsid w:val="56B698F7"/>
    <w:rsid w:val="56BBB64B"/>
    <w:rsid w:val="56BD723F"/>
    <w:rsid w:val="56BF4EBF"/>
    <w:rsid w:val="56C22BB8"/>
    <w:rsid w:val="56C8D911"/>
    <w:rsid w:val="56CDF5F7"/>
    <w:rsid w:val="56D027D3"/>
    <w:rsid w:val="56D2AF20"/>
    <w:rsid w:val="56D9E0D6"/>
    <w:rsid w:val="56DBF840"/>
    <w:rsid w:val="56DF4E9C"/>
    <w:rsid w:val="56E0132D"/>
    <w:rsid w:val="56F8150C"/>
    <w:rsid w:val="56FD9C6D"/>
    <w:rsid w:val="570723C4"/>
    <w:rsid w:val="57074490"/>
    <w:rsid w:val="570A3C30"/>
    <w:rsid w:val="570E2C80"/>
    <w:rsid w:val="57119760"/>
    <w:rsid w:val="57163397"/>
    <w:rsid w:val="572CEAB3"/>
    <w:rsid w:val="572D743B"/>
    <w:rsid w:val="572FF57E"/>
    <w:rsid w:val="57359479"/>
    <w:rsid w:val="573B5DAD"/>
    <w:rsid w:val="573F768D"/>
    <w:rsid w:val="574579C1"/>
    <w:rsid w:val="5746439C"/>
    <w:rsid w:val="574B91F8"/>
    <w:rsid w:val="57503325"/>
    <w:rsid w:val="575064AA"/>
    <w:rsid w:val="575C414F"/>
    <w:rsid w:val="575E12F8"/>
    <w:rsid w:val="57615456"/>
    <w:rsid w:val="5763C3B9"/>
    <w:rsid w:val="57643383"/>
    <w:rsid w:val="57645E56"/>
    <w:rsid w:val="5777EF85"/>
    <w:rsid w:val="577BC1C9"/>
    <w:rsid w:val="577EA2A1"/>
    <w:rsid w:val="577F75F3"/>
    <w:rsid w:val="57814CDA"/>
    <w:rsid w:val="5789804E"/>
    <w:rsid w:val="57983EF1"/>
    <w:rsid w:val="579B9793"/>
    <w:rsid w:val="579D6A79"/>
    <w:rsid w:val="57A0DEC0"/>
    <w:rsid w:val="57AC3782"/>
    <w:rsid w:val="57B2A010"/>
    <w:rsid w:val="57BA071D"/>
    <w:rsid w:val="57C0558D"/>
    <w:rsid w:val="57C09289"/>
    <w:rsid w:val="57C19EB6"/>
    <w:rsid w:val="57C72DFB"/>
    <w:rsid w:val="57C74B64"/>
    <w:rsid w:val="57CBC86D"/>
    <w:rsid w:val="57CD842D"/>
    <w:rsid w:val="57CE1F00"/>
    <w:rsid w:val="57D4C259"/>
    <w:rsid w:val="57E17DA9"/>
    <w:rsid w:val="57E43769"/>
    <w:rsid w:val="57E46430"/>
    <w:rsid w:val="57E90085"/>
    <w:rsid w:val="57EE2271"/>
    <w:rsid w:val="57FD69BD"/>
    <w:rsid w:val="580B0BED"/>
    <w:rsid w:val="581073F4"/>
    <w:rsid w:val="58138F46"/>
    <w:rsid w:val="58163B34"/>
    <w:rsid w:val="5816AADD"/>
    <w:rsid w:val="58250B99"/>
    <w:rsid w:val="5829BD1A"/>
    <w:rsid w:val="582CE70A"/>
    <w:rsid w:val="582F882F"/>
    <w:rsid w:val="5836F3CD"/>
    <w:rsid w:val="5837D196"/>
    <w:rsid w:val="583AE804"/>
    <w:rsid w:val="5840D4C0"/>
    <w:rsid w:val="5851ED7A"/>
    <w:rsid w:val="58567C05"/>
    <w:rsid w:val="585E5A02"/>
    <w:rsid w:val="58624F76"/>
    <w:rsid w:val="587607F1"/>
    <w:rsid w:val="58774754"/>
    <w:rsid w:val="5879774C"/>
    <w:rsid w:val="58812C97"/>
    <w:rsid w:val="5881BA79"/>
    <w:rsid w:val="5887847A"/>
    <w:rsid w:val="58895D5B"/>
    <w:rsid w:val="588ACA0A"/>
    <w:rsid w:val="588C1F2F"/>
    <w:rsid w:val="588F76B4"/>
    <w:rsid w:val="5894D525"/>
    <w:rsid w:val="589A49CC"/>
    <w:rsid w:val="589F1783"/>
    <w:rsid w:val="58A4EE86"/>
    <w:rsid w:val="58ABEF7F"/>
    <w:rsid w:val="58BFF12E"/>
    <w:rsid w:val="58C73D90"/>
    <w:rsid w:val="58CA967B"/>
    <w:rsid w:val="58CFA347"/>
    <w:rsid w:val="58CFF92C"/>
    <w:rsid w:val="58DE1641"/>
    <w:rsid w:val="58EB98C3"/>
    <w:rsid w:val="58F48D26"/>
    <w:rsid w:val="58F8E722"/>
    <w:rsid w:val="58FC328A"/>
    <w:rsid w:val="58FD70AE"/>
    <w:rsid w:val="58FF941A"/>
    <w:rsid w:val="591416B5"/>
    <w:rsid w:val="59220ACD"/>
    <w:rsid w:val="592607C5"/>
    <w:rsid w:val="5927105D"/>
    <w:rsid w:val="59297C7C"/>
    <w:rsid w:val="592D3F10"/>
    <w:rsid w:val="5932A21F"/>
    <w:rsid w:val="59397167"/>
    <w:rsid w:val="593AAD14"/>
    <w:rsid w:val="593B8923"/>
    <w:rsid w:val="593C8310"/>
    <w:rsid w:val="593E14FF"/>
    <w:rsid w:val="593EA544"/>
    <w:rsid w:val="593F71A8"/>
    <w:rsid w:val="5944F875"/>
    <w:rsid w:val="5946B023"/>
    <w:rsid w:val="594CAA11"/>
    <w:rsid w:val="594E7071"/>
    <w:rsid w:val="5956B2DA"/>
    <w:rsid w:val="595C8B3F"/>
    <w:rsid w:val="596277FD"/>
    <w:rsid w:val="596F7253"/>
    <w:rsid w:val="59735411"/>
    <w:rsid w:val="59753201"/>
    <w:rsid w:val="597B57C1"/>
    <w:rsid w:val="597C9E4C"/>
    <w:rsid w:val="59A12EDD"/>
    <w:rsid w:val="59AB6555"/>
    <w:rsid w:val="59C3A4B8"/>
    <w:rsid w:val="59C3FC1C"/>
    <w:rsid w:val="59C9DE75"/>
    <w:rsid w:val="59CEFD5B"/>
    <w:rsid w:val="59CF8C24"/>
    <w:rsid w:val="59D1DA98"/>
    <w:rsid w:val="59D2D011"/>
    <w:rsid w:val="59D64E13"/>
    <w:rsid w:val="59D72404"/>
    <w:rsid w:val="59D7CD3E"/>
    <w:rsid w:val="59EC9103"/>
    <w:rsid w:val="5A01DB4B"/>
    <w:rsid w:val="5A0B0131"/>
    <w:rsid w:val="5A102746"/>
    <w:rsid w:val="5A11DD32"/>
    <w:rsid w:val="5A1317B5"/>
    <w:rsid w:val="5A139902"/>
    <w:rsid w:val="5A1418CD"/>
    <w:rsid w:val="5A172F48"/>
    <w:rsid w:val="5A1AB3A9"/>
    <w:rsid w:val="5A1D8ADA"/>
    <w:rsid w:val="5A217D01"/>
    <w:rsid w:val="5A218AF2"/>
    <w:rsid w:val="5A29EA6C"/>
    <w:rsid w:val="5A366C08"/>
    <w:rsid w:val="5A3835B9"/>
    <w:rsid w:val="5A399DC0"/>
    <w:rsid w:val="5A3FAC9D"/>
    <w:rsid w:val="5A440B3B"/>
    <w:rsid w:val="5A476FEF"/>
    <w:rsid w:val="5A493512"/>
    <w:rsid w:val="5A5634D2"/>
    <w:rsid w:val="5A5A2D30"/>
    <w:rsid w:val="5A5C6A8E"/>
    <w:rsid w:val="5A60AD5F"/>
    <w:rsid w:val="5A65D0BB"/>
    <w:rsid w:val="5A6D24A1"/>
    <w:rsid w:val="5A7C61CA"/>
    <w:rsid w:val="5A8017C2"/>
    <w:rsid w:val="5A876924"/>
    <w:rsid w:val="5A8842D5"/>
    <w:rsid w:val="5AA85457"/>
    <w:rsid w:val="5AAD0990"/>
    <w:rsid w:val="5AAD3DA1"/>
    <w:rsid w:val="5AAF96C8"/>
    <w:rsid w:val="5AAFDC3B"/>
    <w:rsid w:val="5AB20860"/>
    <w:rsid w:val="5AB544A3"/>
    <w:rsid w:val="5ABD2B51"/>
    <w:rsid w:val="5ABE344E"/>
    <w:rsid w:val="5AC057DF"/>
    <w:rsid w:val="5AC65582"/>
    <w:rsid w:val="5AD4BA97"/>
    <w:rsid w:val="5AD63938"/>
    <w:rsid w:val="5AD8E4A2"/>
    <w:rsid w:val="5AD95ADE"/>
    <w:rsid w:val="5ADF7DDF"/>
    <w:rsid w:val="5AE31749"/>
    <w:rsid w:val="5AEA5459"/>
    <w:rsid w:val="5AEDDC62"/>
    <w:rsid w:val="5AF88DF8"/>
    <w:rsid w:val="5AFB5882"/>
    <w:rsid w:val="5AFDABB7"/>
    <w:rsid w:val="5B039771"/>
    <w:rsid w:val="5B08F0D8"/>
    <w:rsid w:val="5B0D9294"/>
    <w:rsid w:val="5B1362F4"/>
    <w:rsid w:val="5B1A0551"/>
    <w:rsid w:val="5B20CA4E"/>
    <w:rsid w:val="5B2ADA20"/>
    <w:rsid w:val="5B3A48F4"/>
    <w:rsid w:val="5B423B20"/>
    <w:rsid w:val="5B4326D2"/>
    <w:rsid w:val="5B496B9D"/>
    <w:rsid w:val="5B4DA0D5"/>
    <w:rsid w:val="5B51118A"/>
    <w:rsid w:val="5B56416F"/>
    <w:rsid w:val="5B57C26B"/>
    <w:rsid w:val="5B62786C"/>
    <w:rsid w:val="5B631F63"/>
    <w:rsid w:val="5B632272"/>
    <w:rsid w:val="5B67C876"/>
    <w:rsid w:val="5B69B53A"/>
    <w:rsid w:val="5B798361"/>
    <w:rsid w:val="5B7A39B8"/>
    <w:rsid w:val="5B7C434B"/>
    <w:rsid w:val="5B7D7DEF"/>
    <w:rsid w:val="5B87D1C0"/>
    <w:rsid w:val="5B89B81B"/>
    <w:rsid w:val="5B8D7EF9"/>
    <w:rsid w:val="5B98063D"/>
    <w:rsid w:val="5B9ED5E9"/>
    <w:rsid w:val="5BA2CEAD"/>
    <w:rsid w:val="5BA4FC70"/>
    <w:rsid w:val="5BAEB4CD"/>
    <w:rsid w:val="5BAEEC1A"/>
    <w:rsid w:val="5BB1F41A"/>
    <w:rsid w:val="5BBB9456"/>
    <w:rsid w:val="5BBE40DB"/>
    <w:rsid w:val="5BC119A0"/>
    <w:rsid w:val="5BC12E0B"/>
    <w:rsid w:val="5BC7DD77"/>
    <w:rsid w:val="5BCE55F1"/>
    <w:rsid w:val="5BD8BFF1"/>
    <w:rsid w:val="5BD987B8"/>
    <w:rsid w:val="5BDC8A09"/>
    <w:rsid w:val="5BE84AE4"/>
    <w:rsid w:val="5BF36245"/>
    <w:rsid w:val="5BF8DA89"/>
    <w:rsid w:val="5BFC8EA6"/>
    <w:rsid w:val="5BFF3355"/>
    <w:rsid w:val="5C0B0537"/>
    <w:rsid w:val="5C0FD6A7"/>
    <w:rsid w:val="5C108AF1"/>
    <w:rsid w:val="5C13ECBC"/>
    <w:rsid w:val="5C1806AF"/>
    <w:rsid w:val="5C1A6EBF"/>
    <w:rsid w:val="5C1E90AE"/>
    <w:rsid w:val="5C257412"/>
    <w:rsid w:val="5C2CD84E"/>
    <w:rsid w:val="5C315C56"/>
    <w:rsid w:val="5C417DF8"/>
    <w:rsid w:val="5C47556B"/>
    <w:rsid w:val="5C4B349B"/>
    <w:rsid w:val="5C518443"/>
    <w:rsid w:val="5C542E3A"/>
    <w:rsid w:val="5C581B58"/>
    <w:rsid w:val="5C58EE41"/>
    <w:rsid w:val="5C5A0188"/>
    <w:rsid w:val="5C5B5E98"/>
    <w:rsid w:val="5C5F5C17"/>
    <w:rsid w:val="5C60AD25"/>
    <w:rsid w:val="5C67D29B"/>
    <w:rsid w:val="5C69562F"/>
    <w:rsid w:val="5C6B4E6F"/>
    <w:rsid w:val="5C70D882"/>
    <w:rsid w:val="5C7D0CAB"/>
    <w:rsid w:val="5C8624BA"/>
    <w:rsid w:val="5C8A8E4C"/>
    <w:rsid w:val="5C902281"/>
    <w:rsid w:val="5C994126"/>
    <w:rsid w:val="5C9955ED"/>
    <w:rsid w:val="5C997894"/>
    <w:rsid w:val="5CA6E52E"/>
    <w:rsid w:val="5CA886CC"/>
    <w:rsid w:val="5CA89CF8"/>
    <w:rsid w:val="5CBA0C1C"/>
    <w:rsid w:val="5CC15E70"/>
    <w:rsid w:val="5CCDB976"/>
    <w:rsid w:val="5CD3E79C"/>
    <w:rsid w:val="5CDD0E91"/>
    <w:rsid w:val="5CE257A8"/>
    <w:rsid w:val="5D065227"/>
    <w:rsid w:val="5D0C23B1"/>
    <w:rsid w:val="5D0F3CEE"/>
    <w:rsid w:val="5D1068B7"/>
    <w:rsid w:val="5D15F0B9"/>
    <w:rsid w:val="5D265D43"/>
    <w:rsid w:val="5D2676C1"/>
    <w:rsid w:val="5D270134"/>
    <w:rsid w:val="5D274597"/>
    <w:rsid w:val="5D285991"/>
    <w:rsid w:val="5D299114"/>
    <w:rsid w:val="5D3A8A3A"/>
    <w:rsid w:val="5D3E1F6B"/>
    <w:rsid w:val="5D40E93B"/>
    <w:rsid w:val="5D418986"/>
    <w:rsid w:val="5D44D120"/>
    <w:rsid w:val="5D48A546"/>
    <w:rsid w:val="5D66543B"/>
    <w:rsid w:val="5D679474"/>
    <w:rsid w:val="5D6A90F9"/>
    <w:rsid w:val="5D76236B"/>
    <w:rsid w:val="5D76646B"/>
    <w:rsid w:val="5D7CDB94"/>
    <w:rsid w:val="5D80D5D4"/>
    <w:rsid w:val="5D820064"/>
    <w:rsid w:val="5D8A40AD"/>
    <w:rsid w:val="5D926684"/>
    <w:rsid w:val="5D9CFA3C"/>
    <w:rsid w:val="5DA53928"/>
    <w:rsid w:val="5DC0D9BC"/>
    <w:rsid w:val="5DC1B3A0"/>
    <w:rsid w:val="5DC5E9DB"/>
    <w:rsid w:val="5DCB3247"/>
    <w:rsid w:val="5DD1988C"/>
    <w:rsid w:val="5DD97F23"/>
    <w:rsid w:val="5DEC2D9A"/>
    <w:rsid w:val="5DF672D5"/>
    <w:rsid w:val="5E007511"/>
    <w:rsid w:val="5E07CFEA"/>
    <w:rsid w:val="5E08390E"/>
    <w:rsid w:val="5E1E01FE"/>
    <w:rsid w:val="5E1F48BF"/>
    <w:rsid w:val="5E2D3883"/>
    <w:rsid w:val="5E314F92"/>
    <w:rsid w:val="5E38623E"/>
    <w:rsid w:val="5E3ED877"/>
    <w:rsid w:val="5E3F2D9A"/>
    <w:rsid w:val="5E41BE43"/>
    <w:rsid w:val="5E58A3EA"/>
    <w:rsid w:val="5E5D1E06"/>
    <w:rsid w:val="5E603004"/>
    <w:rsid w:val="5E62833A"/>
    <w:rsid w:val="5E7A1A9B"/>
    <w:rsid w:val="5E817BC5"/>
    <w:rsid w:val="5E84BCB5"/>
    <w:rsid w:val="5E8E3D73"/>
    <w:rsid w:val="5E91FBD5"/>
    <w:rsid w:val="5E9AC2DD"/>
    <w:rsid w:val="5E9B145E"/>
    <w:rsid w:val="5EA0F439"/>
    <w:rsid w:val="5EA13F1F"/>
    <w:rsid w:val="5EA3ED52"/>
    <w:rsid w:val="5EA8827F"/>
    <w:rsid w:val="5EACE893"/>
    <w:rsid w:val="5EB3BB3F"/>
    <w:rsid w:val="5EB48BB2"/>
    <w:rsid w:val="5EB68633"/>
    <w:rsid w:val="5ED4137E"/>
    <w:rsid w:val="5EDB39B8"/>
    <w:rsid w:val="5EDD2BE1"/>
    <w:rsid w:val="5EE9BE60"/>
    <w:rsid w:val="5EEF0A64"/>
    <w:rsid w:val="5EF1783C"/>
    <w:rsid w:val="5EF3A8DF"/>
    <w:rsid w:val="5EF3DD15"/>
    <w:rsid w:val="5EFDD95D"/>
    <w:rsid w:val="5F050D01"/>
    <w:rsid w:val="5F0787BF"/>
    <w:rsid w:val="5F1375E4"/>
    <w:rsid w:val="5F1A8E41"/>
    <w:rsid w:val="5F282ED4"/>
    <w:rsid w:val="5F2E3E7D"/>
    <w:rsid w:val="5F3131FF"/>
    <w:rsid w:val="5F3F5E21"/>
    <w:rsid w:val="5F40BC6C"/>
    <w:rsid w:val="5F459E48"/>
    <w:rsid w:val="5F4AF2B0"/>
    <w:rsid w:val="5F4DCE61"/>
    <w:rsid w:val="5F518D55"/>
    <w:rsid w:val="5F531E0C"/>
    <w:rsid w:val="5F53D6BE"/>
    <w:rsid w:val="5F546260"/>
    <w:rsid w:val="5F557721"/>
    <w:rsid w:val="5F5D9AC7"/>
    <w:rsid w:val="5F5F7C7A"/>
    <w:rsid w:val="5F61B987"/>
    <w:rsid w:val="5F71A5D0"/>
    <w:rsid w:val="5F79405C"/>
    <w:rsid w:val="5F8B59FB"/>
    <w:rsid w:val="5F9081FE"/>
    <w:rsid w:val="5F94AD15"/>
    <w:rsid w:val="5F94FD0F"/>
    <w:rsid w:val="5F97F026"/>
    <w:rsid w:val="5F9CB5CF"/>
    <w:rsid w:val="5FA28D9E"/>
    <w:rsid w:val="5FA45550"/>
    <w:rsid w:val="5FB2EF02"/>
    <w:rsid w:val="5FB9D25F"/>
    <w:rsid w:val="5FBDCD78"/>
    <w:rsid w:val="5FC9D06A"/>
    <w:rsid w:val="5FCB4B28"/>
    <w:rsid w:val="5FCBC0B5"/>
    <w:rsid w:val="5FCEC866"/>
    <w:rsid w:val="5FD38419"/>
    <w:rsid w:val="5FDABDC7"/>
    <w:rsid w:val="5FE6A41B"/>
    <w:rsid w:val="5FECBF95"/>
    <w:rsid w:val="5FED7674"/>
    <w:rsid w:val="5FF51879"/>
    <w:rsid w:val="5FF5C422"/>
    <w:rsid w:val="5FFE8E00"/>
    <w:rsid w:val="600498A0"/>
    <w:rsid w:val="600C67D7"/>
    <w:rsid w:val="600E8911"/>
    <w:rsid w:val="6014A3D9"/>
    <w:rsid w:val="601F3458"/>
    <w:rsid w:val="6021272B"/>
    <w:rsid w:val="6025C32F"/>
    <w:rsid w:val="6025C636"/>
    <w:rsid w:val="6026A408"/>
    <w:rsid w:val="602EBF60"/>
    <w:rsid w:val="602FCFEE"/>
    <w:rsid w:val="60319058"/>
    <w:rsid w:val="6033E24F"/>
    <w:rsid w:val="603A7A05"/>
    <w:rsid w:val="6050E2E8"/>
    <w:rsid w:val="6064A9E0"/>
    <w:rsid w:val="6069F830"/>
    <w:rsid w:val="606A7204"/>
    <w:rsid w:val="606A8ED9"/>
    <w:rsid w:val="60703CC1"/>
    <w:rsid w:val="60735896"/>
    <w:rsid w:val="60848931"/>
    <w:rsid w:val="60859C12"/>
    <w:rsid w:val="608EEED7"/>
    <w:rsid w:val="608F6BAB"/>
    <w:rsid w:val="609A327E"/>
    <w:rsid w:val="60A35820"/>
    <w:rsid w:val="60A725D7"/>
    <w:rsid w:val="60AEFF0A"/>
    <w:rsid w:val="60B2CB49"/>
    <w:rsid w:val="60B55C26"/>
    <w:rsid w:val="60B6DA82"/>
    <w:rsid w:val="60C1476F"/>
    <w:rsid w:val="60C1DFE8"/>
    <w:rsid w:val="60C36651"/>
    <w:rsid w:val="60CFEEE3"/>
    <w:rsid w:val="60D3D023"/>
    <w:rsid w:val="60D474DF"/>
    <w:rsid w:val="60D75AB3"/>
    <w:rsid w:val="60DA970A"/>
    <w:rsid w:val="60E346FD"/>
    <w:rsid w:val="60E6D5C8"/>
    <w:rsid w:val="60F39A9B"/>
    <w:rsid w:val="60FA55C4"/>
    <w:rsid w:val="60FF67F5"/>
    <w:rsid w:val="61087DFD"/>
    <w:rsid w:val="610A8690"/>
    <w:rsid w:val="6111DAC1"/>
    <w:rsid w:val="611320F9"/>
    <w:rsid w:val="6118C753"/>
    <w:rsid w:val="611C2109"/>
    <w:rsid w:val="6120CF32"/>
    <w:rsid w:val="612603BF"/>
    <w:rsid w:val="612C0278"/>
    <w:rsid w:val="612DB490"/>
    <w:rsid w:val="6130A892"/>
    <w:rsid w:val="61363C3D"/>
    <w:rsid w:val="6136FDE5"/>
    <w:rsid w:val="613A93FA"/>
    <w:rsid w:val="613AD5B9"/>
    <w:rsid w:val="613BE764"/>
    <w:rsid w:val="614586B4"/>
    <w:rsid w:val="614963F1"/>
    <w:rsid w:val="614A4207"/>
    <w:rsid w:val="614D98C3"/>
    <w:rsid w:val="61579281"/>
    <w:rsid w:val="6159B677"/>
    <w:rsid w:val="6161CF57"/>
    <w:rsid w:val="61657E39"/>
    <w:rsid w:val="616654BA"/>
    <w:rsid w:val="6166DD97"/>
    <w:rsid w:val="61752826"/>
    <w:rsid w:val="6186D9E2"/>
    <w:rsid w:val="618A6307"/>
    <w:rsid w:val="618B65E4"/>
    <w:rsid w:val="618E9110"/>
    <w:rsid w:val="6194401C"/>
    <w:rsid w:val="619E13ED"/>
    <w:rsid w:val="61A3E02F"/>
    <w:rsid w:val="61A9003D"/>
    <w:rsid w:val="61C44542"/>
    <w:rsid w:val="61C61268"/>
    <w:rsid w:val="61CD094D"/>
    <w:rsid w:val="61D86A37"/>
    <w:rsid w:val="61DB4023"/>
    <w:rsid w:val="61E20F2C"/>
    <w:rsid w:val="61E781A2"/>
    <w:rsid w:val="61E9BD94"/>
    <w:rsid w:val="61F73D35"/>
    <w:rsid w:val="62118AC7"/>
    <w:rsid w:val="62184243"/>
    <w:rsid w:val="62216C73"/>
    <w:rsid w:val="6225B0F8"/>
    <w:rsid w:val="622DEDAA"/>
    <w:rsid w:val="62314BC6"/>
    <w:rsid w:val="6232DF16"/>
    <w:rsid w:val="623FB42A"/>
    <w:rsid w:val="6241B61F"/>
    <w:rsid w:val="6245F6C8"/>
    <w:rsid w:val="6258632C"/>
    <w:rsid w:val="62690F69"/>
    <w:rsid w:val="6269FA59"/>
    <w:rsid w:val="626EDAB2"/>
    <w:rsid w:val="626F5FBA"/>
    <w:rsid w:val="62772155"/>
    <w:rsid w:val="627AD428"/>
    <w:rsid w:val="627CD7C5"/>
    <w:rsid w:val="628294F8"/>
    <w:rsid w:val="62841B0A"/>
    <w:rsid w:val="628AF752"/>
    <w:rsid w:val="628CE548"/>
    <w:rsid w:val="628F03C3"/>
    <w:rsid w:val="6292A905"/>
    <w:rsid w:val="62939FE9"/>
    <w:rsid w:val="6296FEC7"/>
    <w:rsid w:val="62984C17"/>
    <w:rsid w:val="629866A7"/>
    <w:rsid w:val="6299331F"/>
    <w:rsid w:val="629AF53B"/>
    <w:rsid w:val="62A53082"/>
    <w:rsid w:val="62B1CAFF"/>
    <w:rsid w:val="62B4BD53"/>
    <w:rsid w:val="62B521F3"/>
    <w:rsid w:val="62BD1AAB"/>
    <w:rsid w:val="62BF23EB"/>
    <w:rsid w:val="62C8B34D"/>
    <w:rsid w:val="62CBB4E3"/>
    <w:rsid w:val="62CFC0F6"/>
    <w:rsid w:val="62D39435"/>
    <w:rsid w:val="62DFE2E0"/>
    <w:rsid w:val="62E26B69"/>
    <w:rsid w:val="62E6055E"/>
    <w:rsid w:val="62EEA699"/>
    <w:rsid w:val="62F0D6AA"/>
    <w:rsid w:val="62F1B113"/>
    <w:rsid w:val="62F362E2"/>
    <w:rsid w:val="630594CB"/>
    <w:rsid w:val="6310F992"/>
    <w:rsid w:val="6313DC5F"/>
    <w:rsid w:val="6313E245"/>
    <w:rsid w:val="63171F0E"/>
    <w:rsid w:val="632A19EE"/>
    <w:rsid w:val="633D091E"/>
    <w:rsid w:val="634809EA"/>
    <w:rsid w:val="634E4853"/>
    <w:rsid w:val="634F6105"/>
    <w:rsid w:val="6352B168"/>
    <w:rsid w:val="6359F4B7"/>
    <w:rsid w:val="635A9014"/>
    <w:rsid w:val="635A9C7C"/>
    <w:rsid w:val="635D4B25"/>
    <w:rsid w:val="635DC9E1"/>
    <w:rsid w:val="635FCDA2"/>
    <w:rsid w:val="63708C55"/>
    <w:rsid w:val="63723AD6"/>
    <w:rsid w:val="6378463A"/>
    <w:rsid w:val="637AB196"/>
    <w:rsid w:val="637C65ED"/>
    <w:rsid w:val="6381E941"/>
    <w:rsid w:val="6382305E"/>
    <w:rsid w:val="638D74AB"/>
    <w:rsid w:val="63953522"/>
    <w:rsid w:val="63A95CBB"/>
    <w:rsid w:val="63A9A109"/>
    <w:rsid w:val="63AEB4D4"/>
    <w:rsid w:val="63B8B890"/>
    <w:rsid w:val="63BD05FF"/>
    <w:rsid w:val="63C836E4"/>
    <w:rsid w:val="63C9BE0B"/>
    <w:rsid w:val="63C9C210"/>
    <w:rsid w:val="63CCA6AC"/>
    <w:rsid w:val="63CDA7E2"/>
    <w:rsid w:val="63CE15BE"/>
    <w:rsid w:val="63D1E7D5"/>
    <w:rsid w:val="63E3B0A7"/>
    <w:rsid w:val="63EC02DF"/>
    <w:rsid w:val="63F162AB"/>
    <w:rsid w:val="63F622A2"/>
    <w:rsid w:val="63F655C1"/>
    <w:rsid w:val="63F69B69"/>
    <w:rsid w:val="63FB0C08"/>
    <w:rsid w:val="63FC571D"/>
    <w:rsid w:val="640959BA"/>
    <w:rsid w:val="6409EB69"/>
    <w:rsid w:val="640F8E11"/>
    <w:rsid w:val="64140F87"/>
    <w:rsid w:val="64219451"/>
    <w:rsid w:val="642472FB"/>
    <w:rsid w:val="6427DEBA"/>
    <w:rsid w:val="642DA37B"/>
    <w:rsid w:val="642FD832"/>
    <w:rsid w:val="6431B85D"/>
    <w:rsid w:val="64341C7D"/>
    <w:rsid w:val="644FF245"/>
    <w:rsid w:val="6459E335"/>
    <w:rsid w:val="646F0CEE"/>
    <w:rsid w:val="6473C334"/>
    <w:rsid w:val="64749002"/>
    <w:rsid w:val="6475F99F"/>
    <w:rsid w:val="648B0B3A"/>
    <w:rsid w:val="648B9F72"/>
    <w:rsid w:val="648F3343"/>
    <w:rsid w:val="64912318"/>
    <w:rsid w:val="64948583"/>
    <w:rsid w:val="64A3AB8A"/>
    <w:rsid w:val="64A3DE18"/>
    <w:rsid w:val="64AD6B5C"/>
    <w:rsid w:val="64AFACC0"/>
    <w:rsid w:val="64B38F57"/>
    <w:rsid w:val="64B56595"/>
    <w:rsid w:val="64B7B999"/>
    <w:rsid w:val="64BA345F"/>
    <w:rsid w:val="64C1FEEC"/>
    <w:rsid w:val="64CF66D7"/>
    <w:rsid w:val="64D12FF9"/>
    <w:rsid w:val="64D654FE"/>
    <w:rsid w:val="64D72714"/>
    <w:rsid w:val="64E065DE"/>
    <w:rsid w:val="64EB9CBC"/>
    <w:rsid w:val="64F04F53"/>
    <w:rsid w:val="64F5E77B"/>
    <w:rsid w:val="64F60F1D"/>
    <w:rsid w:val="64F8B87E"/>
    <w:rsid w:val="64F8DA00"/>
    <w:rsid w:val="64FCCC04"/>
    <w:rsid w:val="64FD687E"/>
    <w:rsid w:val="65074CAB"/>
    <w:rsid w:val="65079638"/>
    <w:rsid w:val="6510C7DA"/>
    <w:rsid w:val="6515B59A"/>
    <w:rsid w:val="6518192C"/>
    <w:rsid w:val="651A08A8"/>
    <w:rsid w:val="6529885F"/>
    <w:rsid w:val="652B31FD"/>
    <w:rsid w:val="6537839B"/>
    <w:rsid w:val="65435502"/>
    <w:rsid w:val="654A72A6"/>
    <w:rsid w:val="6555EE26"/>
    <w:rsid w:val="65564E7E"/>
    <w:rsid w:val="65580567"/>
    <w:rsid w:val="65590D35"/>
    <w:rsid w:val="655F429B"/>
    <w:rsid w:val="656DB360"/>
    <w:rsid w:val="6571D9CC"/>
    <w:rsid w:val="657A96FA"/>
    <w:rsid w:val="657C9EFE"/>
    <w:rsid w:val="657D45B3"/>
    <w:rsid w:val="6580A350"/>
    <w:rsid w:val="658F24DB"/>
    <w:rsid w:val="65976BEB"/>
    <w:rsid w:val="659B7593"/>
    <w:rsid w:val="659BC253"/>
    <w:rsid w:val="65A4B634"/>
    <w:rsid w:val="65A4DDCE"/>
    <w:rsid w:val="65A8C7E0"/>
    <w:rsid w:val="65AA33DF"/>
    <w:rsid w:val="65AC167E"/>
    <w:rsid w:val="65B50B5F"/>
    <w:rsid w:val="65B67D8F"/>
    <w:rsid w:val="65C07542"/>
    <w:rsid w:val="65C2D709"/>
    <w:rsid w:val="65C5FEF0"/>
    <w:rsid w:val="65D0F806"/>
    <w:rsid w:val="65DE1722"/>
    <w:rsid w:val="65E4847F"/>
    <w:rsid w:val="65E94552"/>
    <w:rsid w:val="65F9A0C2"/>
    <w:rsid w:val="660601BE"/>
    <w:rsid w:val="660AFF18"/>
    <w:rsid w:val="66118EE6"/>
    <w:rsid w:val="661693F1"/>
    <w:rsid w:val="6618FB70"/>
    <w:rsid w:val="661A6FB3"/>
    <w:rsid w:val="661BF7D5"/>
    <w:rsid w:val="661FAB68"/>
    <w:rsid w:val="66238873"/>
    <w:rsid w:val="662712B3"/>
    <w:rsid w:val="662A91EE"/>
    <w:rsid w:val="662E917F"/>
    <w:rsid w:val="6630E63F"/>
    <w:rsid w:val="665163D9"/>
    <w:rsid w:val="66520EDB"/>
    <w:rsid w:val="6652CE1A"/>
    <w:rsid w:val="665B491A"/>
    <w:rsid w:val="665D433B"/>
    <w:rsid w:val="665E27E1"/>
    <w:rsid w:val="666A6C52"/>
    <w:rsid w:val="66715132"/>
    <w:rsid w:val="667464D2"/>
    <w:rsid w:val="66762CCF"/>
    <w:rsid w:val="6676D247"/>
    <w:rsid w:val="66898ED8"/>
    <w:rsid w:val="668FF3B9"/>
    <w:rsid w:val="6691F64E"/>
    <w:rsid w:val="6694AA61"/>
    <w:rsid w:val="669A4988"/>
    <w:rsid w:val="669EA1D5"/>
    <w:rsid w:val="66A9C215"/>
    <w:rsid w:val="66B0DEC2"/>
    <w:rsid w:val="66B137AD"/>
    <w:rsid w:val="66B31886"/>
    <w:rsid w:val="66B485C1"/>
    <w:rsid w:val="66B61F34"/>
    <w:rsid w:val="66C11986"/>
    <w:rsid w:val="66C4D08D"/>
    <w:rsid w:val="66C62B04"/>
    <w:rsid w:val="66C7245B"/>
    <w:rsid w:val="66CAA999"/>
    <w:rsid w:val="66CD2340"/>
    <w:rsid w:val="66D204C8"/>
    <w:rsid w:val="66D80DE3"/>
    <w:rsid w:val="66E4472D"/>
    <w:rsid w:val="66EB4A8B"/>
    <w:rsid w:val="66ECEA90"/>
    <w:rsid w:val="66F08A32"/>
    <w:rsid w:val="66F4A6C1"/>
    <w:rsid w:val="6703F5E9"/>
    <w:rsid w:val="6704FEB5"/>
    <w:rsid w:val="67061992"/>
    <w:rsid w:val="670A1153"/>
    <w:rsid w:val="67116630"/>
    <w:rsid w:val="6717E321"/>
    <w:rsid w:val="671961AD"/>
    <w:rsid w:val="671A861E"/>
    <w:rsid w:val="671A872A"/>
    <w:rsid w:val="671E6A57"/>
    <w:rsid w:val="6741D999"/>
    <w:rsid w:val="67461DCA"/>
    <w:rsid w:val="675A4040"/>
    <w:rsid w:val="6762DB10"/>
    <w:rsid w:val="676EE07A"/>
    <w:rsid w:val="676F2219"/>
    <w:rsid w:val="67725D70"/>
    <w:rsid w:val="677A9877"/>
    <w:rsid w:val="677DE580"/>
    <w:rsid w:val="6781D509"/>
    <w:rsid w:val="6783EFC8"/>
    <w:rsid w:val="678808D7"/>
    <w:rsid w:val="6788FD56"/>
    <w:rsid w:val="67A09CB4"/>
    <w:rsid w:val="67A1BD88"/>
    <w:rsid w:val="67A88522"/>
    <w:rsid w:val="67AA173D"/>
    <w:rsid w:val="67BE84C6"/>
    <w:rsid w:val="67C003D6"/>
    <w:rsid w:val="67C33F9A"/>
    <w:rsid w:val="67C447CD"/>
    <w:rsid w:val="67C8A9D1"/>
    <w:rsid w:val="67D53AA8"/>
    <w:rsid w:val="67D56F76"/>
    <w:rsid w:val="67DCEAEA"/>
    <w:rsid w:val="67DE37B1"/>
    <w:rsid w:val="67DE4557"/>
    <w:rsid w:val="67E27F53"/>
    <w:rsid w:val="67E9BD84"/>
    <w:rsid w:val="67EDD737"/>
    <w:rsid w:val="67F1141B"/>
    <w:rsid w:val="67F84479"/>
    <w:rsid w:val="6801DACC"/>
    <w:rsid w:val="680F7317"/>
    <w:rsid w:val="6816151C"/>
    <w:rsid w:val="68170732"/>
    <w:rsid w:val="6822186C"/>
    <w:rsid w:val="68231B61"/>
    <w:rsid w:val="683BB3C8"/>
    <w:rsid w:val="683ECA7B"/>
    <w:rsid w:val="6840B2FF"/>
    <w:rsid w:val="68428069"/>
    <w:rsid w:val="6842DB6D"/>
    <w:rsid w:val="68450A80"/>
    <w:rsid w:val="685A8FB2"/>
    <w:rsid w:val="6860270F"/>
    <w:rsid w:val="68611269"/>
    <w:rsid w:val="68635B7E"/>
    <w:rsid w:val="6867D8DA"/>
    <w:rsid w:val="68688D22"/>
    <w:rsid w:val="6879236A"/>
    <w:rsid w:val="687A34B0"/>
    <w:rsid w:val="687A3EAE"/>
    <w:rsid w:val="687DCEE6"/>
    <w:rsid w:val="687FE843"/>
    <w:rsid w:val="6886744B"/>
    <w:rsid w:val="6888570B"/>
    <w:rsid w:val="68908A14"/>
    <w:rsid w:val="6892787C"/>
    <w:rsid w:val="68941E21"/>
    <w:rsid w:val="6895ECAA"/>
    <w:rsid w:val="689F690B"/>
    <w:rsid w:val="68A0B87B"/>
    <w:rsid w:val="68A7F637"/>
    <w:rsid w:val="68AAA2C9"/>
    <w:rsid w:val="68AE11CE"/>
    <w:rsid w:val="68B2CA6C"/>
    <w:rsid w:val="68B38810"/>
    <w:rsid w:val="68B8BCF0"/>
    <w:rsid w:val="68C30789"/>
    <w:rsid w:val="68C6993B"/>
    <w:rsid w:val="68C97063"/>
    <w:rsid w:val="68CB4835"/>
    <w:rsid w:val="68D353A3"/>
    <w:rsid w:val="68DB2C0D"/>
    <w:rsid w:val="68DB4C44"/>
    <w:rsid w:val="68E2FF34"/>
    <w:rsid w:val="68E8D127"/>
    <w:rsid w:val="68EB25C7"/>
    <w:rsid w:val="68ED95C2"/>
    <w:rsid w:val="68EFB6A7"/>
    <w:rsid w:val="68F437F9"/>
    <w:rsid w:val="68F882A3"/>
    <w:rsid w:val="6903F704"/>
    <w:rsid w:val="6910BB53"/>
    <w:rsid w:val="6911E87E"/>
    <w:rsid w:val="69168A3A"/>
    <w:rsid w:val="691AB9A7"/>
    <w:rsid w:val="691CECA6"/>
    <w:rsid w:val="691F68A8"/>
    <w:rsid w:val="69258CA4"/>
    <w:rsid w:val="692BB3CE"/>
    <w:rsid w:val="692D7419"/>
    <w:rsid w:val="693ED066"/>
    <w:rsid w:val="69407216"/>
    <w:rsid w:val="694F5EA4"/>
    <w:rsid w:val="69601D46"/>
    <w:rsid w:val="69666FBF"/>
    <w:rsid w:val="696FA1A8"/>
    <w:rsid w:val="69757BAD"/>
    <w:rsid w:val="698C4344"/>
    <w:rsid w:val="6991277D"/>
    <w:rsid w:val="6997540A"/>
    <w:rsid w:val="6997FCEE"/>
    <w:rsid w:val="699983B9"/>
    <w:rsid w:val="699ED884"/>
    <w:rsid w:val="69A20B10"/>
    <w:rsid w:val="69A23B83"/>
    <w:rsid w:val="69A27B74"/>
    <w:rsid w:val="69A47CA4"/>
    <w:rsid w:val="69A9C621"/>
    <w:rsid w:val="69B5F769"/>
    <w:rsid w:val="69BEA25F"/>
    <w:rsid w:val="69C35B03"/>
    <w:rsid w:val="69D55BBD"/>
    <w:rsid w:val="69D814B9"/>
    <w:rsid w:val="69DBAEC2"/>
    <w:rsid w:val="69DCD1DD"/>
    <w:rsid w:val="69DF71B2"/>
    <w:rsid w:val="69E60382"/>
    <w:rsid w:val="69EDBFF6"/>
    <w:rsid w:val="69F15EAB"/>
    <w:rsid w:val="69F25056"/>
    <w:rsid w:val="6A160859"/>
    <w:rsid w:val="6A166EC0"/>
    <w:rsid w:val="6A2488F4"/>
    <w:rsid w:val="6A2B2737"/>
    <w:rsid w:val="6A2D4BC8"/>
    <w:rsid w:val="6A39E3C7"/>
    <w:rsid w:val="6A3E97FE"/>
    <w:rsid w:val="6A4209C5"/>
    <w:rsid w:val="6A4A89DD"/>
    <w:rsid w:val="6A6252B5"/>
    <w:rsid w:val="6A657ECB"/>
    <w:rsid w:val="6A65D130"/>
    <w:rsid w:val="6A727F6A"/>
    <w:rsid w:val="6A7B0A60"/>
    <w:rsid w:val="6A85519C"/>
    <w:rsid w:val="6A8A47D9"/>
    <w:rsid w:val="6A8A5E14"/>
    <w:rsid w:val="6A9F047F"/>
    <w:rsid w:val="6AAE911A"/>
    <w:rsid w:val="6AB78A85"/>
    <w:rsid w:val="6ABB895A"/>
    <w:rsid w:val="6AC0905D"/>
    <w:rsid w:val="6ACB7305"/>
    <w:rsid w:val="6ACB810A"/>
    <w:rsid w:val="6AD44907"/>
    <w:rsid w:val="6AD7FBF0"/>
    <w:rsid w:val="6AD9C675"/>
    <w:rsid w:val="6ADE0D83"/>
    <w:rsid w:val="6ADE7C3B"/>
    <w:rsid w:val="6AE2A831"/>
    <w:rsid w:val="6AE2C54A"/>
    <w:rsid w:val="6AEEA34C"/>
    <w:rsid w:val="6AF14AA9"/>
    <w:rsid w:val="6AFA4CBE"/>
    <w:rsid w:val="6AFD7012"/>
    <w:rsid w:val="6AFE6233"/>
    <w:rsid w:val="6B043573"/>
    <w:rsid w:val="6B05484A"/>
    <w:rsid w:val="6B116F12"/>
    <w:rsid w:val="6B1636C0"/>
    <w:rsid w:val="6B1A40D4"/>
    <w:rsid w:val="6B1BED9A"/>
    <w:rsid w:val="6B1C8BC1"/>
    <w:rsid w:val="6B269049"/>
    <w:rsid w:val="6B2946A8"/>
    <w:rsid w:val="6B29754F"/>
    <w:rsid w:val="6B2EC1D0"/>
    <w:rsid w:val="6B2EDFE6"/>
    <w:rsid w:val="6B323645"/>
    <w:rsid w:val="6B33307C"/>
    <w:rsid w:val="6B3338EF"/>
    <w:rsid w:val="6B4536D3"/>
    <w:rsid w:val="6B5003DC"/>
    <w:rsid w:val="6B537380"/>
    <w:rsid w:val="6B575680"/>
    <w:rsid w:val="6B599C13"/>
    <w:rsid w:val="6B5E7CA1"/>
    <w:rsid w:val="6B6947FD"/>
    <w:rsid w:val="6B6A5848"/>
    <w:rsid w:val="6B6E4983"/>
    <w:rsid w:val="6B6E5DF9"/>
    <w:rsid w:val="6B6F8F1A"/>
    <w:rsid w:val="6B7324CF"/>
    <w:rsid w:val="6B7961FC"/>
    <w:rsid w:val="6B7C829D"/>
    <w:rsid w:val="6B7D2865"/>
    <w:rsid w:val="6B7FA600"/>
    <w:rsid w:val="6B8A4C58"/>
    <w:rsid w:val="6B8BF3E0"/>
    <w:rsid w:val="6B92C03E"/>
    <w:rsid w:val="6B95C94C"/>
    <w:rsid w:val="6B95DE10"/>
    <w:rsid w:val="6B9A66CA"/>
    <w:rsid w:val="6B9F80B2"/>
    <w:rsid w:val="6BA117CB"/>
    <w:rsid w:val="6BA244A0"/>
    <w:rsid w:val="6BA6D00A"/>
    <w:rsid w:val="6BAAA218"/>
    <w:rsid w:val="6BB51426"/>
    <w:rsid w:val="6BB9C2F8"/>
    <w:rsid w:val="6BBC413F"/>
    <w:rsid w:val="6BC3CA75"/>
    <w:rsid w:val="6BCC2137"/>
    <w:rsid w:val="6BCD35D4"/>
    <w:rsid w:val="6BCE9700"/>
    <w:rsid w:val="6BD268AD"/>
    <w:rsid w:val="6BD4D24E"/>
    <w:rsid w:val="6BDC9AEF"/>
    <w:rsid w:val="6BE0276C"/>
    <w:rsid w:val="6BEA3E1E"/>
    <w:rsid w:val="6BECABAB"/>
    <w:rsid w:val="6BF13DD7"/>
    <w:rsid w:val="6BF43B16"/>
    <w:rsid w:val="6BF6668C"/>
    <w:rsid w:val="6BFC289C"/>
    <w:rsid w:val="6C09E65E"/>
    <w:rsid w:val="6C0A30A7"/>
    <w:rsid w:val="6C18BE77"/>
    <w:rsid w:val="6C1A94E7"/>
    <w:rsid w:val="6C1A9FF6"/>
    <w:rsid w:val="6C25898D"/>
    <w:rsid w:val="6C25A22A"/>
    <w:rsid w:val="6C2664F2"/>
    <w:rsid w:val="6C42DBDC"/>
    <w:rsid w:val="6C452B13"/>
    <w:rsid w:val="6C4EB1A8"/>
    <w:rsid w:val="6C508F57"/>
    <w:rsid w:val="6C5401AA"/>
    <w:rsid w:val="6C57520A"/>
    <w:rsid w:val="6C57AF2B"/>
    <w:rsid w:val="6C5D5C9A"/>
    <w:rsid w:val="6C61CA5B"/>
    <w:rsid w:val="6C61FF05"/>
    <w:rsid w:val="6C620D97"/>
    <w:rsid w:val="6C62E0E9"/>
    <w:rsid w:val="6C63D598"/>
    <w:rsid w:val="6C660631"/>
    <w:rsid w:val="6C70381F"/>
    <w:rsid w:val="6C706E35"/>
    <w:rsid w:val="6C754342"/>
    <w:rsid w:val="6C75E90F"/>
    <w:rsid w:val="6C7BF645"/>
    <w:rsid w:val="6C7CEBC1"/>
    <w:rsid w:val="6C885BA3"/>
    <w:rsid w:val="6C8F137E"/>
    <w:rsid w:val="6C97BE08"/>
    <w:rsid w:val="6C9A3294"/>
    <w:rsid w:val="6C9A4528"/>
    <w:rsid w:val="6C9A4B04"/>
    <w:rsid w:val="6C9E1081"/>
    <w:rsid w:val="6C9EAFA3"/>
    <w:rsid w:val="6CA45395"/>
    <w:rsid w:val="6CA8ECDF"/>
    <w:rsid w:val="6CAE97C9"/>
    <w:rsid w:val="6CBF9158"/>
    <w:rsid w:val="6CC2E2E2"/>
    <w:rsid w:val="6CC3EC9D"/>
    <w:rsid w:val="6CC545B0"/>
    <w:rsid w:val="6CD558C2"/>
    <w:rsid w:val="6CE06E9E"/>
    <w:rsid w:val="6CEDF01C"/>
    <w:rsid w:val="6CEE5860"/>
    <w:rsid w:val="6CF67C37"/>
    <w:rsid w:val="6CF87E1D"/>
    <w:rsid w:val="6D0E52F6"/>
    <w:rsid w:val="6D13A3A1"/>
    <w:rsid w:val="6D16FC19"/>
    <w:rsid w:val="6D1807A8"/>
    <w:rsid w:val="6D2E7A07"/>
    <w:rsid w:val="6D36372B"/>
    <w:rsid w:val="6D36E33C"/>
    <w:rsid w:val="6D3A6EA1"/>
    <w:rsid w:val="6D3AEBB2"/>
    <w:rsid w:val="6D3B49FD"/>
    <w:rsid w:val="6D44FAD5"/>
    <w:rsid w:val="6D49091F"/>
    <w:rsid w:val="6D4B05BD"/>
    <w:rsid w:val="6D582BC6"/>
    <w:rsid w:val="6D584ED8"/>
    <w:rsid w:val="6D5EC332"/>
    <w:rsid w:val="6D610758"/>
    <w:rsid w:val="6D6A51B2"/>
    <w:rsid w:val="6D6D23E4"/>
    <w:rsid w:val="6D6D937A"/>
    <w:rsid w:val="6D6DFC48"/>
    <w:rsid w:val="6D755B16"/>
    <w:rsid w:val="6D801B6D"/>
    <w:rsid w:val="6D85A8DF"/>
    <w:rsid w:val="6D89C8AE"/>
    <w:rsid w:val="6D8AF0AE"/>
    <w:rsid w:val="6D932D63"/>
    <w:rsid w:val="6D9EA2E5"/>
    <w:rsid w:val="6D9ED13C"/>
    <w:rsid w:val="6DA029EC"/>
    <w:rsid w:val="6DA0DF62"/>
    <w:rsid w:val="6DA45C3D"/>
    <w:rsid w:val="6DAB35B5"/>
    <w:rsid w:val="6DBD9714"/>
    <w:rsid w:val="6DCE2E63"/>
    <w:rsid w:val="6DD0520F"/>
    <w:rsid w:val="6DD2D0DC"/>
    <w:rsid w:val="6DD40514"/>
    <w:rsid w:val="6DDAC19D"/>
    <w:rsid w:val="6DDAEC32"/>
    <w:rsid w:val="6DDB2EDA"/>
    <w:rsid w:val="6DDE21FE"/>
    <w:rsid w:val="6DDEDA0F"/>
    <w:rsid w:val="6DE3B9B4"/>
    <w:rsid w:val="6DE42A21"/>
    <w:rsid w:val="6DEC9F1D"/>
    <w:rsid w:val="6DEDA671"/>
    <w:rsid w:val="6DEFA73C"/>
    <w:rsid w:val="6DF2922E"/>
    <w:rsid w:val="6E03786E"/>
    <w:rsid w:val="6E055773"/>
    <w:rsid w:val="6E116737"/>
    <w:rsid w:val="6E16B486"/>
    <w:rsid w:val="6E18E592"/>
    <w:rsid w:val="6E1F2CC2"/>
    <w:rsid w:val="6E1F35A6"/>
    <w:rsid w:val="6E222928"/>
    <w:rsid w:val="6E24851C"/>
    <w:rsid w:val="6E29FA1E"/>
    <w:rsid w:val="6E2C89B7"/>
    <w:rsid w:val="6E2DD7ED"/>
    <w:rsid w:val="6E2E0EE0"/>
    <w:rsid w:val="6E36C206"/>
    <w:rsid w:val="6E36DD67"/>
    <w:rsid w:val="6E3A9F28"/>
    <w:rsid w:val="6E3B2545"/>
    <w:rsid w:val="6E3B93D6"/>
    <w:rsid w:val="6E3B9E2E"/>
    <w:rsid w:val="6E3D55C4"/>
    <w:rsid w:val="6E45E105"/>
    <w:rsid w:val="6E471C59"/>
    <w:rsid w:val="6E4B7043"/>
    <w:rsid w:val="6E58ACA5"/>
    <w:rsid w:val="6E5F1259"/>
    <w:rsid w:val="6E691E09"/>
    <w:rsid w:val="6E81A614"/>
    <w:rsid w:val="6E9F7671"/>
    <w:rsid w:val="6EA02C88"/>
    <w:rsid w:val="6EA384D0"/>
    <w:rsid w:val="6EA9421D"/>
    <w:rsid w:val="6EB045DC"/>
    <w:rsid w:val="6EBAC793"/>
    <w:rsid w:val="6EBCDCEC"/>
    <w:rsid w:val="6ECD7461"/>
    <w:rsid w:val="6ECFFC4D"/>
    <w:rsid w:val="6EDA582D"/>
    <w:rsid w:val="6EDE954C"/>
    <w:rsid w:val="6EEB92A2"/>
    <w:rsid w:val="6EEDB5FF"/>
    <w:rsid w:val="6EEE580F"/>
    <w:rsid w:val="6EEED45E"/>
    <w:rsid w:val="6F06B1C1"/>
    <w:rsid w:val="6F0E14A3"/>
    <w:rsid w:val="6F112B77"/>
    <w:rsid w:val="6F19BAA9"/>
    <w:rsid w:val="6F1E8040"/>
    <w:rsid w:val="6F25990F"/>
    <w:rsid w:val="6F297C3C"/>
    <w:rsid w:val="6F2BC1C2"/>
    <w:rsid w:val="6F32F220"/>
    <w:rsid w:val="6F3D85CA"/>
    <w:rsid w:val="6F472C8D"/>
    <w:rsid w:val="6F55A929"/>
    <w:rsid w:val="6F5F1AD9"/>
    <w:rsid w:val="6F64CD66"/>
    <w:rsid w:val="6F733888"/>
    <w:rsid w:val="6F7496DC"/>
    <w:rsid w:val="6F78F147"/>
    <w:rsid w:val="6F7A9862"/>
    <w:rsid w:val="6F7C11D3"/>
    <w:rsid w:val="6F7D6F55"/>
    <w:rsid w:val="6F8AB766"/>
    <w:rsid w:val="6F8DA8B2"/>
    <w:rsid w:val="6F93C55E"/>
    <w:rsid w:val="6F940F3B"/>
    <w:rsid w:val="6F9C66C4"/>
    <w:rsid w:val="6F9CF778"/>
    <w:rsid w:val="6F9F48CF"/>
    <w:rsid w:val="6F9F96F5"/>
    <w:rsid w:val="6FA127D4"/>
    <w:rsid w:val="6FAEC24F"/>
    <w:rsid w:val="6FB1ED5E"/>
    <w:rsid w:val="6FBC88E6"/>
    <w:rsid w:val="6FBDDC6A"/>
    <w:rsid w:val="6FBFCE25"/>
    <w:rsid w:val="6FC01EB9"/>
    <w:rsid w:val="6FC5CA3C"/>
    <w:rsid w:val="6FC6A7A4"/>
    <w:rsid w:val="6FD2B7D3"/>
    <w:rsid w:val="6FD5D990"/>
    <w:rsid w:val="6FD5F2E2"/>
    <w:rsid w:val="6FD93C80"/>
    <w:rsid w:val="6FE152DB"/>
    <w:rsid w:val="6FE5ECAA"/>
    <w:rsid w:val="6FE61B02"/>
    <w:rsid w:val="6FF35054"/>
    <w:rsid w:val="7000EB05"/>
    <w:rsid w:val="70011902"/>
    <w:rsid w:val="7003E6B8"/>
    <w:rsid w:val="7005120B"/>
    <w:rsid w:val="70058C40"/>
    <w:rsid w:val="70073E72"/>
    <w:rsid w:val="700886AF"/>
    <w:rsid w:val="700EF311"/>
    <w:rsid w:val="70104C55"/>
    <w:rsid w:val="701237A0"/>
    <w:rsid w:val="70213A83"/>
    <w:rsid w:val="7024DCE2"/>
    <w:rsid w:val="7026202B"/>
    <w:rsid w:val="702E2D46"/>
    <w:rsid w:val="7031EDC0"/>
    <w:rsid w:val="70338BF3"/>
    <w:rsid w:val="7033C4E3"/>
    <w:rsid w:val="7036FF94"/>
    <w:rsid w:val="704BE9A1"/>
    <w:rsid w:val="704CCFA9"/>
    <w:rsid w:val="704D35E3"/>
    <w:rsid w:val="7056FCE3"/>
    <w:rsid w:val="7057B51E"/>
    <w:rsid w:val="7058E6BA"/>
    <w:rsid w:val="706235E7"/>
    <w:rsid w:val="70678184"/>
    <w:rsid w:val="7067F896"/>
    <w:rsid w:val="70683DD0"/>
    <w:rsid w:val="70735144"/>
    <w:rsid w:val="7074299B"/>
    <w:rsid w:val="7077CC85"/>
    <w:rsid w:val="7078D085"/>
    <w:rsid w:val="707C8561"/>
    <w:rsid w:val="707DFB62"/>
    <w:rsid w:val="7081CE4A"/>
    <w:rsid w:val="708EF370"/>
    <w:rsid w:val="70914A54"/>
    <w:rsid w:val="709B0681"/>
    <w:rsid w:val="70A50334"/>
    <w:rsid w:val="70A9FDC0"/>
    <w:rsid w:val="70AD4DD3"/>
    <w:rsid w:val="70B6431C"/>
    <w:rsid w:val="70B64610"/>
    <w:rsid w:val="70B850ED"/>
    <w:rsid w:val="70BD354E"/>
    <w:rsid w:val="70BE52DF"/>
    <w:rsid w:val="70CD8A31"/>
    <w:rsid w:val="70D2DDFF"/>
    <w:rsid w:val="70D8E620"/>
    <w:rsid w:val="70DF7A48"/>
    <w:rsid w:val="70E5F4D8"/>
    <w:rsid w:val="70F34198"/>
    <w:rsid w:val="70FBFEA7"/>
    <w:rsid w:val="71029DEB"/>
    <w:rsid w:val="7111D7B3"/>
    <w:rsid w:val="711F76E5"/>
    <w:rsid w:val="712210B6"/>
    <w:rsid w:val="71230A10"/>
    <w:rsid w:val="7126D03E"/>
    <w:rsid w:val="712726C1"/>
    <w:rsid w:val="7129EB92"/>
    <w:rsid w:val="713470D1"/>
    <w:rsid w:val="71348E73"/>
    <w:rsid w:val="714284BB"/>
    <w:rsid w:val="71473D74"/>
    <w:rsid w:val="7152DC1F"/>
    <w:rsid w:val="71538142"/>
    <w:rsid w:val="715D711A"/>
    <w:rsid w:val="715EF278"/>
    <w:rsid w:val="715FA195"/>
    <w:rsid w:val="71620A42"/>
    <w:rsid w:val="7163DCA0"/>
    <w:rsid w:val="71688FC5"/>
    <w:rsid w:val="7169A7A8"/>
    <w:rsid w:val="7173961E"/>
    <w:rsid w:val="7173C9C9"/>
    <w:rsid w:val="71751F21"/>
    <w:rsid w:val="717B1214"/>
    <w:rsid w:val="717B418D"/>
    <w:rsid w:val="717CE544"/>
    <w:rsid w:val="717EBD1B"/>
    <w:rsid w:val="71856636"/>
    <w:rsid w:val="7196E9F0"/>
    <w:rsid w:val="71979FCD"/>
    <w:rsid w:val="7197BC3C"/>
    <w:rsid w:val="719B151B"/>
    <w:rsid w:val="71A090FC"/>
    <w:rsid w:val="71A246CF"/>
    <w:rsid w:val="71A6260E"/>
    <w:rsid w:val="71AD3807"/>
    <w:rsid w:val="71AD75B5"/>
    <w:rsid w:val="71AD9D13"/>
    <w:rsid w:val="71B17E4A"/>
    <w:rsid w:val="71BB6F2C"/>
    <w:rsid w:val="71CA5F26"/>
    <w:rsid w:val="71D29144"/>
    <w:rsid w:val="71DBF2ED"/>
    <w:rsid w:val="71DC3632"/>
    <w:rsid w:val="71DC3A28"/>
    <w:rsid w:val="71E00849"/>
    <w:rsid w:val="71E4F5B3"/>
    <w:rsid w:val="71E7EEED"/>
    <w:rsid w:val="71E8B460"/>
    <w:rsid w:val="71E8C2CD"/>
    <w:rsid w:val="71EA53D9"/>
    <w:rsid w:val="71EDC4B0"/>
    <w:rsid w:val="71F0A487"/>
    <w:rsid w:val="71F0E37A"/>
    <w:rsid w:val="71F5CDCE"/>
    <w:rsid w:val="71FA1C76"/>
    <w:rsid w:val="71FDE7DA"/>
    <w:rsid w:val="7200A56D"/>
    <w:rsid w:val="7202503E"/>
    <w:rsid w:val="72051523"/>
    <w:rsid w:val="720B3243"/>
    <w:rsid w:val="720C587F"/>
    <w:rsid w:val="720F319E"/>
    <w:rsid w:val="720FCD51"/>
    <w:rsid w:val="721711DA"/>
    <w:rsid w:val="721EA562"/>
    <w:rsid w:val="721EC801"/>
    <w:rsid w:val="722393DA"/>
    <w:rsid w:val="7224EFEB"/>
    <w:rsid w:val="72291FE4"/>
    <w:rsid w:val="722B6488"/>
    <w:rsid w:val="722C8ACC"/>
    <w:rsid w:val="723DC71D"/>
    <w:rsid w:val="7247888C"/>
    <w:rsid w:val="7250DD98"/>
    <w:rsid w:val="72573DE4"/>
    <w:rsid w:val="72596E1F"/>
    <w:rsid w:val="725D39D1"/>
    <w:rsid w:val="725EC87E"/>
    <w:rsid w:val="726C62FF"/>
    <w:rsid w:val="7271494F"/>
    <w:rsid w:val="7281B29A"/>
    <w:rsid w:val="728D0C3E"/>
    <w:rsid w:val="72948079"/>
    <w:rsid w:val="729C23E7"/>
    <w:rsid w:val="729C509F"/>
    <w:rsid w:val="72A1329A"/>
    <w:rsid w:val="72A2EFB6"/>
    <w:rsid w:val="72A5C621"/>
    <w:rsid w:val="72AD2291"/>
    <w:rsid w:val="72AE7AD7"/>
    <w:rsid w:val="72B3712C"/>
    <w:rsid w:val="72B638FD"/>
    <w:rsid w:val="72B7436D"/>
    <w:rsid w:val="72C487B0"/>
    <w:rsid w:val="72C9373E"/>
    <w:rsid w:val="72CFAD1B"/>
    <w:rsid w:val="72D460E3"/>
    <w:rsid w:val="72D4983A"/>
    <w:rsid w:val="72D784BC"/>
    <w:rsid w:val="72DC8412"/>
    <w:rsid w:val="72E4D85A"/>
    <w:rsid w:val="72E62951"/>
    <w:rsid w:val="72E9B7FF"/>
    <w:rsid w:val="72ECD27A"/>
    <w:rsid w:val="72EDC097"/>
    <w:rsid w:val="72EDD72F"/>
    <w:rsid w:val="72FDAD23"/>
    <w:rsid w:val="7306FF8C"/>
    <w:rsid w:val="73099DF5"/>
    <w:rsid w:val="730CC654"/>
    <w:rsid w:val="730DFDCF"/>
    <w:rsid w:val="730E837D"/>
    <w:rsid w:val="7311F3FE"/>
    <w:rsid w:val="731CD24A"/>
    <w:rsid w:val="73211984"/>
    <w:rsid w:val="7328D261"/>
    <w:rsid w:val="732B4E4E"/>
    <w:rsid w:val="73303A4B"/>
    <w:rsid w:val="733A9008"/>
    <w:rsid w:val="73413340"/>
    <w:rsid w:val="7342787A"/>
    <w:rsid w:val="73432886"/>
    <w:rsid w:val="7345CFAC"/>
    <w:rsid w:val="7347BE99"/>
    <w:rsid w:val="735095A9"/>
    <w:rsid w:val="735FDE3B"/>
    <w:rsid w:val="73602BB9"/>
    <w:rsid w:val="73646C1D"/>
    <w:rsid w:val="7365CE08"/>
    <w:rsid w:val="73660624"/>
    <w:rsid w:val="736718B2"/>
    <w:rsid w:val="73762D83"/>
    <w:rsid w:val="7378F0A8"/>
    <w:rsid w:val="737A21F2"/>
    <w:rsid w:val="73805B1E"/>
    <w:rsid w:val="738194D0"/>
    <w:rsid w:val="7385155F"/>
    <w:rsid w:val="738E9212"/>
    <w:rsid w:val="7391C23C"/>
    <w:rsid w:val="7392224B"/>
    <w:rsid w:val="7395C4C0"/>
    <w:rsid w:val="7398E400"/>
    <w:rsid w:val="73A66CC1"/>
    <w:rsid w:val="73AB29B8"/>
    <w:rsid w:val="73AB8542"/>
    <w:rsid w:val="73AEF4B4"/>
    <w:rsid w:val="73B09F5E"/>
    <w:rsid w:val="73B18427"/>
    <w:rsid w:val="73B3308A"/>
    <w:rsid w:val="73B8420B"/>
    <w:rsid w:val="73B97CBE"/>
    <w:rsid w:val="73B9AAE0"/>
    <w:rsid w:val="73BB1E66"/>
    <w:rsid w:val="73BCF155"/>
    <w:rsid w:val="73C52754"/>
    <w:rsid w:val="73C7C157"/>
    <w:rsid w:val="73C92F68"/>
    <w:rsid w:val="73CC5E2D"/>
    <w:rsid w:val="73D73F1B"/>
    <w:rsid w:val="73D9FB1D"/>
    <w:rsid w:val="73DC991B"/>
    <w:rsid w:val="73DE56D5"/>
    <w:rsid w:val="73ECACC1"/>
    <w:rsid w:val="73ECB3AB"/>
    <w:rsid w:val="73F90FC4"/>
    <w:rsid w:val="73F9410A"/>
    <w:rsid w:val="73FD0AD1"/>
    <w:rsid w:val="73FD370B"/>
    <w:rsid w:val="741F703D"/>
    <w:rsid w:val="74206C7B"/>
    <w:rsid w:val="742A78F7"/>
    <w:rsid w:val="742DE652"/>
    <w:rsid w:val="74345692"/>
    <w:rsid w:val="74394832"/>
    <w:rsid w:val="743EC4A3"/>
    <w:rsid w:val="744905C9"/>
    <w:rsid w:val="744E1B93"/>
    <w:rsid w:val="7453B104"/>
    <w:rsid w:val="7459360A"/>
    <w:rsid w:val="745C4E23"/>
    <w:rsid w:val="745FDD3F"/>
    <w:rsid w:val="7467286F"/>
    <w:rsid w:val="7467805E"/>
    <w:rsid w:val="746B3AB4"/>
    <w:rsid w:val="746C722F"/>
    <w:rsid w:val="74772899"/>
    <w:rsid w:val="74888FB6"/>
    <w:rsid w:val="748B0C64"/>
    <w:rsid w:val="748C2EB0"/>
    <w:rsid w:val="748FBAE1"/>
    <w:rsid w:val="749F61FD"/>
    <w:rsid w:val="74A20686"/>
    <w:rsid w:val="74A52062"/>
    <w:rsid w:val="74A54B45"/>
    <w:rsid w:val="74A8E33E"/>
    <w:rsid w:val="74AD45E0"/>
    <w:rsid w:val="74BECB56"/>
    <w:rsid w:val="74BF3730"/>
    <w:rsid w:val="74E8AD56"/>
    <w:rsid w:val="74EF4534"/>
    <w:rsid w:val="74F2CFB0"/>
    <w:rsid w:val="74F7EA37"/>
    <w:rsid w:val="74F84E05"/>
    <w:rsid w:val="74FA08A5"/>
    <w:rsid w:val="74FD25CC"/>
    <w:rsid w:val="750057A8"/>
    <w:rsid w:val="7500A817"/>
    <w:rsid w:val="7501E452"/>
    <w:rsid w:val="751393AF"/>
    <w:rsid w:val="75160963"/>
    <w:rsid w:val="75180641"/>
    <w:rsid w:val="751FE0F0"/>
    <w:rsid w:val="75238D88"/>
    <w:rsid w:val="75284F67"/>
    <w:rsid w:val="752A6273"/>
    <w:rsid w:val="752A648E"/>
    <w:rsid w:val="752B72DB"/>
    <w:rsid w:val="753189A3"/>
    <w:rsid w:val="7534998D"/>
    <w:rsid w:val="75364EE5"/>
    <w:rsid w:val="7537031E"/>
    <w:rsid w:val="7537254B"/>
    <w:rsid w:val="75398C19"/>
    <w:rsid w:val="753A0215"/>
    <w:rsid w:val="753A63C5"/>
    <w:rsid w:val="7546D7ED"/>
    <w:rsid w:val="754730ED"/>
    <w:rsid w:val="754E93AB"/>
    <w:rsid w:val="754F7341"/>
    <w:rsid w:val="75554F47"/>
    <w:rsid w:val="7558B7B8"/>
    <w:rsid w:val="755AEE5A"/>
    <w:rsid w:val="755CCAE8"/>
    <w:rsid w:val="75689685"/>
    <w:rsid w:val="756FBAAC"/>
    <w:rsid w:val="756FDE1D"/>
    <w:rsid w:val="75744C7E"/>
    <w:rsid w:val="757E95BE"/>
    <w:rsid w:val="758005C3"/>
    <w:rsid w:val="7580EF56"/>
    <w:rsid w:val="7582200D"/>
    <w:rsid w:val="7582F11C"/>
    <w:rsid w:val="7586F072"/>
    <w:rsid w:val="75872523"/>
    <w:rsid w:val="75911357"/>
    <w:rsid w:val="7595B1A2"/>
    <w:rsid w:val="75989150"/>
    <w:rsid w:val="75A5865B"/>
    <w:rsid w:val="75B1A5F7"/>
    <w:rsid w:val="75B1C4E2"/>
    <w:rsid w:val="75B24839"/>
    <w:rsid w:val="75B4A35A"/>
    <w:rsid w:val="75B8AD4B"/>
    <w:rsid w:val="75C171F0"/>
    <w:rsid w:val="75C79865"/>
    <w:rsid w:val="75D4DF48"/>
    <w:rsid w:val="75D8D35C"/>
    <w:rsid w:val="75E2434D"/>
    <w:rsid w:val="75E37212"/>
    <w:rsid w:val="75E3CB47"/>
    <w:rsid w:val="75E3D860"/>
    <w:rsid w:val="75E5017C"/>
    <w:rsid w:val="75E98532"/>
    <w:rsid w:val="75EA7ACE"/>
    <w:rsid w:val="75F20733"/>
    <w:rsid w:val="75F530A6"/>
    <w:rsid w:val="75F7E953"/>
    <w:rsid w:val="75FEC997"/>
    <w:rsid w:val="75FEF04C"/>
    <w:rsid w:val="7615278E"/>
    <w:rsid w:val="761F5E9A"/>
    <w:rsid w:val="76212EE2"/>
    <w:rsid w:val="7623F777"/>
    <w:rsid w:val="762D9B6A"/>
    <w:rsid w:val="76390E07"/>
    <w:rsid w:val="76402557"/>
    <w:rsid w:val="7641DDBB"/>
    <w:rsid w:val="7646F6DB"/>
    <w:rsid w:val="7647472F"/>
    <w:rsid w:val="76492554"/>
    <w:rsid w:val="764F0CD8"/>
    <w:rsid w:val="7650B076"/>
    <w:rsid w:val="76525D89"/>
    <w:rsid w:val="76564CCC"/>
    <w:rsid w:val="765942EF"/>
    <w:rsid w:val="765A2BE5"/>
    <w:rsid w:val="765B67CD"/>
    <w:rsid w:val="7660696A"/>
    <w:rsid w:val="766DA09B"/>
    <w:rsid w:val="766E77A8"/>
    <w:rsid w:val="76715403"/>
    <w:rsid w:val="76718499"/>
    <w:rsid w:val="7674544A"/>
    <w:rsid w:val="7678648C"/>
    <w:rsid w:val="7679531A"/>
    <w:rsid w:val="767C2661"/>
    <w:rsid w:val="767D6746"/>
    <w:rsid w:val="767E2BB5"/>
    <w:rsid w:val="7680A447"/>
    <w:rsid w:val="7680B000"/>
    <w:rsid w:val="7689E30E"/>
    <w:rsid w:val="76906885"/>
    <w:rsid w:val="76BE50F0"/>
    <w:rsid w:val="76BF5DE9"/>
    <w:rsid w:val="76C6F6A2"/>
    <w:rsid w:val="76CC7410"/>
    <w:rsid w:val="76CD5A04"/>
    <w:rsid w:val="76D2B4BE"/>
    <w:rsid w:val="76D79B53"/>
    <w:rsid w:val="76DB0700"/>
    <w:rsid w:val="76E00984"/>
    <w:rsid w:val="76EAD14C"/>
    <w:rsid w:val="76FB458C"/>
    <w:rsid w:val="7701E387"/>
    <w:rsid w:val="77067D1C"/>
    <w:rsid w:val="770E9ACA"/>
    <w:rsid w:val="770ECA1C"/>
    <w:rsid w:val="770FA52D"/>
    <w:rsid w:val="7710396E"/>
    <w:rsid w:val="771283C0"/>
    <w:rsid w:val="7719CAE3"/>
    <w:rsid w:val="771A1035"/>
    <w:rsid w:val="771F31B9"/>
    <w:rsid w:val="7730AAF4"/>
    <w:rsid w:val="773204DE"/>
    <w:rsid w:val="7734EFC2"/>
    <w:rsid w:val="77399287"/>
    <w:rsid w:val="773CAB7F"/>
    <w:rsid w:val="773EDB43"/>
    <w:rsid w:val="7749635E"/>
    <w:rsid w:val="774E8A3B"/>
    <w:rsid w:val="7761D958"/>
    <w:rsid w:val="7762950B"/>
    <w:rsid w:val="7762E283"/>
    <w:rsid w:val="7769C6D9"/>
    <w:rsid w:val="776AABDB"/>
    <w:rsid w:val="776C93F8"/>
    <w:rsid w:val="777094C1"/>
    <w:rsid w:val="77741ABC"/>
    <w:rsid w:val="777B8D60"/>
    <w:rsid w:val="7780B219"/>
    <w:rsid w:val="7788938D"/>
    <w:rsid w:val="77893B34"/>
    <w:rsid w:val="779A7DF1"/>
    <w:rsid w:val="779ED2A4"/>
    <w:rsid w:val="77A07CD6"/>
    <w:rsid w:val="77A99A69"/>
    <w:rsid w:val="77ACF988"/>
    <w:rsid w:val="77B4B741"/>
    <w:rsid w:val="77C131BA"/>
    <w:rsid w:val="77C237CC"/>
    <w:rsid w:val="77C40C66"/>
    <w:rsid w:val="77C6DFC7"/>
    <w:rsid w:val="77D0DC64"/>
    <w:rsid w:val="77E2DA6A"/>
    <w:rsid w:val="77E6E63D"/>
    <w:rsid w:val="77E8EB14"/>
    <w:rsid w:val="77E9A793"/>
    <w:rsid w:val="77ED1636"/>
    <w:rsid w:val="77F21D2D"/>
    <w:rsid w:val="77F35A36"/>
    <w:rsid w:val="77F82D3D"/>
    <w:rsid w:val="77F97C5A"/>
    <w:rsid w:val="77FA3432"/>
    <w:rsid w:val="77FB82C9"/>
    <w:rsid w:val="7800FF55"/>
    <w:rsid w:val="78040306"/>
    <w:rsid w:val="7807A5A5"/>
    <w:rsid w:val="780BA05F"/>
    <w:rsid w:val="780EFEEE"/>
    <w:rsid w:val="78127F49"/>
    <w:rsid w:val="78160E19"/>
    <w:rsid w:val="78192E35"/>
    <w:rsid w:val="782BB71B"/>
    <w:rsid w:val="782BC939"/>
    <w:rsid w:val="782EDA41"/>
    <w:rsid w:val="7837ED33"/>
    <w:rsid w:val="7837F86A"/>
    <w:rsid w:val="7846E42F"/>
    <w:rsid w:val="78470C68"/>
    <w:rsid w:val="7847C980"/>
    <w:rsid w:val="78487CEE"/>
    <w:rsid w:val="784B7DC8"/>
    <w:rsid w:val="785C3E79"/>
    <w:rsid w:val="785CF3EC"/>
    <w:rsid w:val="7883317B"/>
    <w:rsid w:val="788A535D"/>
    <w:rsid w:val="78929597"/>
    <w:rsid w:val="789382FA"/>
    <w:rsid w:val="78969DBA"/>
    <w:rsid w:val="789E1DA7"/>
    <w:rsid w:val="78A69AEC"/>
    <w:rsid w:val="78A722E4"/>
    <w:rsid w:val="78AE1EF0"/>
    <w:rsid w:val="78B2D7A0"/>
    <w:rsid w:val="78BF7833"/>
    <w:rsid w:val="78C362D2"/>
    <w:rsid w:val="78C49F14"/>
    <w:rsid w:val="78C6DD7B"/>
    <w:rsid w:val="78D07A7E"/>
    <w:rsid w:val="78D14247"/>
    <w:rsid w:val="78D6CE40"/>
    <w:rsid w:val="78DCC495"/>
    <w:rsid w:val="78DD50D6"/>
    <w:rsid w:val="78E2F830"/>
    <w:rsid w:val="78EED6E8"/>
    <w:rsid w:val="78EF63C8"/>
    <w:rsid w:val="78EFE5C2"/>
    <w:rsid w:val="78F653AB"/>
    <w:rsid w:val="79078D8B"/>
    <w:rsid w:val="79153421"/>
    <w:rsid w:val="7916A973"/>
    <w:rsid w:val="79266C5B"/>
    <w:rsid w:val="7928DAA3"/>
    <w:rsid w:val="793894DF"/>
    <w:rsid w:val="793A8741"/>
    <w:rsid w:val="793EEE7D"/>
    <w:rsid w:val="795817AC"/>
    <w:rsid w:val="79601D5F"/>
    <w:rsid w:val="79614DC2"/>
    <w:rsid w:val="796554B5"/>
    <w:rsid w:val="7966B06B"/>
    <w:rsid w:val="796C7965"/>
    <w:rsid w:val="796C82DD"/>
    <w:rsid w:val="7973D8FD"/>
    <w:rsid w:val="797628CA"/>
    <w:rsid w:val="797AB9C7"/>
    <w:rsid w:val="797D8693"/>
    <w:rsid w:val="7984E16A"/>
    <w:rsid w:val="7990F59C"/>
    <w:rsid w:val="79927A84"/>
    <w:rsid w:val="79931064"/>
    <w:rsid w:val="7994E5FE"/>
    <w:rsid w:val="7997DD90"/>
    <w:rsid w:val="79A289C1"/>
    <w:rsid w:val="79A471E2"/>
    <w:rsid w:val="79A6475B"/>
    <w:rsid w:val="79A6A19D"/>
    <w:rsid w:val="79B26A0A"/>
    <w:rsid w:val="79BCB249"/>
    <w:rsid w:val="79BCDCA9"/>
    <w:rsid w:val="79CC4422"/>
    <w:rsid w:val="79D3BD94"/>
    <w:rsid w:val="79D86C52"/>
    <w:rsid w:val="79DF504F"/>
    <w:rsid w:val="79E51C2F"/>
    <w:rsid w:val="79E56F07"/>
    <w:rsid w:val="79F09F3A"/>
    <w:rsid w:val="79F15FE1"/>
    <w:rsid w:val="79F39F6E"/>
    <w:rsid w:val="79F3EB4A"/>
    <w:rsid w:val="7A006DA8"/>
    <w:rsid w:val="7A030D65"/>
    <w:rsid w:val="7A0812A0"/>
    <w:rsid w:val="7A0F3C15"/>
    <w:rsid w:val="7A10D49D"/>
    <w:rsid w:val="7A1CBD4D"/>
    <w:rsid w:val="7A1F23CF"/>
    <w:rsid w:val="7A22CD72"/>
    <w:rsid w:val="7A2A2BB3"/>
    <w:rsid w:val="7A3380D2"/>
    <w:rsid w:val="7A35B9A8"/>
    <w:rsid w:val="7A369AA7"/>
    <w:rsid w:val="7A3DD57F"/>
    <w:rsid w:val="7A4164F6"/>
    <w:rsid w:val="7A425F63"/>
    <w:rsid w:val="7A52ACA6"/>
    <w:rsid w:val="7A5EDA38"/>
    <w:rsid w:val="7A63EB3C"/>
    <w:rsid w:val="7A640A93"/>
    <w:rsid w:val="7A6CF5C3"/>
    <w:rsid w:val="7A7EFB65"/>
    <w:rsid w:val="7A802E18"/>
    <w:rsid w:val="7A87BAF4"/>
    <w:rsid w:val="7AA7D583"/>
    <w:rsid w:val="7AA809CE"/>
    <w:rsid w:val="7AAC447F"/>
    <w:rsid w:val="7AB9B1E2"/>
    <w:rsid w:val="7ABE5EBE"/>
    <w:rsid w:val="7AC2FB4C"/>
    <w:rsid w:val="7AD55793"/>
    <w:rsid w:val="7ADE449C"/>
    <w:rsid w:val="7AEC64A1"/>
    <w:rsid w:val="7AEE5B85"/>
    <w:rsid w:val="7B094DBB"/>
    <w:rsid w:val="7B0FB146"/>
    <w:rsid w:val="7B14D233"/>
    <w:rsid w:val="7B2195D3"/>
    <w:rsid w:val="7B2561BA"/>
    <w:rsid w:val="7B263BE9"/>
    <w:rsid w:val="7B2E5724"/>
    <w:rsid w:val="7B2E87A0"/>
    <w:rsid w:val="7B2ECE92"/>
    <w:rsid w:val="7B33A330"/>
    <w:rsid w:val="7B357B66"/>
    <w:rsid w:val="7B3CB413"/>
    <w:rsid w:val="7B3FFD10"/>
    <w:rsid w:val="7B449981"/>
    <w:rsid w:val="7B4B1016"/>
    <w:rsid w:val="7B4ED2DC"/>
    <w:rsid w:val="7B51628F"/>
    <w:rsid w:val="7B51FCA6"/>
    <w:rsid w:val="7B5670CF"/>
    <w:rsid w:val="7B56FEAF"/>
    <w:rsid w:val="7B5A7C0F"/>
    <w:rsid w:val="7B5AC207"/>
    <w:rsid w:val="7B5C4AED"/>
    <w:rsid w:val="7B69ACD6"/>
    <w:rsid w:val="7B6E1F9A"/>
    <w:rsid w:val="7B6FD8B9"/>
    <w:rsid w:val="7B74E3E5"/>
    <w:rsid w:val="7B776B88"/>
    <w:rsid w:val="7B7D9CB4"/>
    <w:rsid w:val="7B80365A"/>
    <w:rsid w:val="7B89AD2F"/>
    <w:rsid w:val="7B9D6ECA"/>
    <w:rsid w:val="7B9FE533"/>
    <w:rsid w:val="7BA515CB"/>
    <w:rsid w:val="7BA61B5F"/>
    <w:rsid w:val="7BB1F494"/>
    <w:rsid w:val="7BBEBDED"/>
    <w:rsid w:val="7BC70464"/>
    <w:rsid w:val="7BC9A341"/>
    <w:rsid w:val="7BCE82A3"/>
    <w:rsid w:val="7BD21EC7"/>
    <w:rsid w:val="7BD34AB6"/>
    <w:rsid w:val="7C1B32CB"/>
    <w:rsid w:val="7C1C221E"/>
    <w:rsid w:val="7C1D2042"/>
    <w:rsid w:val="7C2E4518"/>
    <w:rsid w:val="7C323EF3"/>
    <w:rsid w:val="7C3654E2"/>
    <w:rsid w:val="7C3EF965"/>
    <w:rsid w:val="7C49DBD1"/>
    <w:rsid w:val="7C4B811B"/>
    <w:rsid w:val="7C551506"/>
    <w:rsid w:val="7C5B439C"/>
    <w:rsid w:val="7C64A2E0"/>
    <w:rsid w:val="7C673D2E"/>
    <w:rsid w:val="7C69B38D"/>
    <w:rsid w:val="7C6EBB72"/>
    <w:rsid w:val="7C7952DB"/>
    <w:rsid w:val="7C7B9471"/>
    <w:rsid w:val="7C7B99F3"/>
    <w:rsid w:val="7C7CFBCB"/>
    <w:rsid w:val="7C958EC6"/>
    <w:rsid w:val="7C9949A6"/>
    <w:rsid w:val="7CA795D4"/>
    <w:rsid w:val="7CA7F336"/>
    <w:rsid w:val="7CAA728A"/>
    <w:rsid w:val="7CAC398B"/>
    <w:rsid w:val="7CB69F77"/>
    <w:rsid w:val="7CBF6615"/>
    <w:rsid w:val="7CD1FEA1"/>
    <w:rsid w:val="7CD4A881"/>
    <w:rsid w:val="7CD6C927"/>
    <w:rsid w:val="7CE9B66F"/>
    <w:rsid w:val="7CECA8CA"/>
    <w:rsid w:val="7CEE1419"/>
    <w:rsid w:val="7CEE18A0"/>
    <w:rsid w:val="7CF6D758"/>
    <w:rsid w:val="7CF8139A"/>
    <w:rsid w:val="7CFFCD2A"/>
    <w:rsid w:val="7D06D6BB"/>
    <w:rsid w:val="7D08DD81"/>
    <w:rsid w:val="7D0CB04E"/>
    <w:rsid w:val="7D133BE9"/>
    <w:rsid w:val="7D167D73"/>
    <w:rsid w:val="7D212995"/>
    <w:rsid w:val="7D22CFF0"/>
    <w:rsid w:val="7D2538E3"/>
    <w:rsid w:val="7D27BEDB"/>
    <w:rsid w:val="7D3AE0DD"/>
    <w:rsid w:val="7D3BB594"/>
    <w:rsid w:val="7D457736"/>
    <w:rsid w:val="7D473C34"/>
    <w:rsid w:val="7D47C7CA"/>
    <w:rsid w:val="7D4B06E2"/>
    <w:rsid w:val="7D4C89A9"/>
    <w:rsid w:val="7D4DFEC4"/>
    <w:rsid w:val="7D553A19"/>
    <w:rsid w:val="7D592661"/>
    <w:rsid w:val="7D5A12D0"/>
    <w:rsid w:val="7D65E60B"/>
    <w:rsid w:val="7D6E88F6"/>
    <w:rsid w:val="7D72D67B"/>
    <w:rsid w:val="7D82FCDF"/>
    <w:rsid w:val="7D857779"/>
    <w:rsid w:val="7D8CC19F"/>
    <w:rsid w:val="7D9ABE27"/>
    <w:rsid w:val="7D9BB856"/>
    <w:rsid w:val="7D9C127E"/>
    <w:rsid w:val="7DAA25C7"/>
    <w:rsid w:val="7DB021F9"/>
    <w:rsid w:val="7DB95FCE"/>
    <w:rsid w:val="7DBBBEBD"/>
    <w:rsid w:val="7DBFC521"/>
    <w:rsid w:val="7DC9D96B"/>
    <w:rsid w:val="7DCC057D"/>
    <w:rsid w:val="7DCD1741"/>
    <w:rsid w:val="7DDAC9C6"/>
    <w:rsid w:val="7DDC49D3"/>
    <w:rsid w:val="7DDCD723"/>
    <w:rsid w:val="7DDDB88A"/>
    <w:rsid w:val="7DDE355E"/>
    <w:rsid w:val="7DE8F9A8"/>
    <w:rsid w:val="7DF20FF7"/>
    <w:rsid w:val="7DFF1156"/>
    <w:rsid w:val="7E030D8F"/>
    <w:rsid w:val="7E086161"/>
    <w:rsid w:val="7E1B45B7"/>
    <w:rsid w:val="7E2A4FE6"/>
    <w:rsid w:val="7E2B88CF"/>
    <w:rsid w:val="7E32101B"/>
    <w:rsid w:val="7E32D564"/>
    <w:rsid w:val="7E35D7F6"/>
    <w:rsid w:val="7E3A9FCA"/>
    <w:rsid w:val="7E41B8AD"/>
    <w:rsid w:val="7E45E036"/>
    <w:rsid w:val="7E51C3DA"/>
    <w:rsid w:val="7E51CA86"/>
    <w:rsid w:val="7E551C08"/>
    <w:rsid w:val="7E556D14"/>
    <w:rsid w:val="7E55FA75"/>
    <w:rsid w:val="7E624812"/>
    <w:rsid w:val="7E65AB6E"/>
    <w:rsid w:val="7E68BDDE"/>
    <w:rsid w:val="7E692603"/>
    <w:rsid w:val="7E6F45F9"/>
    <w:rsid w:val="7E71DFD3"/>
    <w:rsid w:val="7E729988"/>
    <w:rsid w:val="7E76C260"/>
    <w:rsid w:val="7E7704C5"/>
    <w:rsid w:val="7E7E6A3B"/>
    <w:rsid w:val="7E7F12F5"/>
    <w:rsid w:val="7E80C9D7"/>
    <w:rsid w:val="7E83C401"/>
    <w:rsid w:val="7E8D28A5"/>
    <w:rsid w:val="7E8E1191"/>
    <w:rsid w:val="7E8E3052"/>
    <w:rsid w:val="7E907BD6"/>
    <w:rsid w:val="7E90C287"/>
    <w:rsid w:val="7E9379E3"/>
    <w:rsid w:val="7E9D95E0"/>
    <w:rsid w:val="7E9E0BF8"/>
    <w:rsid w:val="7E9EC738"/>
    <w:rsid w:val="7EA5325E"/>
    <w:rsid w:val="7EAACC7F"/>
    <w:rsid w:val="7EB20754"/>
    <w:rsid w:val="7EBEB59D"/>
    <w:rsid w:val="7ECA25F1"/>
    <w:rsid w:val="7EDA570F"/>
    <w:rsid w:val="7EDDE564"/>
    <w:rsid w:val="7EE20735"/>
    <w:rsid w:val="7EEC850B"/>
    <w:rsid w:val="7EEEEB36"/>
    <w:rsid w:val="7EFE3DF4"/>
    <w:rsid w:val="7F01B6B8"/>
    <w:rsid w:val="7F022597"/>
    <w:rsid w:val="7F06A2F3"/>
    <w:rsid w:val="7F09BF89"/>
    <w:rsid w:val="7F0BBD4F"/>
    <w:rsid w:val="7F11712A"/>
    <w:rsid w:val="7F12FB5A"/>
    <w:rsid w:val="7F140500"/>
    <w:rsid w:val="7F16146A"/>
    <w:rsid w:val="7F1AB87E"/>
    <w:rsid w:val="7F1F575A"/>
    <w:rsid w:val="7F37F59D"/>
    <w:rsid w:val="7F3AEA26"/>
    <w:rsid w:val="7F406E3B"/>
    <w:rsid w:val="7F49D9A1"/>
    <w:rsid w:val="7F4FF10F"/>
    <w:rsid w:val="7F5799C2"/>
    <w:rsid w:val="7F585C8D"/>
    <w:rsid w:val="7F58883D"/>
    <w:rsid w:val="7F6148A6"/>
    <w:rsid w:val="7F64315F"/>
    <w:rsid w:val="7F645707"/>
    <w:rsid w:val="7F677732"/>
    <w:rsid w:val="7F6DF5A4"/>
    <w:rsid w:val="7F707917"/>
    <w:rsid w:val="7F708AF2"/>
    <w:rsid w:val="7F731D58"/>
    <w:rsid w:val="7F7A6AC2"/>
    <w:rsid w:val="7F80BDDA"/>
    <w:rsid w:val="7F8697C1"/>
    <w:rsid w:val="7F89ACB1"/>
    <w:rsid w:val="7F8DBFEC"/>
    <w:rsid w:val="7F907A97"/>
    <w:rsid w:val="7F973EF9"/>
    <w:rsid w:val="7F9E32DD"/>
    <w:rsid w:val="7FA337FD"/>
    <w:rsid w:val="7FA6C420"/>
    <w:rsid w:val="7FB2D786"/>
    <w:rsid w:val="7FBA88B4"/>
    <w:rsid w:val="7FC3891B"/>
    <w:rsid w:val="7FC9A7A3"/>
    <w:rsid w:val="7FCAA3C2"/>
    <w:rsid w:val="7FCE4D6E"/>
    <w:rsid w:val="7FCF46B6"/>
    <w:rsid w:val="7FCF6D98"/>
    <w:rsid w:val="7FD1CAFB"/>
    <w:rsid w:val="7FD63710"/>
    <w:rsid w:val="7FDF6BCF"/>
    <w:rsid w:val="7FE0B8CD"/>
    <w:rsid w:val="7FF88EDB"/>
    <w:rsid w:val="7FFADE17"/>
    <w:rsid w:val="7FFF26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DC9CB8F"/>
  <w15:chartTrackingRefBased/>
  <w15:docId w15:val="{BA577901-5767-4CDB-B243-FFD8F29F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F33"/>
    <w:rPr>
      <w:rFonts w:ascii="Verdana" w:hAnsi="Verdana"/>
      <w:color w:val="000000" w:themeColor="text1"/>
      <w:sz w:val="20"/>
    </w:rPr>
  </w:style>
  <w:style w:type="paragraph" w:styleId="Heading1">
    <w:name w:val="heading 1"/>
    <w:basedOn w:val="Normal"/>
    <w:next w:val="Normal"/>
    <w:link w:val="Heading1Char"/>
    <w:autoRedefine/>
    <w:uiPriority w:val="9"/>
    <w:qFormat/>
    <w:rsid w:val="004C47B2"/>
    <w:pPr>
      <w:keepNext/>
      <w:keepLines/>
      <w:numPr>
        <w:numId w:val="7"/>
      </w:numPr>
      <w:spacing w:before="240" w:after="0"/>
      <w:outlineLvl w:val="0"/>
    </w:pPr>
    <w:rPr>
      <w:rFonts w:ascii="Palatino Linotype" w:eastAsiaTheme="majorEastAsia" w:hAnsi="Palatino Linotype" w:cstheme="majorBidi"/>
      <w:color w:val="143156"/>
      <w:sz w:val="48"/>
      <w:szCs w:val="32"/>
    </w:rPr>
  </w:style>
  <w:style w:type="paragraph" w:styleId="Heading2">
    <w:name w:val="heading 2"/>
    <w:basedOn w:val="Normal"/>
    <w:next w:val="Normal"/>
    <w:link w:val="Heading2Char"/>
    <w:autoRedefine/>
    <w:uiPriority w:val="9"/>
    <w:unhideWhenUsed/>
    <w:qFormat/>
    <w:rsid w:val="001D1B51"/>
    <w:pPr>
      <w:keepNext/>
      <w:keepLines/>
      <w:spacing w:before="40" w:after="0"/>
      <w:outlineLvl w:val="1"/>
    </w:pPr>
    <w:rPr>
      <w:rFonts w:ascii="Palatino Linotype" w:eastAsia="Palatino Linotype" w:hAnsi="Palatino Linotype" w:cs="Palatino Linotype"/>
      <w:color w:val="143156"/>
      <w:sz w:val="32"/>
      <w:szCs w:val="32"/>
    </w:rPr>
  </w:style>
  <w:style w:type="paragraph" w:styleId="Heading3">
    <w:name w:val="heading 3"/>
    <w:basedOn w:val="Normal"/>
    <w:next w:val="Normal"/>
    <w:link w:val="Heading3Char"/>
    <w:autoRedefine/>
    <w:uiPriority w:val="9"/>
    <w:unhideWhenUsed/>
    <w:qFormat/>
    <w:rsid w:val="00D72F33"/>
    <w:pPr>
      <w:keepNext/>
      <w:keepLines/>
      <w:spacing w:before="40" w:after="0"/>
      <w:outlineLvl w:val="2"/>
    </w:pPr>
    <w:rPr>
      <w:rFonts w:ascii="Palatino Linotype" w:eastAsiaTheme="majorEastAsia" w:hAnsi="Palatino Linotype" w:cstheme="majorBidi"/>
      <w:b/>
      <w:color w:val="143156"/>
      <w:sz w:val="32"/>
      <w:szCs w:val="24"/>
    </w:rPr>
  </w:style>
  <w:style w:type="paragraph" w:styleId="Heading4">
    <w:name w:val="heading 4"/>
    <w:basedOn w:val="Normal"/>
    <w:next w:val="Normal"/>
    <w:link w:val="Heading4Char"/>
    <w:autoRedefine/>
    <w:uiPriority w:val="9"/>
    <w:unhideWhenUsed/>
    <w:qFormat/>
    <w:rsid w:val="00D72F33"/>
    <w:pPr>
      <w:keepNext/>
      <w:keepLines/>
      <w:spacing w:before="40" w:after="0"/>
      <w:outlineLvl w:val="3"/>
    </w:pPr>
    <w:rPr>
      <w:rFonts w:ascii="Palatino Linotype" w:eastAsiaTheme="majorEastAsia" w:hAnsi="Palatino Linotype" w:cstheme="majorBidi"/>
      <w:b/>
      <w:iCs/>
      <w:color w:val="143156"/>
      <w:sz w:val="28"/>
    </w:rPr>
  </w:style>
  <w:style w:type="paragraph" w:styleId="Heading5">
    <w:name w:val="heading 5"/>
    <w:basedOn w:val="Normal"/>
    <w:next w:val="Normal"/>
    <w:link w:val="Heading5Char"/>
    <w:autoRedefine/>
    <w:uiPriority w:val="9"/>
    <w:unhideWhenUsed/>
    <w:qFormat/>
    <w:rsid w:val="00F468D6"/>
    <w:pPr>
      <w:keepNext/>
      <w:keepLines/>
      <w:spacing w:before="40" w:after="0"/>
      <w:outlineLvl w:val="4"/>
    </w:pPr>
    <w:rPr>
      <w:rFonts w:eastAsiaTheme="majorEastAsia" w:cstheme="majorBidi"/>
      <w:b/>
      <w:color w:val="CE20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7B2"/>
    <w:rPr>
      <w:rFonts w:ascii="Palatino Linotype" w:eastAsiaTheme="majorEastAsia" w:hAnsi="Palatino Linotype" w:cstheme="majorBidi"/>
      <w:color w:val="143156"/>
      <w:sz w:val="48"/>
      <w:szCs w:val="32"/>
    </w:rPr>
  </w:style>
  <w:style w:type="character" w:customStyle="1" w:styleId="Heading2Char">
    <w:name w:val="Heading 2 Char"/>
    <w:basedOn w:val="DefaultParagraphFont"/>
    <w:link w:val="Heading2"/>
    <w:uiPriority w:val="9"/>
    <w:rsid w:val="001D1B51"/>
    <w:rPr>
      <w:rFonts w:ascii="Palatino Linotype" w:eastAsia="Palatino Linotype" w:hAnsi="Palatino Linotype" w:cs="Palatino Linotype"/>
      <w:color w:val="143156"/>
      <w:sz w:val="32"/>
      <w:szCs w:val="32"/>
    </w:rPr>
  </w:style>
  <w:style w:type="character" w:customStyle="1" w:styleId="Heading3Char">
    <w:name w:val="Heading 3 Char"/>
    <w:basedOn w:val="DefaultParagraphFont"/>
    <w:link w:val="Heading3"/>
    <w:uiPriority w:val="9"/>
    <w:rsid w:val="00D72F33"/>
    <w:rPr>
      <w:rFonts w:ascii="Palatino Linotype" w:eastAsiaTheme="majorEastAsia" w:hAnsi="Palatino Linotype" w:cstheme="majorBidi"/>
      <w:b/>
      <w:color w:val="143156"/>
      <w:sz w:val="32"/>
      <w:szCs w:val="24"/>
    </w:rPr>
  </w:style>
  <w:style w:type="character" w:customStyle="1" w:styleId="Heading4Char">
    <w:name w:val="Heading 4 Char"/>
    <w:basedOn w:val="DefaultParagraphFont"/>
    <w:link w:val="Heading4"/>
    <w:uiPriority w:val="9"/>
    <w:rsid w:val="00D72F33"/>
    <w:rPr>
      <w:rFonts w:ascii="Palatino Linotype" w:eastAsiaTheme="majorEastAsia" w:hAnsi="Palatino Linotype" w:cstheme="majorBidi"/>
      <w:b/>
      <w:iCs/>
      <w:color w:val="143156"/>
      <w:sz w:val="28"/>
    </w:rPr>
  </w:style>
  <w:style w:type="character" w:customStyle="1" w:styleId="Heading5Char">
    <w:name w:val="Heading 5 Char"/>
    <w:basedOn w:val="DefaultParagraphFont"/>
    <w:link w:val="Heading5"/>
    <w:uiPriority w:val="9"/>
    <w:rsid w:val="00F468D6"/>
    <w:rPr>
      <w:rFonts w:ascii="Verdana" w:eastAsiaTheme="majorEastAsia" w:hAnsi="Verdana" w:cstheme="majorBidi"/>
      <w:b/>
      <w:color w:val="CE2028"/>
    </w:rPr>
  </w:style>
  <w:style w:type="paragraph" w:styleId="Header">
    <w:name w:val="header"/>
    <w:basedOn w:val="Normal"/>
    <w:link w:val="HeaderChar"/>
    <w:uiPriority w:val="99"/>
    <w:unhideWhenUsed/>
    <w:rsid w:val="00F03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627"/>
  </w:style>
  <w:style w:type="paragraph" w:styleId="Footer">
    <w:name w:val="footer"/>
    <w:basedOn w:val="Normal"/>
    <w:link w:val="FooterChar"/>
    <w:uiPriority w:val="99"/>
    <w:unhideWhenUsed/>
    <w:rsid w:val="00F03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627"/>
  </w:style>
  <w:style w:type="paragraph" w:styleId="Title">
    <w:name w:val="Title"/>
    <w:basedOn w:val="Heading1"/>
    <w:next w:val="Normal"/>
    <w:link w:val="TitleChar"/>
    <w:autoRedefine/>
    <w:uiPriority w:val="10"/>
    <w:qFormat/>
    <w:rsid w:val="002129B0"/>
    <w:pPr>
      <w:numPr>
        <w:numId w:val="0"/>
      </w:numPr>
      <w:spacing w:line="240" w:lineRule="auto"/>
      <w:ind w:left="720"/>
      <w:contextualSpacing/>
    </w:pPr>
    <w:rPr>
      <w:b/>
      <w:spacing w:val="-10"/>
      <w:kern w:val="28"/>
      <w:sz w:val="56"/>
      <w:szCs w:val="56"/>
    </w:rPr>
  </w:style>
  <w:style w:type="character" w:customStyle="1" w:styleId="TitleChar">
    <w:name w:val="Title Char"/>
    <w:basedOn w:val="DefaultParagraphFont"/>
    <w:link w:val="Title"/>
    <w:uiPriority w:val="10"/>
    <w:rsid w:val="002129B0"/>
    <w:rPr>
      <w:rFonts w:ascii="Palatino Linotype" w:eastAsiaTheme="majorEastAsia" w:hAnsi="Palatino Linotype" w:cstheme="majorBidi"/>
      <w:b/>
      <w:color w:val="143156"/>
      <w:spacing w:val="-10"/>
      <w:kern w:val="28"/>
      <w:sz w:val="56"/>
      <w:szCs w:val="56"/>
    </w:rPr>
  </w:style>
  <w:style w:type="paragraph" w:styleId="TOC1">
    <w:name w:val="toc 1"/>
    <w:basedOn w:val="Normal"/>
    <w:next w:val="Normal"/>
    <w:autoRedefine/>
    <w:uiPriority w:val="39"/>
    <w:unhideWhenUsed/>
    <w:rsid w:val="000C6B7B"/>
    <w:pPr>
      <w:tabs>
        <w:tab w:val="left" w:pos="660"/>
        <w:tab w:val="right" w:leader="dot" w:pos="8990"/>
      </w:tabs>
      <w:spacing w:after="100"/>
    </w:pPr>
    <w:rPr>
      <w:b/>
      <w:noProof/>
    </w:rPr>
  </w:style>
  <w:style w:type="character" w:styleId="Hyperlink">
    <w:name w:val="Hyperlink"/>
    <w:basedOn w:val="DefaultParagraphFont"/>
    <w:uiPriority w:val="99"/>
    <w:unhideWhenUsed/>
    <w:rsid w:val="00AF2299"/>
    <w:rPr>
      <w:color w:val="0563C1" w:themeColor="hyperlink"/>
      <w:u w:val="single"/>
    </w:rPr>
  </w:style>
  <w:style w:type="paragraph" w:styleId="TOC2">
    <w:name w:val="toc 2"/>
    <w:basedOn w:val="Normal"/>
    <w:next w:val="Normal"/>
    <w:autoRedefine/>
    <w:uiPriority w:val="39"/>
    <w:unhideWhenUsed/>
    <w:rsid w:val="00AF2299"/>
    <w:pPr>
      <w:spacing w:after="100"/>
      <w:ind w:left="220"/>
    </w:pPr>
  </w:style>
  <w:style w:type="paragraph" w:styleId="Subtitle">
    <w:name w:val="Subtitle"/>
    <w:basedOn w:val="Title"/>
    <w:next w:val="Normal"/>
    <w:link w:val="SubtitleChar"/>
    <w:autoRedefine/>
    <w:uiPriority w:val="11"/>
    <w:qFormat/>
    <w:rsid w:val="00D72F33"/>
    <w:pPr>
      <w:ind w:left="1080" w:hanging="720"/>
    </w:pPr>
    <w:rPr>
      <w:rFonts w:eastAsiaTheme="minorEastAsia"/>
      <w:b w:val="0"/>
      <w:spacing w:val="15"/>
      <w:sz w:val="52"/>
    </w:rPr>
  </w:style>
  <w:style w:type="character" w:customStyle="1" w:styleId="SubtitleChar">
    <w:name w:val="Subtitle Char"/>
    <w:basedOn w:val="DefaultParagraphFont"/>
    <w:link w:val="Subtitle"/>
    <w:uiPriority w:val="11"/>
    <w:rsid w:val="00D72F33"/>
    <w:rPr>
      <w:rFonts w:ascii="Palatino Linotype" w:eastAsiaTheme="minorEastAsia" w:hAnsi="Palatino Linotype" w:cstheme="majorBidi"/>
      <w:color w:val="143156"/>
      <w:spacing w:val="15"/>
      <w:kern w:val="28"/>
      <w:sz w:val="52"/>
      <w:szCs w:val="56"/>
    </w:rPr>
  </w:style>
  <w:style w:type="character" w:styleId="SubtleEmphasis">
    <w:name w:val="Subtle Emphasis"/>
    <w:basedOn w:val="SubtitleChar"/>
    <w:uiPriority w:val="19"/>
    <w:rsid w:val="002E3C12"/>
    <w:rPr>
      <w:rFonts w:ascii="Palatino Linotype" w:eastAsiaTheme="minorEastAsia" w:hAnsi="Palatino Linotype" w:cstheme="majorBidi"/>
      <w:i w:val="0"/>
      <w:iCs/>
      <w:color w:val="143156"/>
      <w:spacing w:val="15"/>
      <w:kern w:val="28"/>
      <w:sz w:val="36"/>
      <w:szCs w:val="56"/>
    </w:rPr>
  </w:style>
  <w:style w:type="paragraph" w:customStyle="1" w:styleId="Recommendation">
    <w:name w:val="Recommendation"/>
    <w:basedOn w:val="Normal"/>
    <w:next w:val="ListNumber"/>
    <w:link w:val="RecommendationChar"/>
    <w:qFormat/>
    <w:rsid w:val="00D72F33"/>
    <w:pPr>
      <w:tabs>
        <w:tab w:val="left" w:pos="567"/>
      </w:tabs>
      <w:spacing w:after="0" w:line="240" w:lineRule="auto"/>
    </w:pPr>
    <w:rPr>
      <w:b/>
      <w:color w:val="CE2028"/>
    </w:rPr>
  </w:style>
  <w:style w:type="paragraph" w:styleId="ListNumber">
    <w:name w:val="List Number"/>
    <w:basedOn w:val="Normal"/>
    <w:uiPriority w:val="99"/>
    <w:unhideWhenUsed/>
    <w:rsid w:val="001A7F0D"/>
    <w:pPr>
      <w:numPr>
        <w:numId w:val="6"/>
      </w:numPr>
      <w:contextualSpacing/>
    </w:pPr>
  </w:style>
  <w:style w:type="paragraph" w:styleId="ListParagraph">
    <w:name w:val="List Paragraph"/>
    <w:basedOn w:val="List"/>
    <w:next w:val="List3"/>
    <w:uiPriority w:val="34"/>
    <w:qFormat/>
    <w:rsid w:val="00843680"/>
    <w:pPr>
      <w:numPr>
        <w:numId w:val="5"/>
      </w:numPr>
      <w:spacing w:after="0" w:line="240" w:lineRule="auto"/>
    </w:pPr>
    <w:rPr>
      <w:bCs/>
      <w:szCs w:val="20"/>
    </w:rPr>
  </w:style>
  <w:style w:type="paragraph" w:styleId="List">
    <w:name w:val="List"/>
    <w:basedOn w:val="Normal"/>
    <w:uiPriority w:val="99"/>
    <w:semiHidden/>
    <w:unhideWhenUsed/>
    <w:rsid w:val="001A7F0D"/>
    <w:pPr>
      <w:ind w:left="283" w:hanging="283"/>
      <w:contextualSpacing/>
    </w:pPr>
  </w:style>
  <w:style w:type="paragraph" w:styleId="List3">
    <w:name w:val="List 3"/>
    <w:basedOn w:val="Normal"/>
    <w:uiPriority w:val="99"/>
    <w:unhideWhenUsed/>
    <w:rsid w:val="001A7F0D"/>
    <w:pPr>
      <w:ind w:left="849" w:hanging="283"/>
      <w:contextualSpacing/>
    </w:pPr>
  </w:style>
  <w:style w:type="table" w:customStyle="1" w:styleId="ACOSSTable">
    <w:name w:val="ACOSS Table"/>
    <w:basedOn w:val="TableNormal"/>
    <w:uiPriority w:val="99"/>
    <w:rsid w:val="00802DA1"/>
    <w:pPr>
      <w:spacing w:after="0" w:line="240" w:lineRule="auto"/>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
    <w:name w:val="Table Grid"/>
    <w:basedOn w:val="TableNormal"/>
    <w:uiPriority w:val="39"/>
    <w:rsid w:val="00802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Cs w:val="20"/>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Verdana" w:hAnsi="Verdana"/>
      <w:color w:val="000000" w:themeColor="text1"/>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A04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4DA"/>
    <w:rPr>
      <w:rFonts w:ascii="Segoe UI" w:hAnsi="Segoe UI" w:cs="Segoe UI"/>
      <w:color w:val="000000" w:themeColor="text1"/>
      <w:sz w:val="18"/>
      <w:szCs w:val="18"/>
    </w:rPr>
  </w:style>
  <w:style w:type="character" w:styleId="FollowedHyperlink">
    <w:name w:val="FollowedHyperlink"/>
    <w:basedOn w:val="DefaultParagraphFont"/>
    <w:uiPriority w:val="99"/>
    <w:semiHidden/>
    <w:unhideWhenUsed/>
    <w:rsid w:val="00524C8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155F2"/>
    <w:rPr>
      <w:b/>
      <w:bCs/>
    </w:rPr>
  </w:style>
  <w:style w:type="character" w:customStyle="1" w:styleId="CommentSubjectChar">
    <w:name w:val="Comment Subject Char"/>
    <w:basedOn w:val="CommentTextChar"/>
    <w:link w:val="CommentSubject"/>
    <w:uiPriority w:val="99"/>
    <w:semiHidden/>
    <w:rsid w:val="002155F2"/>
    <w:rPr>
      <w:rFonts w:ascii="Verdana" w:hAnsi="Verdana"/>
      <w:b/>
      <w:bCs/>
      <w:color w:val="000000" w:themeColor="text1"/>
      <w:sz w:val="20"/>
      <w:szCs w:val="20"/>
    </w:rPr>
  </w:style>
  <w:style w:type="paragraph" w:styleId="Revision">
    <w:name w:val="Revision"/>
    <w:hidden/>
    <w:uiPriority w:val="99"/>
    <w:semiHidden/>
    <w:rsid w:val="005855C0"/>
    <w:pPr>
      <w:spacing w:after="0" w:line="240" w:lineRule="auto"/>
    </w:pPr>
    <w:rPr>
      <w:rFonts w:ascii="Verdana" w:hAnsi="Verdana"/>
      <w:color w:val="000000" w:themeColor="text1"/>
      <w:sz w:val="20"/>
    </w:rPr>
  </w:style>
  <w:style w:type="paragraph" w:styleId="TOCHeading">
    <w:name w:val="TOC Heading"/>
    <w:basedOn w:val="Heading1"/>
    <w:next w:val="Normal"/>
    <w:uiPriority w:val="39"/>
    <w:unhideWhenUsed/>
    <w:qFormat/>
    <w:rsid w:val="0002757C"/>
    <w:pPr>
      <w:numPr>
        <w:numId w:val="0"/>
      </w:numPr>
      <w:outlineLvl w:val="9"/>
    </w:pPr>
    <w:rPr>
      <w:rFonts w:asciiTheme="majorHAnsi" w:hAnsiTheme="majorHAnsi"/>
      <w:color w:val="2E74B5" w:themeColor="accent1" w:themeShade="BF"/>
      <w:sz w:val="32"/>
    </w:rPr>
  </w:style>
  <w:style w:type="paragraph" w:styleId="TOC3">
    <w:name w:val="toc 3"/>
    <w:basedOn w:val="Normal"/>
    <w:next w:val="Normal"/>
    <w:autoRedefine/>
    <w:uiPriority w:val="39"/>
    <w:unhideWhenUsed/>
    <w:rsid w:val="0002757C"/>
    <w:pPr>
      <w:spacing w:after="100"/>
      <w:ind w:left="400"/>
    </w:pPr>
  </w:style>
  <w:style w:type="paragraph" w:styleId="TOC4">
    <w:name w:val="toc 4"/>
    <w:basedOn w:val="Normal"/>
    <w:next w:val="Normal"/>
    <w:autoRedefine/>
    <w:uiPriority w:val="39"/>
    <w:unhideWhenUsed/>
    <w:rsid w:val="00775FC7"/>
    <w:pPr>
      <w:spacing w:after="100"/>
      <w:ind w:left="660"/>
    </w:pPr>
    <w:rPr>
      <w:rFonts w:asciiTheme="minorHAnsi" w:eastAsiaTheme="minorEastAsia" w:hAnsiTheme="minorHAnsi"/>
      <w:color w:val="auto"/>
      <w:sz w:val="22"/>
    </w:rPr>
  </w:style>
  <w:style w:type="paragraph" w:styleId="TOC5">
    <w:name w:val="toc 5"/>
    <w:basedOn w:val="Normal"/>
    <w:next w:val="Normal"/>
    <w:autoRedefine/>
    <w:uiPriority w:val="39"/>
    <w:unhideWhenUsed/>
    <w:rsid w:val="00775FC7"/>
    <w:pPr>
      <w:spacing w:after="100"/>
      <w:ind w:left="880"/>
    </w:pPr>
    <w:rPr>
      <w:rFonts w:asciiTheme="minorHAnsi" w:eastAsiaTheme="minorEastAsia" w:hAnsiTheme="minorHAnsi"/>
      <w:color w:val="auto"/>
      <w:sz w:val="22"/>
    </w:rPr>
  </w:style>
  <w:style w:type="paragraph" w:styleId="TOC6">
    <w:name w:val="toc 6"/>
    <w:basedOn w:val="Normal"/>
    <w:next w:val="Normal"/>
    <w:autoRedefine/>
    <w:uiPriority w:val="39"/>
    <w:unhideWhenUsed/>
    <w:rsid w:val="00775FC7"/>
    <w:pPr>
      <w:spacing w:after="100"/>
      <w:ind w:left="1100"/>
    </w:pPr>
    <w:rPr>
      <w:rFonts w:asciiTheme="minorHAnsi" w:eastAsiaTheme="minorEastAsia" w:hAnsiTheme="minorHAnsi"/>
      <w:color w:val="auto"/>
      <w:sz w:val="22"/>
    </w:rPr>
  </w:style>
  <w:style w:type="paragraph" w:styleId="TOC7">
    <w:name w:val="toc 7"/>
    <w:basedOn w:val="Normal"/>
    <w:next w:val="Normal"/>
    <w:autoRedefine/>
    <w:uiPriority w:val="39"/>
    <w:unhideWhenUsed/>
    <w:rsid w:val="00775FC7"/>
    <w:pPr>
      <w:spacing w:after="100"/>
      <w:ind w:left="1320"/>
    </w:pPr>
    <w:rPr>
      <w:rFonts w:asciiTheme="minorHAnsi" w:eastAsiaTheme="minorEastAsia" w:hAnsiTheme="minorHAnsi"/>
      <w:color w:val="auto"/>
      <w:sz w:val="22"/>
    </w:rPr>
  </w:style>
  <w:style w:type="paragraph" w:styleId="TOC8">
    <w:name w:val="toc 8"/>
    <w:basedOn w:val="Normal"/>
    <w:next w:val="Normal"/>
    <w:autoRedefine/>
    <w:uiPriority w:val="39"/>
    <w:unhideWhenUsed/>
    <w:rsid w:val="00775FC7"/>
    <w:pPr>
      <w:spacing w:after="100"/>
      <w:ind w:left="1540"/>
    </w:pPr>
    <w:rPr>
      <w:rFonts w:asciiTheme="minorHAnsi" w:eastAsiaTheme="minorEastAsia" w:hAnsiTheme="minorHAnsi"/>
      <w:color w:val="auto"/>
      <w:sz w:val="22"/>
    </w:rPr>
  </w:style>
  <w:style w:type="paragraph" w:styleId="TOC9">
    <w:name w:val="toc 9"/>
    <w:basedOn w:val="Normal"/>
    <w:next w:val="Normal"/>
    <w:autoRedefine/>
    <w:uiPriority w:val="39"/>
    <w:unhideWhenUsed/>
    <w:rsid w:val="00775FC7"/>
    <w:pPr>
      <w:spacing w:after="100"/>
      <w:ind w:left="1760"/>
    </w:pPr>
    <w:rPr>
      <w:rFonts w:asciiTheme="minorHAnsi" w:eastAsiaTheme="minorEastAsia" w:hAnsiTheme="minorHAnsi"/>
      <w:color w:val="auto"/>
      <w:sz w:val="22"/>
    </w:rPr>
  </w:style>
  <w:style w:type="character" w:styleId="UnresolvedMention">
    <w:name w:val="Unresolved Mention"/>
    <w:basedOn w:val="DefaultParagraphFont"/>
    <w:uiPriority w:val="99"/>
    <w:semiHidden/>
    <w:unhideWhenUsed/>
    <w:rsid w:val="00775FC7"/>
    <w:rPr>
      <w:color w:val="605E5C"/>
      <w:shd w:val="clear" w:color="auto" w:fill="E1DFDD"/>
    </w:rPr>
  </w:style>
  <w:style w:type="character" w:customStyle="1" w:styleId="RecommendationChar">
    <w:name w:val="Recommendation Char"/>
    <w:basedOn w:val="DefaultParagraphFont"/>
    <w:link w:val="Recommendation"/>
    <w:rsid w:val="00094D25"/>
    <w:rPr>
      <w:rFonts w:ascii="Verdana" w:hAnsi="Verdana"/>
      <w:b/>
      <w:color w:val="CE2028"/>
      <w:sz w:val="20"/>
    </w:rPr>
  </w:style>
  <w:style w:type="character" w:styleId="Mention">
    <w:name w:val="Mention"/>
    <w:basedOn w:val="DefaultParagraphFont"/>
    <w:uiPriority w:val="99"/>
    <w:unhideWhenUsed/>
    <w:rsid w:val="00094D25"/>
    <w:rPr>
      <w:color w:val="2B579A"/>
      <w:shd w:val="clear" w:color="auto" w:fill="E6E6E6"/>
    </w:rPr>
  </w:style>
  <w:style w:type="paragraph" w:styleId="EndnoteText">
    <w:name w:val="endnote text"/>
    <w:basedOn w:val="Normal"/>
    <w:link w:val="EndnoteTextChar"/>
    <w:uiPriority w:val="99"/>
    <w:semiHidden/>
    <w:unhideWhenUsed/>
    <w:rsid w:val="00E02A35"/>
    <w:pPr>
      <w:spacing w:after="0" w:line="240" w:lineRule="auto"/>
    </w:pPr>
    <w:rPr>
      <w:szCs w:val="20"/>
    </w:rPr>
  </w:style>
  <w:style w:type="character" w:customStyle="1" w:styleId="EndnoteTextChar">
    <w:name w:val="Endnote Text Char"/>
    <w:basedOn w:val="DefaultParagraphFont"/>
    <w:link w:val="EndnoteText"/>
    <w:uiPriority w:val="99"/>
    <w:semiHidden/>
    <w:rsid w:val="00E02A35"/>
    <w:rPr>
      <w:rFonts w:ascii="Verdana" w:hAnsi="Verdana"/>
      <w:color w:val="000000" w:themeColor="text1"/>
      <w:sz w:val="20"/>
      <w:szCs w:val="20"/>
    </w:rPr>
  </w:style>
  <w:style w:type="character" w:styleId="EndnoteReference">
    <w:name w:val="endnote reference"/>
    <w:basedOn w:val="DefaultParagraphFont"/>
    <w:uiPriority w:val="99"/>
    <w:semiHidden/>
    <w:unhideWhenUsed/>
    <w:rsid w:val="00E02A35"/>
    <w:rPr>
      <w:vertAlign w:val="superscript"/>
    </w:rPr>
  </w:style>
  <w:style w:type="paragraph" w:customStyle="1" w:styleId="xmsonormal">
    <w:name w:val="x_msonormal"/>
    <w:basedOn w:val="Normal"/>
    <w:rsid w:val="001D1B51"/>
    <w:pPr>
      <w:spacing w:after="0" w:line="240" w:lineRule="auto"/>
    </w:pPr>
    <w:rPr>
      <w:rFonts w:ascii="Calibri" w:hAnsi="Calibri" w:cs="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991621">
      <w:bodyDiv w:val="1"/>
      <w:marLeft w:val="0"/>
      <w:marRight w:val="0"/>
      <w:marTop w:val="0"/>
      <w:marBottom w:val="0"/>
      <w:divBdr>
        <w:top w:val="none" w:sz="0" w:space="0" w:color="auto"/>
        <w:left w:val="none" w:sz="0" w:space="0" w:color="auto"/>
        <w:bottom w:val="none" w:sz="0" w:space="0" w:color="auto"/>
        <w:right w:val="none" w:sz="0" w:space="0" w:color="auto"/>
      </w:divBdr>
    </w:div>
    <w:div w:id="509639363">
      <w:bodyDiv w:val="1"/>
      <w:marLeft w:val="0"/>
      <w:marRight w:val="0"/>
      <w:marTop w:val="0"/>
      <w:marBottom w:val="0"/>
      <w:divBdr>
        <w:top w:val="none" w:sz="0" w:space="0" w:color="auto"/>
        <w:left w:val="none" w:sz="0" w:space="0" w:color="auto"/>
        <w:bottom w:val="none" w:sz="0" w:space="0" w:color="auto"/>
        <w:right w:val="none" w:sz="0" w:space="0" w:color="auto"/>
      </w:divBdr>
    </w:div>
    <w:div w:id="836766174">
      <w:bodyDiv w:val="1"/>
      <w:marLeft w:val="0"/>
      <w:marRight w:val="0"/>
      <w:marTop w:val="0"/>
      <w:marBottom w:val="0"/>
      <w:divBdr>
        <w:top w:val="none" w:sz="0" w:space="0" w:color="auto"/>
        <w:left w:val="none" w:sz="0" w:space="0" w:color="auto"/>
        <w:bottom w:val="none" w:sz="0" w:space="0" w:color="auto"/>
        <w:right w:val="none" w:sz="0" w:space="0" w:color="auto"/>
      </w:divBdr>
    </w:div>
    <w:div w:id="871260968">
      <w:bodyDiv w:val="1"/>
      <w:marLeft w:val="0"/>
      <w:marRight w:val="0"/>
      <w:marTop w:val="0"/>
      <w:marBottom w:val="0"/>
      <w:divBdr>
        <w:top w:val="none" w:sz="0" w:space="0" w:color="auto"/>
        <w:left w:val="none" w:sz="0" w:space="0" w:color="auto"/>
        <w:bottom w:val="none" w:sz="0" w:space="0" w:color="auto"/>
        <w:right w:val="none" w:sz="0" w:space="0" w:color="auto"/>
      </w:divBdr>
    </w:div>
    <w:div w:id="1041134192">
      <w:bodyDiv w:val="1"/>
      <w:marLeft w:val="0"/>
      <w:marRight w:val="0"/>
      <w:marTop w:val="0"/>
      <w:marBottom w:val="0"/>
      <w:divBdr>
        <w:top w:val="none" w:sz="0" w:space="0" w:color="auto"/>
        <w:left w:val="none" w:sz="0" w:space="0" w:color="auto"/>
        <w:bottom w:val="none" w:sz="0" w:space="0" w:color="auto"/>
        <w:right w:val="none" w:sz="0" w:space="0" w:color="auto"/>
      </w:divBdr>
    </w:div>
    <w:div w:id="1241594861">
      <w:bodyDiv w:val="1"/>
      <w:marLeft w:val="0"/>
      <w:marRight w:val="0"/>
      <w:marTop w:val="0"/>
      <w:marBottom w:val="0"/>
      <w:divBdr>
        <w:top w:val="none" w:sz="0" w:space="0" w:color="auto"/>
        <w:left w:val="none" w:sz="0" w:space="0" w:color="auto"/>
        <w:bottom w:val="none" w:sz="0" w:space="0" w:color="auto"/>
        <w:right w:val="none" w:sz="0" w:space="0" w:color="auto"/>
      </w:divBdr>
    </w:div>
    <w:div w:id="1253011556">
      <w:bodyDiv w:val="1"/>
      <w:marLeft w:val="0"/>
      <w:marRight w:val="0"/>
      <w:marTop w:val="0"/>
      <w:marBottom w:val="0"/>
      <w:divBdr>
        <w:top w:val="none" w:sz="0" w:space="0" w:color="auto"/>
        <w:left w:val="none" w:sz="0" w:space="0" w:color="auto"/>
        <w:bottom w:val="none" w:sz="0" w:space="0" w:color="auto"/>
        <w:right w:val="none" w:sz="0" w:space="0" w:color="auto"/>
      </w:divBdr>
    </w:div>
    <w:div w:id="1319576011">
      <w:bodyDiv w:val="1"/>
      <w:marLeft w:val="0"/>
      <w:marRight w:val="0"/>
      <w:marTop w:val="0"/>
      <w:marBottom w:val="0"/>
      <w:divBdr>
        <w:top w:val="none" w:sz="0" w:space="0" w:color="auto"/>
        <w:left w:val="none" w:sz="0" w:space="0" w:color="auto"/>
        <w:bottom w:val="none" w:sz="0" w:space="0" w:color="auto"/>
        <w:right w:val="none" w:sz="0" w:space="0" w:color="auto"/>
      </w:divBdr>
    </w:div>
    <w:div w:id="1365323297">
      <w:bodyDiv w:val="1"/>
      <w:marLeft w:val="0"/>
      <w:marRight w:val="0"/>
      <w:marTop w:val="0"/>
      <w:marBottom w:val="0"/>
      <w:divBdr>
        <w:top w:val="none" w:sz="0" w:space="0" w:color="auto"/>
        <w:left w:val="none" w:sz="0" w:space="0" w:color="auto"/>
        <w:bottom w:val="none" w:sz="0" w:space="0" w:color="auto"/>
        <w:right w:val="none" w:sz="0" w:space="0" w:color="auto"/>
      </w:divBdr>
    </w:div>
    <w:div w:id="1641107786">
      <w:bodyDiv w:val="1"/>
      <w:marLeft w:val="0"/>
      <w:marRight w:val="0"/>
      <w:marTop w:val="0"/>
      <w:marBottom w:val="0"/>
      <w:divBdr>
        <w:top w:val="none" w:sz="0" w:space="0" w:color="auto"/>
        <w:left w:val="none" w:sz="0" w:space="0" w:color="auto"/>
        <w:bottom w:val="none" w:sz="0" w:space="0" w:color="auto"/>
        <w:right w:val="none" w:sz="0" w:space="0" w:color="auto"/>
      </w:divBdr>
    </w:div>
    <w:div w:id="1844778950">
      <w:bodyDiv w:val="1"/>
      <w:marLeft w:val="0"/>
      <w:marRight w:val="0"/>
      <w:marTop w:val="0"/>
      <w:marBottom w:val="0"/>
      <w:divBdr>
        <w:top w:val="none" w:sz="0" w:space="0" w:color="auto"/>
        <w:left w:val="none" w:sz="0" w:space="0" w:color="auto"/>
        <w:bottom w:val="none" w:sz="0" w:space="0" w:color="auto"/>
        <w:right w:val="none" w:sz="0" w:space="0" w:color="auto"/>
      </w:divBdr>
    </w:div>
    <w:div w:id="1956323819">
      <w:bodyDiv w:val="1"/>
      <w:marLeft w:val="0"/>
      <w:marRight w:val="0"/>
      <w:marTop w:val="0"/>
      <w:marBottom w:val="0"/>
      <w:divBdr>
        <w:top w:val="none" w:sz="0" w:space="0" w:color="auto"/>
        <w:left w:val="none" w:sz="0" w:space="0" w:color="auto"/>
        <w:bottom w:val="none" w:sz="0" w:space="0" w:color="auto"/>
        <w:right w:val="none" w:sz="0" w:space="0" w:color="auto"/>
      </w:divBdr>
      <w:divsChild>
        <w:div w:id="271937146">
          <w:marLeft w:val="0"/>
          <w:marRight w:val="0"/>
          <w:marTop w:val="0"/>
          <w:marBottom w:val="0"/>
          <w:divBdr>
            <w:top w:val="none" w:sz="0" w:space="0" w:color="auto"/>
            <w:left w:val="none" w:sz="0" w:space="0" w:color="auto"/>
            <w:bottom w:val="none" w:sz="0" w:space="0" w:color="auto"/>
            <w:right w:val="none" w:sz="0" w:space="0" w:color="auto"/>
          </w:divBdr>
          <w:divsChild>
            <w:div w:id="636104347">
              <w:marLeft w:val="0"/>
              <w:marRight w:val="0"/>
              <w:marTop w:val="0"/>
              <w:marBottom w:val="0"/>
              <w:divBdr>
                <w:top w:val="none" w:sz="0" w:space="0" w:color="auto"/>
                <w:left w:val="none" w:sz="0" w:space="0" w:color="auto"/>
                <w:bottom w:val="none" w:sz="0" w:space="0" w:color="auto"/>
                <w:right w:val="none" w:sz="0" w:space="0" w:color="auto"/>
              </w:divBdr>
            </w:div>
            <w:div w:id="1226719402">
              <w:marLeft w:val="0"/>
              <w:marRight w:val="0"/>
              <w:marTop w:val="0"/>
              <w:marBottom w:val="0"/>
              <w:divBdr>
                <w:top w:val="none" w:sz="0" w:space="0" w:color="auto"/>
                <w:left w:val="none" w:sz="0" w:space="0" w:color="auto"/>
                <w:bottom w:val="none" w:sz="0" w:space="0" w:color="auto"/>
                <w:right w:val="none" w:sz="0" w:space="0" w:color="auto"/>
              </w:divBdr>
            </w:div>
            <w:div w:id="17270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acoss.org.au" TargetMode="External"/><Relationship Id="rId18" Type="http://schemas.openxmlformats.org/officeDocument/2006/relationships/hyperlink" Target="https://www.acoss.org.au/wp-content/uploads/2022/01/ACOSS-Letter-to-National-Cabinet-Wed-Jan12-2022.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aph.gov.au/-/media/05_About_Parliament/54_Parliamentary_Depts/548_Parliamentary_Budget_Office/Reports/2021-22/Beyond_the_budget_2021-22/Beyond_the_Budget_2021-22_-_Snapshot_PDF.pdf?la=en&amp;hash=6596B3AF610CF86315CBB73DF0B4D4FA2A6BEB61" TargetMode="Externa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acoss.org.au/wp-content/uploads/2021/08/A-Guarantee-To-The-Nation-Final-Release.pdf" TargetMode="External"/><Relationship Id="rId5" Type="http://schemas.openxmlformats.org/officeDocument/2006/relationships/settings" Target="settings.xml"/><Relationship Id="rId15" Type="http://schemas.openxmlformats.org/officeDocument/2006/relationships/hyperlink" Target="https://www.acoss.org.au/wp-content/uploads/2021/08/A-Guarantee-To-The-Nation-Final-Release.pdf" TargetMode="External"/><Relationship Id="rId23" Type="http://schemas.openxmlformats.org/officeDocument/2006/relationships/image" Target="media/image8.png"/><Relationship Id="rId28" Type="http://schemas.microsoft.com/office/2019/05/relationships/documenttasks" Target="documenttasks/documenttasks1.xml"/><Relationship Id="rId10" Type="http://schemas.openxmlformats.org/officeDocument/2006/relationships/header" Target="header1.xml"/><Relationship Id="rId19" Type="http://schemas.openxmlformats.org/officeDocument/2006/relationships/hyperlink" Target="https://www.acoss.org.au/wp-content/uploads/2022/01/270122-Second-Letter-to-National-Cabinet-re-actions-for-Omicron-FOR-MEDIA.pdf"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www.acoss.org.au" TargetMode="External"/><Relationship Id="rId22" Type="http://schemas.openxmlformats.org/officeDocument/2006/relationships/image" Target="media/image7.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leanenergyregulator.gov.au/DocumentAssets/Documents/STC%20modelling%20report%20by%20Jacobs%20-%20January%202021.pdf" TargetMode="External"/><Relationship Id="rId13" Type="http://schemas.openxmlformats.org/officeDocument/2006/relationships/hyperlink" Target="https://www.jbwere.com.au/insights/news/2021/07/jbwere_nab_charitabl" TargetMode="External"/><Relationship Id="rId18" Type="http://schemas.openxmlformats.org/officeDocument/2006/relationships/hyperlink" Target="https://apo.org.au/node/21989" TargetMode="External"/><Relationship Id="rId26" Type="http://schemas.openxmlformats.org/officeDocument/2006/relationships/hyperlink" Target="http://www.fatf-gafi.org/publications/mutualevaluations/documents/fur-australia-2018.html" TargetMode="External"/><Relationship Id="rId3" Type="http://schemas.openxmlformats.org/officeDocument/2006/relationships/hyperlink" Target="https://povertyandinequality.acoss.org.au/wp-content/uploads/2020/05/Poverty-in-Australia-2020-Part-2-%E2%80%93-Who-is-affected_Final.pdf" TargetMode="External"/><Relationship Id="rId21" Type="http://schemas.openxmlformats.org/officeDocument/2006/relationships/hyperlink" Target="https://treasury.gov.au/review/the-australias-future-tax-system-review/final-report" TargetMode="External"/><Relationship Id="rId7" Type="http://schemas.openxmlformats.org/officeDocument/2006/relationships/hyperlink" Target="https://www.accc.gov.au/system/files/Retail%20Electricity%20Pricing%20Inquiry%e2%80%94Final%20Report%20June%202018_Exec%20summary.pdf" TargetMode="External"/><Relationship Id="rId12" Type="http://schemas.openxmlformats.org/officeDocument/2006/relationships/hyperlink" Target="https://www.acoss.org.au/wp-content/uploads/2020/09/Australias-community-sector-and-Covid-19_FINAL.pdf" TargetMode="External"/><Relationship Id="rId17" Type="http://schemas.openxmlformats.org/officeDocument/2006/relationships/hyperlink" Target="https://www.pc.gov.au/research/ongoing/report-on-government-services/2021/community-services" TargetMode="External"/><Relationship Id="rId25" Type="http://schemas.openxmlformats.org/officeDocument/2006/relationships/hyperlink" Target="https://doi.org/10.1787/9789264280069-en" TargetMode="External"/><Relationship Id="rId2" Type="http://schemas.openxmlformats.org/officeDocument/2006/relationships/hyperlink" Target="https://www.acoss.org.au/wp-content/uploads/2022/01/270122-Second-Letter-to-National-Cabinet-re-actions-for-Omicron-FOR-MEDIA.pdf" TargetMode="External"/><Relationship Id="rId16" Type="http://schemas.openxmlformats.org/officeDocument/2006/relationships/hyperlink" Target="https://grattan.edu.au/wp-content/uploads/2020/08/Cheaper-Childcare-Grattan-Institute-Report.pdf" TargetMode="External"/><Relationship Id="rId20" Type="http://schemas.openxmlformats.org/officeDocument/2006/relationships/hyperlink" Target="https://www1.health.gov.au/internet/main/publishing.nsf/Content/2011_Review_Extended_Medicare_Safety_Net/$File/Final%20Report%20-%20Review%20of%20EMSN%20benefit%20capping%20June%202011.pdf" TargetMode="External"/><Relationship Id="rId1" Type="http://schemas.openxmlformats.org/officeDocument/2006/relationships/hyperlink" Target="https://www.acoss.org.au/wp-content/uploads/2022/01/ACOSS-Letter-to-National-Cabinet-Wed-Jan12-2022.pdf" TargetMode="External"/><Relationship Id="rId6" Type="http://schemas.openxmlformats.org/officeDocument/2006/relationships/hyperlink" Target="https://www.aer.gov.au/retail-markets/performance-reporting/annual-retail-markets-report-2020%E2%80%9321" TargetMode="External"/><Relationship Id="rId11" Type="http://schemas.openxmlformats.org/officeDocument/2006/relationships/hyperlink" Target="https://www.jbwere.com.au/insights/news/2021/07/jbwere_nab_charitabl" TargetMode="External"/><Relationship Id="rId24" Type="http://schemas.openxmlformats.org/officeDocument/2006/relationships/hyperlink" Target="https://star.worldbank.org/sites/star/files/g20_high-level_principles_beneficial_ownership_transparency.pdf" TargetMode="External"/><Relationship Id="rId5" Type="http://schemas.openxmlformats.org/officeDocument/2006/relationships/hyperlink" Target="https://www.acoss.org.au/wp-content/uploads/2021/08/Brief-Proposal-and-implementaion-plan-for-National-Low-income-Energy-Productivity-Program-September-2021.pdf" TargetMode="External"/><Relationship Id="rId15" Type="http://schemas.openxmlformats.org/officeDocument/2006/relationships/hyperlink" Target="http://www.educationcouncil.edu.au/site/DefaultSite/filesystem/documents/Reports%20and%20publications/UANP%20Review%20Report.pdf" TargetMode="External"/><Relationship Id="rId23" Type="http://schemas.openxmlformats.org/officeDocument/2006/relationships/hyperlink" Target="https://www.acoss.org.au/wp-content/uploads/2016/04/Fuel_on_the_fire_ACOSS.pdf" TargetMode="External"/><Relationship Id="rId10" Type="http://schemas.openxmlformats.org/officeDocument/2006/relationships/hyperlink" Target="https://insurancecouncil.com.au/industry-members/data-hub/" TargetMode="External"/><Relationship Id="rId19" Type="http://schemas.openxmlformats.org/officeDocument/2006/relationships/hyperlink" Target="http://www.mbsonline.gov.au/internet/mbsonline/publishing.nsf/Content/Factsheet-MSN_1Jan2019" TargetMode="External"/><Relationship Id="rId4" Type="http://schemas.openxmlformats.org/officeDocument/2006/relationships/hyperlink" Target="https://www.acoss.org.au/wp-content/uploads/2021/10/DAE-ACOSS_Economic_Impacts_of_NLEPP_Final_Report_211005.pdf" TargetMode="External"/><Relationship Id="rId9" Type="http://schemas.openxmlformats.org/officeDocument/2006/relationships/hyperlink" Target="https://www.demandmanager.com.au/certificate-prices/" TargetMode="External"/><Relationship Id="rId14" Type="http://schemas.openxmlformats.org/officeDocument/2006/relationships/hyperlink" Target="https://www.oecd.org/els/soc/PF3_2_Enrolment_childcare_preschool.pdf" TargetMode="External"/><Relationship Id="rId22" Type="http://schemas.openxmlformats.org/officeDocument/2006/relationships/hyperlink" Target="https://www.acoss.org.au/wp-content/uploads/2021/08/A-Guarantee-To-The-Nation-Final-Release.pdf" TargetMode="External"/><Relationship Id="rId27" Type="http://schemas.openxmlformats.org/officeDocument/2006/relationships/hyperlink" Target="https://www.acilallen.com.au/uploads/files/projects/177/ACILAllen_AlcoholTax_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F576DC45-7DB6-40C0-A750-A54DCB8E3133}">
    <t:Anchor>
      <t:Comment id="1863499228"/>
    </t:Anchor>
    <t:History>
      <t:Event id="{8B8DCFA8-01F6-44B3-9E85-9962E5DF9FC4}" time="2021-12-17T00:58:14.341Z">
        <t:Attribution userId="S::jacqui@acoss.org.au::f83dea64-57a7-461b-aefc-f39119eb7bdc" userProvider="AD" userName="Jacqui Phillips"/>
        <t:Anchor>
          <t:Comment id="1863499228"/>
        </t:Anchor>
        <t:Create/>
      </t:Event>
      <t:Event id="{0738B009-39F5-4D10-870C-4E3A52692BA2}" time="2021-12-17T00:58:14.341Z">
        <t:Attribution userId="S::jacqui@acoss.org.au::f83dea64-57a7-461b-aefc-f39119eb7bdc" userProvider="AD" userName="Jacqui Phillips"/>
        <t:Anchor>
          <t:Comment id="1863499228"/>
        </t:Anchor>
        <t:Assign userId="S::charmaine@acoss.org.au::ef48e39c-dbab-4906-ab35-fb9a4ae3b90a" userProvider="AD" userName="Charmaine Crowe"/>
      </t:Event>
      <t:Event id="{C4B41F4B-CA49-4E21-B319-166849D303D2}" time="2021-12-17T00:58:14.341Z">
        <t:Attribution userId="S::jacqui@acoss.org.au::f83dea64-57a7-461b-aefc-f39119eb7bdc" userProvider="AD" userName="Jacqui Phillips"/>
        <t:Anchor>
          <t:Comment id="1863499228"/>
        </t:Anchor>
        <t:SetTitle title="@Charmaine Crowe do we need to update for 2021 figures?"/>
      </t:Event>
      <t:Event id="{B60D2980-A27A-4EDA-B645-42353842F2B9}" time="2021-12-19T08:11:23.923Z">
        <t:Attribution userId="S::jacqui@acoss.org.au::f83dea64-57a7-461b-aefc-f39119eb7bdc" userProvider="AD" userName="Jacqui Phillips"/>
        <t:Anchor>
          <t:Comment id="1220273182"/>
        </t:Anchor>
        <t:UnassignAll/>
      </t:Event>
      <t:Event id="{AFA379A3-75D0-443B-A9AD-81E6C50D0EF9}" time="2021-12-19T08:11:23.923Z">
        <t:Attribution userId="S::jacqui@acoss.org.au::f83dea64-57a7-461b-aefc-f39119eb7bdc" userProvider="AD" userName="Jacqui Phillips"/>
        <t:Anchor>
          <t:Comment id="1220273182"/>
        </t:Anchor>
        <t:Assign userId="S::peter@acoss.org.au::b44a511a-cca8-4943-9186-d2321c37ef21" userProvider="AD" userName="Peter Davidson"/>
      </t:Event>
    </t:History>
  </t:Task>
  <t:Task id="{4F44E548-AE87-482E-986B-FF155C298A88}">
    <t:Anchor>
      <t:Comment id="165801433"/>
    </t:Anchor>
    <t:History>
      <t:Event id="{E26ADF3D-5E30-40E8-A3A0-F0059C2E66F8}" time="2021-12-19T00:26:24.368Z">
        <t:Attribution userId="S::jacqui@acoss.org.au::f83dea64-57a7-461b-aefc-f39119eb7bdc" userProvider="AD" userName="Jacqui Phillips"/>
        <t:Anchor>
          <t:Comment id="165801433"/>
        </t:Anchor>
        <t:Create/>
      </t:Event>
      <t:Event id="{716A3989-F351-4F9D-9472-C556D2DB174E}" time="2021-12-19T00:26:24.368Z">
        <t:Attribution userId="S::jacqui@acoss.org.au::f83dea64-57a7-461b-aefc-f39119eb7bdc" userProvider="AD" userName="Jacqui Phillips"/>
        <t:Anchor>
          <t:Comment id="165801433"/>
        </t:Anchor>
        <t:Assign userId="S::kellie@acoss.org.au::c70f50a1-a94e-458b-b692-4aeb6116728c" userProvider="AD" userName="Kellie Caught"/>
      </t:Event>
      <t:Event id="{9E07B69E-71B9-453D-8AE4-9C6190548440}" time="2021-12-19T00:26:24.368Z">
        <t:Attribution userId="S::jacqui@acoss.org.au::f83dea64-57a7-461b-aefc-f39119eb7bdc" userProvider="AD" userName="Jacqui Phillips"/>
        <t:Anchor>
          <t:Comment id="165801433"/>
        </t:Anchor>
        <t:SetTitle title="Question for @Kellie Caught - to overcome the cost barrier, is it proposed that it would fund 100% of costs up front rather than a partial subsidy? Be good to spell this out as otherwise not clear how it differs from existing policy other than being …"/>
      </t:Event>
      <t:Event id="{515A39E2-709C-4AA6-9CF0-6DBA800DA36A}" time="2021-12-19T08:07:19.708Z">
        <t:Attribution userId="S::jacqui@acoss.org.au::f83dea64-57a7-461b-aefc-f39119eb7bdc" userProvider="AD" userName="Jacqui Phillips"/>
        <t:Progress percentComplete="100"/>
      </t:Event>
    </t:History>
  </t:Task>
  <t:Task id="{DFF94A4B-24FC-49CA-848D-EEC734136159}">
    <t:Anchor>
      <t:Comment id="368452095"/>
    </t:Anchor>
    <t:History>
      <t:Event id="{4391F0E8-B9AA-4984-A65A-17FAE4EC6FB1}" time="2021-12-17T01:02:15.319Z">
        <t:Attribution userId="S::jacqui@acoss.org.au::f83dea64-57a7-461b-aefc-f39119eb7bdc" userProvider="AD" userName="Jacqui Phillips"/>
        <t:Anchor>
          <t:Comment id="368452095"/>
        </t:Anchor>
        <t:Create/>
      </t:Event>
      <t:Event id="{2789367C-7D92-49B3-A59C-CFD46C52AB99}" time="2021-12-17T01:02:15.319Z">
        <t:Attribution userId="S::jacqui@acoss.org.au::f83dea64-57a7-461b-aefc-f39119eb7bdc" userProvider="AD" userName="Jacqui Phillips"/>
        <t:Anchor>
          <t:Comment id="368452095"/>
        </t:Anchor>
        <t:Assign userId="S::charmaine@acoss.org.au::ef48e39c-dbab-4906-ab35-fb9a4ae3b90a" userProvider="AD" userName="Charmaine Crowe"/>
      </t:Event>
      <t:Event id="{C0B1BDA7-BA00-4B50-B419-B7EAD7E6013D}" time="2021-12-17T01:02:15.319Z">
        <t:Attribution userId="S::jacqui@acoss.org.au::f83dea64-57a7-461b-aefc-f39119eb7bdc" userProvider="AD" userName="Jacqui Phillips"/>
        <t:Anchor>
          <t:Comment id="368452095"/>
        </t:Anchor>
        <t:SetTitle title="@Charmaine Crowe can't see footnote here but checking reference is to latest report"/>
      </t:Event>
    </t:History>
  </t:Task>
  <t:Task id="{4171766F-2AD2-4A34-9185-E4A9DD263A53}">
    <t:Anchor>
      <t:Comment id="1683451582"/>
    </t:Anchor>
    <t:History>
      <t:Event id="{98A52DB3-FC48-44CA-A462-5728CFEB0767}" time="2021-12-17T03:19:38.215Z">
        <t:Attribution userId="S::jacqui@acoss.org.au::f83dea64-57a7-461b-aefc-f39119eb7bdc" userProvider="AD" userName="Jacqui Phillips"/>
        <t:Anchor>
          <t:Comment id="1683451582"/>
        </t:Anchor>
        <t:Create/>
      </t:Event>
      <t:Event id="{53EB4EC4-DD9F-41BE-A62C-58925DE63DAE}" time="2021-12-17T03:19:38.215Z">
        <t:Attribution userId="S::jacqui@acoss.org.au::f83dea64-57a7-461b-aefc-f39119eb7bdc" userProvider="AD" userName="Jacqui Phillips"/>
        <t:Anchor>
          <t:Comment id="1683451582"/>
        </t:Anchor>
        <t:Assign userId="S::Simone@acoss.org.au::d39e903f-2bbc-4dbd-873d-60b32e163c0f" userProvider="AD" userName="Simone Casey"/>
      </t:Event>
      <t:Event id="{E3D1ECF8-DA27-45FC-BBD5-1784A64C0276}" time="2021-12-17T03:19:38.215Z">
        <t:Attribution userId="S::jacqui@acoss.org.au::f83dea64-57a7-461b-aefc-f39119eb7bdc" userProvider="AD" userName="Jacqui Phillips"/>
        <t:Anchor>
          <t:Comment id="1683451582"/>
        </t:Anchor>
        <t:SetTitle title="Can we still say this given the employment figures @Simone Casey"/>
      </t:Event>
    </t:History>
  </t:Task>
  <t:Task id="{85FFFB54-F964-4315-9DD9-D9DE045E34EA}">
    <t:Anchor>
      <t:Comment id="1889401986"/>
    </t:Anchor>
    <t:History>
      <t:Event id="{42320CD5-F245-43C6-971C-67CE1CEC083B}" time="2021-12-17T03:12:06.731Z">
        <t:Attribution userId="S::jacqui@acoss.org.au::f83dea64-57a7-461b-aefc-f39119eb7bdc" userProvider="AD" userName="Jacqui Phillips"/>
        <t:Anchor>
          <t:Comment id="1889401986"/>
        </t:Anchor>
        <t:Create/>
      </t:Event>
      <t:Event id="{B119FF79-0B70-42AF-81F3-5FB6FFF3FAC9}" time="2021-12-17T03:12:06.731Z">
        <t:Attribution userId="S::jacqui@acoss.org.au::f83dea64-57a7-461b-aefc-f39119eb7bdc" userProvider="AD" userName="Jacqui Phillips"/>
        <t:Anchor>
          <t:Comment id="1889401986"/>
        </t:Anchor>
        <t:Assign userId="S::Simone@acoss.org.au::d39e903f-2bbc-4dbd-873d-60b32e163c0f" userProvider="AD" userName="Simone Casey"/>
      </t:Event>
      <t:Event id="{7777045C-C5E3-467A-A7B6-78DB3ADEA8DD}" time="2021-12-17T03:12:06.731Z">
        <t:Attribution userId="S::jacqui@acoss.org.au::f83dea64-57a7-461b-aefc-f39119eb7bdc" userProvider="AD" userName="Jacqui Phillips"/>
        <t:Anchor>
          <t:Comment id="1889401986"/>
        </t:Anchor>
        <t:SetTitle title="@Simone Casey Query if these are budget recommendations or sit outside budget process? Will they have a budget impact?"/>
      </t:Event>
    </t:History>
  </t:Task>
  <t:Task id="{E7EC2639-0F1A-4B5B-B9E1-FD7AE5418111}">
    <t:Anchor>
      <t:Comment id="819381739"/>
    </t:Anchor>
    <t:History>
      <t:Event id="{875336B8-46C9-40AE-BAE1-900D8F095599}" time="2021-12-19T01:22:35.394Z">
        <t:Attribution userId="S::jacqui@acoss.org.au::f83dea64-57a7-461b-aefc-f39119eb7bdc" userProvider="AD" userName="Jacqui Phillips"/>
        <t:Anchor>
          <t:Comment id="819381739"/>
        </t:Anchor>
        <t:Create/>
      </t:Event>
      <t:Event id="{BCAB1B0F-1493-499A-B0CF-083704449F77}" time="2021-12-19T01:22:35.394Z">
        <t:Attribution userId="S::jacqui@acoss.org.au::f83dea64-57a7-461b-aefc-f39119eb7bdc" userProvider="AD" userName="Jacqui Phillips"/>
        <t:Anchor>
          <t:Comment id="819381739"/>
        </t:Anchor>
        <t:Assign userId="S::Robert@acoss.org.au::7cbb70ed-2240-4cf2-9f5b-d7f739cf0754" userProvider="AD" userName="Robert Sturrock"/>
      </t:Event>
      <t:Event id="{7850C314-CE68-4F5B-BD0A-9D77BCD0EB16}" time="2021-12-19T01:22:35.394Z">
        <t:Attribution userId="S::jacqui@acoss.org.au::f83dea64-57a7-461b-aefc-f39119eb7bdc" userProvider="AD" userName="Jacqui Phillips"/>
        <t:Anchor>
          <t:Comment id="819381739"/>
        </t:Anchor>
        <t:SetTitle title="@Robert Sturrock Checking if we ran this by SNAICC?"/>
      </t:Event>
    </t:History>
  </t:Task>
  <t:Task id="{402E276A-C14A-4B0E-9705-179E6A57DB78}">
    <t:Anchor>
      <t:Comment id="1921733851"/>
    </t:Anchor>
    <t:History>
      <t:Event id="{DB1C12CC-2B79-40BA-A0DC-9D066C800FEE}" time="2021-12-19T01:25:31.569Z">
        <t:Attribution userId="S::jacqui@acoss.org.au::f83dea64-57a7-461b-aefc-f39119eb7bdc" userProvider="AD" userName="Jacqui Phillips"/>
        <t:Anchor>
          <t:Comment id="1921733851"/>
        </t:Anchor>
        <t:Create/>
      </t:Event>
      <t:Event id="{31EA538A-26C2-43B7-89B0-F6AF994619D8}" time="2021-12-19T01:25:31.569Z">
        <t:Attribution userId="S::jacqui@acoss.org.au::f83dea64-57a7-461b-aefc-f39119eb7bdc" userProvider="AD" userName="Jacqui Phillips"/>
        <t:Anchor>
          <t:Comment id="1921733851"/>
        </t:Anchor>
        <t:Assign userId="S::edwina@acoss.org.au::222708de-371e-48cc-abaa-5a7bf98912d9" userProvider="AD" userName="Edwina MacDonald"/>
      </t:Event>
      <t:Event id="{B9C12F19-205B-4ADB-98CA-7233366679E3}" time="2021-12-19T01:25:31.569Z">
        <t:Attribution userId="S::jacqui@acoss.org.au::f83dea64-57a7-461b-aefc-f39119eb7bdc" userProvider="AD" userName="Jacqui Phillips"/>
        <t:Anchor>
          <t:Comment id="1921733851"/>
        </t:Anchor>
        <t:SetTitle title="@Edwina MacDonald Do you know if any of these programs have been refunded or replaced e.g. youth?"/>
      </t:Event>
      <t:Event id="{D2F2D154-A9AB-4DB3-857C-A57FF76BD0F0}" time="2021-12-19T22:42:21.594Z">
        <t:Attribution userId="S::edwina@acoss.org.au::222708de-371e-48cc-abaa-5a7bf98912d9" userProvider="AD" userName="Edwina MacDonald"/>
        <t:Progress percentComplete="100"/>
      </t:Event>
      <t:Event id="{41648199-ADC2-4466-B034-BE09C4CD5AF0}" time="2021-12-19T22:44:09.74Z">
        <t:Attribution userId="S::edwina@acoss.org.au::222708de-371e-48cc-abaa-5a7bf98912d9" userProvider="AD" userName="Edwina MacDonald"/>
        <t:Progress percentComplete="0"/>
      </t:Event>
      <t:Event id="{890F6A46-F592-4AFA-A270-560E7075EA17}" time="2021-12-19T22:44:45.069Z">
        <t:Attribution userId="S::edwina@acoss.org.au::222708de-371e-48cc-abaa-5a7bf98912d9" userProvider="AD" userName="Edwina MacDonald"/>
        <t:Progress percentComplete="100"/>
      </t:Event>
    </t:History>
  </t:Task>
  <t:Task id="{F9166240-085C-46C6-8B8A-142280F54C44}">
    <t:Anchor>
      <t:Comment id="130319580"/>
    </t:Anchor>
    <t:History>
      <t:Event id="{D1CDA8B1-2FC2-4D4F-BDBE-7888FE46C00D}" time="2021-12-19T03:00:05.386Z">
        <t:Attribution userId="S::jacqui@acoss.org.au::f83dea64-57a7-461b-aefc-f39119eb7bdc" userProvider="AD" userName="Jacqui Phillips"/>
        <t:Anchor>
          <t:Comment id="1013152113"/>
        </t:Anchor>
        <t:Create/>
      </t:Event>
      <t:Event id="{791BA011-909C-4D4F-B8BB-422F9E464619}" time="2021-12-19T03:00:05.386Z">
        <t:Attribution userId="S::jacqui@acoss.org.au::f83dea64-57a7-461b-aefc-f39119eb7bdc" userProvider="AD" userName="Jacqui Phillips"/>
        <t:Anchor>
          <t:Comment id="1013152113"/>
        </t:Anchor>
        <t:Assign userId="S::Robert@acoss.org.au::7cbb70ed-2240-4cf2-9f5b-d7f739cf0754" userProvider="AD" userName="Robert Sturrock"/>
      </t:Event>
      <t:Event id="{8BBA7247-C1CA-45C8-A076-B1FE5220A665}" time="2021-12-19T03:00:05.386Z">
        <t:Attribution userId="S::jacqui@acoss.org.au::f83dea64-57a7-461b-aefc-f39119eb7bdc" userProvider="AD" userName="Jacqui Phillips"/>
        <t:Anchor>
          <t:Comment id="1013152113"/>
        </t:Anchor>
        <t:SetTitle title="@Robert Sturrock Thank you!!! I know Cass wants to be able to just say free for low income families instead of 95%. Very late in the day to change this but could say &quot;to make childcare free for families under $70k (or provide a minimum 95% subsidy)&quot; …"/>
      </t:Event>
    </t:History>
  </t:Task>
  <t:Task id="{D654547D-CD95-4E8A-89F7-8616E434152C}">
    <t:Anchor>
      <t:Comment id="1919671308"/>
    </t:Anchor>
    <t:History>
      <t:Event id="{B749774F-0BB9-437C-A140-CDF5AF18DC94}" time="2021-12-19T10:00:19.078Z">
        <t:Attribution userId="S::jacqui@acoss.org.au::f83dea64-57a7-461b-aefc-f39119eb7bdc" userProvider="AD" userName="Jacqui Phillips"/>
        <t:Anchor>
          <t:Comment id="438037117"/>
        </t:Anchor>
        <t:Create/>
      </t:Event>
      <t:Event id="{CA0DAD16-8BC1-47E0-B8EA-B762F44D44E5}" time="2021-12-19T10:00:19.078Z">
        <t:Attribution userId="S::jacqui@acoss.org.au::f83dea64-57a7-461b-aefc-f39119eb7bdc" userProvider="AD" userName="Jacqui Phillips"/>
        <t:Anchor>
          <t:Comment id="438037117"/>
        </t:Anchor>
        <t:Assign userId="S::peter@acoss.org.au::b44a511a-cca8-4943-9186-d2321c37ef21" userProvider="AD" userName="Peter Davidson"/>
      </t:Event>
      <t:Event id="{705F64A6-1471-48DF-8C56-1422431CFE00}" time="2021-12-19T10:00:19.078Z">
        <t:Attribution userId="S::jacqui@acoss.org.au::f83dea64-57a7-461b-aefc-f39119eb7bdc" userProvider="AD" userName="Jacqui Phillips"/>
        <t:Anchor>
          <t:Comment id="438037117"/>
        </t:Anchor>
        <t:SetTitle title="@Peter Davidson can you check this one? thanks"/>
      </t:Event>
    </t:History>
  </t:Task>
  <t:Task id="{40F1279F-CC62-48E9-9DAA-B92DB65A239F}">
    <t:Anchor>
      <t:Comment id="1903747699"/>
    </t:Anchor>
    <t:History>
      <t:Event id="{18D65E22-ED5D-4A25-B65C-A16AF9FA6666}" time="2021-12-17T00:58:14.341Z">
        <t:Attribution userId="S::jacqui@acoss.org.au::f83dea64-57a7-461b-aefc-f39119eb7bdc" userProvider="AD" userName="Jacqui Phillips"/>
        <t:Anchor>
          <t:Comment id="1903747699"/>
        </t:Anchor>
        <t:Create/>
      </t:Event>
      <t:Event id="{9106FD97-8CD6-4B12-8DF4-EF318C3ABBF6}" time="2021-12-17T00:58:14.341Z">
        <t:Attribution userId="S::jacqui@acoss.org.au::f83dea64-57a7-461b-aefc-f39119eb7bdc" userProvider="AD" userName="Jacqui Phillips"/>
        <t:Anchor>
          <t:Comment id="1903747699"/>
        </t:Anchor>
        <t:Assign userId="S::charmaine@acoss.org.au::ef48e39c-dbab-4906-ab35-fb9a4ae3b90a" userProvider="AD" userName="Charmaine Crowe"/>
      </t:Event>
      <t:Event id="{8D28323D-131F-47B9-A9E3-B63649C78D0F}" time="2021-12-17T00:58:14.341Z">
        <t:Attribution userId="S::jacqui@acoss.org.au::f83dea64-57a7-461b-aefc-f39119eb7bdc" userProvider="AD" userName="Jacqui Phillips"/>
        <t:Anchor>
          <t:Comment id="1903747699"/>
        </t:Anchor>
        <t:SetTitle title="@Charmaine Crowe do we need to update for 2021 figures?"/>
      </t:Event>
      <t:Event id="{E20A8819-A670-40CE-838B-F48AB21E10E3}" time="2021-12-19T08:11:23.923Z">
        <t:Attribution userId="S::jacqui@acoss.org.au::f83dea64-57a7-461b-aefc-f39119eb7bdc" userProvider="AD" userName="Jacqui Phillips"/>
        <t:Anchor>
          <t:Comment id="410137851"/>
        </t:Anchor>
        <t:UnassignAll/>
      </t:Event>
      <t:Event id="{585A3E83-9DE5-4130-9E8A-F8CF3FCC6594}" time="2021-12-19T08:11:23.923Z">
        <t:Attribution userId="S::jacqui@acoss.org.au::f83dea64-57a7-461b-aefc-f39119eb7bdc" userProvider="AD" userName="Jacqui Phillips"/>
        <t:Anchor>
          <t:Comment id="410137851"/>
        </t:Anchor>
        <t:Assign userId="S::peter@acoss.org.au::b44a511a-cca8-4943-9186-d2321c37ef21" userProvider="AD" userName="Peter Davidson"/>
      </t:Event>
    </t:History>
  </t:Task>
  <t:Task id="{58837623-6663-4388-8351-42DC4207CA84}">
    <t:Anchor>
      <t:Comment id="252206071"/>
    </t:Anchor>
    <t:History>
      <t:Event id="{FE47B699-D3CC-4481-8E85-DE3DCABC144C}" time="2021-12-17T00:58:14.341Z">
        <t:Attribution userId="S::jacqui@acoss.org.au::f83dea64-57a7-461b-aefc-f39119eb7bdc" userProvider="AD" userName="Jacqui Phillips"/>
        <t:Anchor>
          <t:Comment id="252206071"/>
        </t:Anchor>
        <t:Create/>
      </t:Event>
      <t:Event id="{1890F84C-8EA7-42A9-9215-48DA0A6DACC5}" time="2021-12-17T00:58:14.341Z">
        <t:Attribution userId="S::jacqui@acoss.org.au::f83dea64-57a7-461b-aefc-f39119eb7bdc" userProvider="AD" userName="Jacqui Phillips"/>
        <t:Anchor>
          <t:Comment id="252206071"/>
        </t:Anchor>
        <t:Assign userId="S::charmaine@acoss.org.au::ef48e39c-dbab-4906-ab35-fb9a4ae3b90a" userProvider="AD" userName="Charmaine Crowe"/>
      </t:Event>
      <t:Event id="{63B290B7-5435-4098-87D2-917944961D4A}" time="2021-12-17T00:58:14.341Z">
        <t:Attribution userId="S::jacqui@acoss.org.au::f83dea64-57a7-461b-aefc-f39119eb7bdc" userProvider="AD" userName="Jacqui Phillips"/>
        <t:Anchor>
          <t:Comment id="252206071"/>
        </t:Anchor>
        <t:SetTitle title="@Charmaine Crowe do we need to update for 2021 figures?"/>
      </t:Event>
      <t:Event id="{519A391E-798A-4B4C-9780-75A542AC0BCA}" time="2021-12-19T08:11:23.923Z">
        <t:Attribution userId="S::jacqui@acoss.org.au::f83dea64-57a7-461b-aefc-f39119eb7bdc" userProvider="AD" userName="Jacqui Phillips"/>
        <t:Anchor>
          <t:Comment id="1592730040"/>
        </t:Anchor>
        <t:UnassignAll/>
      </t:Event>
      <t:Event id="{634BE6D2-23BB-49A0-9F8E-14E20B4EDCA2}" time="2021-12-19T08:11:23.923Z">
        <t:Attribution userId="S::jacqui@acoss.org.au::f83dea64-57a7-461b-aefc-f39119eb7bdc" userProvider="AD" userName="Jacqui Phillips"/>
        <t:Anchor>
          <t:Comment id="1592730040"/>
        </t:Anchor>
        <t:Assign userId="S::peter@acoss.org.au::b44a511a-cca8-4943-9186-d2321c37ef21" userProvider="AD" userName="Peter Davids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29E9A-BB9A-4387-943F-11D1D295A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20412</Words>
  <Characters>116354</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136494</CharactersWithSpaces>
  <SharedDoc>false</SharedDoc>
  <HLinks>
    <vt:vector size="564" baseType="variant">
      <vt:variant>
        <vt:i4>2293864</vt:i4>
      </vt:variant>
      <vt:variant>
        <vt:i4>390</vt:i4>
      </vt:variant>
      <vt:variant>
        <vt:i4>0</vt:i4>
      </vt:variant>
      <vt:variant>
        <vt:i4>5</vt:i4>
      </vt:variant>
      <vt:variant>
        <vt:lpwstr>https://www.acoss.org.au/wp-content/uploads/2021/08/A-Guarantee-To-The-Nation-Final-Release.pdf</vt:lpwstr>
      </vt:variant>
      <vt:variant>
        <vt:lpwstr/>
      </vt:variant>
      <vt:variant>
        <vt:i4>5374024</vt:i4>
      </vt:variant>
      <vt:variant>
        <vt:i4>387</vt:i4>
      </vt:variant>
      <vt:variant>
        <vt:i4>0</vt:i4>
      </vt:variant>
      <vt:variant>
        <vt:i4>5</vt:i4>
      </vt:variant>
      <vt:variant>
        <vt:lpwstr>https://www.aph.gov.au/-/media/05_About_Parliament/54_Parliamentary_Depts/548_Parliamentary_Budget_Office/Reports/2021-22/Beyond_the_budget_2021-22/Beyond_the_Budget_2021-22_-_Snapshot_PDF.pdf?la=en&amp;hash=6596B3AF610CF86315CBB73DF0B4D4FA2A6BEB61</vt:lpwstr>
      </vt:variant>
      <vt:variant>
        <vt:lpwstr/>
      </vt:variant>
      <vt:variant>
        <vt:i4>2293864</vt:i4>
      </vt:variant>
      <vt:variant>
        <vt:i4>384</vt:i4>
      </vt:variant>
      <vt:variant>
        <vt:i4>0</vt:i4>
      </vt:variant>
      <vt:variant>
        <vt:i4>5</vt:i4>
      </vt:variant>
      <vt:variant>
        <vt:lpwstr>https://www.acoss.org.au/wp-content/uploads/2021/08/A-Guarantee-To-The-Nation-Final-Release.pdf</vt:lpwstr>
      </vt:variant>
      <vt:variant>
        <vt:lpwstr/>
      </vt:variant>
      <vt:variant>
        <vt:i4>1769523</vt:i4>
      </vt:variant>
      <vt:variant>
        <vt:i4>376</vt:i4>
      </vt:variant>
      <vt:variant>
        <vt:i4>0</vt:i4>
      </vt:variant>
      <vt:variant>
        <vt:i4>5</vt:i4>
      </vt:variant>
      <vt:variant>
        <vt:lpwstr/>
      </vt:variant>
      <vt:variant>
        <vt:lpwstr>_Toc90983400</vt:lpwstr>
      </vt:variant>
      <vt:variant>
        <vt:i4>1376314</vt:i4>
      </vt:variant>
      <vt:variant>
        <vt:i4>370</vt:i4>
      </vt:variant>
      <vt:variant>
        <vt:i4>0</vt:i4>
      </vt:variant>
      <vt:variant>
        <vt:i4>5</vt:i4>
      </vt:variant>
      <vt:variant>
        <vt:lpwstr/>
      </vt:variant>
      <vt:variant>
        <vt:lpwstr>_Toc90983399</vt:lpwstr>
      </vt:variant>
      <vt:variant>
        <vt:i4>1310778</vt:i4>
      </vt:variant>
      <vt:variant>
        <vt:i4>364</vt:i4>
      </vt:variant>
      <vt:variant>
        <vt:i4>0</vt:i4>
      </vt:variant>
      <vt:variant>
        <vt:i4>5</vt:i4>
      </vt:variant>
      <vt:variant>
        <vt:lpwstr/>
      </vt:variant>
      <vt:variant>
        <vt:lpwstr>_Toc90983398</vt:lpwstr>
      </vt:variant>
      <vt:variant>
        <vt:i4>1769530</vt:i4>
      </vt:variant>
      <vt:variant>
        <vt:i4>358</vt:i4>
      </vt:variant>
      <vt:variant>
        <vt:i4>0</vt:i4>
      </vt:variant>
      <vt:variant>
        <vt:i4>5</vt:i4>
      </vt:variant>
      <vt:variant>
        <vt:lpwstr/>
      </vt:variant>
      <vt:variant>
        <vt:lpwstr>_Toc90983397</vt:lpwstr>
      </vt:variant>
      <vt:variant>
        <vt:i4>1703994</vt:i4>
      </vt:variant>
      <vt:variant>
        <vt:i4>352</vt:i4>
      </vt:variant>
      <vt:variant>
        <vt:i4>0</vt:i4>
      </vt:variant>
      <vt:variant>
        <vt:i4>5</vt:i4>
      </vt:variant>
      <vt:variant>
        <vt:lpwstr/>
      </vt:variant>
      <vt:variant>
        <vt:lpwstr>_Toc90983396</vt:lpwstr>
      </vt:variant>
      <vt:variant>
        <vt:i4>1638458</vt:i4>
      </vt:variant>
      <vt:variant>
        <vt:i4>346</vt:i4>
      </vt:variant>
      <vt:variant>
        <vt:i4>0</vt:i4>
      </vt:variant>
      <vt:variant>
        <vt:i4>5</vt:i4>
      </vt:variant>
      <vt:variant>
        <vt:lpwstr/>
      </vt:variant>
      <vt:variant>
        <vt:lpwstr>_Toc90983395</vt:lpwstr>
      </vt:variant>
      <vt:variant>
        <vt:i4>1572922</vt:i4>
      </vt:variant>
      <vt:variant>
        <vt:i4>340</vt:i4>
      </vt:variant>
      <vt:variant>
        <vt:i4>0</vt:i4>
      </vt:variant>
      <vt:variant>
        <vt:i4>5</vt:i4>
      </vt:variant>
      <vt:variant>
        <vt:lpwstr/>
      </vt:variant>
      <vt:variant>
        <vt:lpwstr>_Toc90983394</vt:lpwstr>
      </vt:variant>
      <vt:variant>
        <vt:i4>2031674</vt:i4>
      </vt:variant>
      <vt:variant>
        <vt:i4>334</vt:i4>
      </vt:variant>
      <vt:variant>
        <vt:i4>0</vt:i4>
      </vt:variant>
      <vt:variant>
        <vt:i4>5</vt:i4>
      </vt:variant>
      <vt:variant>
        <vt:lpwstr/>
      </vt:variant>
      <vt:variant>
        <vt:lpwstr>_Toc90983393</vt:lpwstr>
      </vt:variant>
      <vt:variant>
        <vt:i4>1966138</vt:i4>
      </vt:variant>
      <vt:variant>
        <vt:i4>328</vt:i4>
      </vt:variant>
      <vt:variant>
        <vt:i4>0</vt:i4>
      </vt:variant>
      <vt:variant>
        <vt:i4>5</vt:i4>
      </vt:variant>
      <vt:variant>
        <vt:lpwstr/>
      </vt:variant>
      <vt:variant>
        <vt:lpwstr>_Toc90983392</vt:lpwstr>
      </vt:variant>
      <vt:variant>
        <vt:i4>1900602</vt:i4>
      </vt:variant>
      <vt:variant>
        <vt:i4>322</vt:i4>
      </vt:variant>
      <vt:variant>
        <vt:i4>0</vt:i4>
      </vt:variant>
      <vt:variant>
        <vt:i4>5</vt:i4>
      </vt:variant>
      <vt:variant>
        <vt:lpwstr/>
      </vt:variant>
      <vt:variant>
        <vt:lpwstr>_Toc90983391</vt:lpwstr>
      </vt:variant>
      <vt:variant>
        <vt:i4>1835066</vt:i4>
      </vt:variant>
      <vt:variant>
        <vt:i4>316</vt:i4>
      </vt:variant>
      <vt:variant>
        <vt:i4>0</vt:i4>
      </vt:variant>
      <vt:variant>
        <vt:i4>5</vt:i4>
      </vt:variant>
      <vt:variant>
        <vt:lpwstr/>
      </vt:variant>
      <vt:variant>
        <vt:lpwstr>_Toc90983390</vt:lpwstr>
      </vt:variant>
      <vt:variant>
        <vt:i4>1376315</vt:i4>
      </vt:variant>
      <vt:variant>
        <vt:i4>310</vt:i4>
      </vt:variant>
      <vt:variant>
        <vt:i4>0</vt:i4>
      </vt:variant>
      <vt:variant>
        <vt:i4>5</vt:i4>
      </vt:variant>
      <vt:variant>
        <vt:lpwstr/>
      </vt:variant>
      <vt:variant>
        <vt:lpwstr>_Toc90983389</vt:lpwstr>
      </vt:variant>
      <vt:variant>
        <vt:i4>1310779</vt:i4>
      </vt:variant>
      <vt:variant>
        <vt:i4>304</vt:i4>
      </vt:variant>
      <vt:variant>
        <vt:i4>0</vt:i4>
      </vt:variant>
      <vt:variant>
        <vt:i4>5</vt:i4>
      </vt:variant>
      <vt:variant>
        <vt:lpwstr/>
      </vt:variant>
      <vt:variant>
        <vt:lpwstr>_Toc90983388</vt:lpwstr>
      </vt:variant>
      <vt:variant>
        <vt:i4>1769531</vt:i4>
      </vt:variant>
      <vt:variant>
        <vt:i4>298</vt:i4>
      </vt:variant>
      <vt:variant>
        <vt:i4>0</vt:i4>
      </vt:variant>
      <vt:variant>
        <vt:i4>5</vt:i4>
      </vt:variant>
      <vt:variant>
        <vt:lpwstr/>
      </vt:variant>
      <vt:variant>
        <vt:lpwstr>_Toc90983387</vt:lpwstr>
      </vt:variant>
      <vt:variant>
        <vt:i4>1703995</vt:i4>
      </vt:variant>
      <vt:variant>
        <vt:i4>292</vt:i4>
      </vt:variant>
      <vt:variant>
        <vt:i4>0</vt:i4>
      </vt:variant>
      <vt:variant>
        <vt:i4>5</vt:i4>
      </vt:variant>
      <vt:variant>
        <vt:lpwstr/>
      </vt:variant>
      <vt:variant>
        <vt:lpwstr>_Toc90983386</vt:lpwstr>
      </vt:variant>
      <vt:variant>
        <vt:i4>1638459</vt:i4>
      </vt:variant>
      <vt:variant>
        <vt:i4>286</vt:i4>
      </vt:variant>
      <vt:variant>
        <vt:i4>0</vt:i4>
      </vt:variant>
      <vt:variant>
        <vt:i4>5</vt:i4>
      </vt:variant>
      <vt:variant>
        <vt:lpwstr/>
      </vt:variant>
      <vt:variant>
        <vt:lpwstr>_Toc90983385</vt:lpwstr>
      </vt:variant>
      <vt:variant>
        <vt:i4>1572923</vt:i4>
      </vt:variant>
      <vt:variant>
        <vt:i4>280</vt:i4>
      </vt:variant>
      <vt:variant>
        <vt:i4>0</vt:i4>
      </vt:variant>
      <vt:variant>
        <vt:i4>5</vt:i4>
      </vt:variant>
      <vt:variant>
        <vt:lpwstr/>
      </vt:variant>
      <vt:variant>
        <vt:lpwstr>_Toc90983384</vt:lpwstr>
      </vt:variant>
      <vt:variant>
        <vt:i4>2031675</vt:i4>
      </vt:variant>
      <vt:variant>
        <vt:i4>274</vt:i4>
      </vt:variant>
      <vt:variant>
        <vt:i4>0</vt:i4>
      </vt:variant>
      <vt:variant>
        <vt:i4>5</vt:i4>
      </vt:variant>
      <vt:variant>
        <vt:lpwstr/>
      </vt:variant>
      <vt:variant>
        <vt:lpwstr>_Toc90983383</vt:lpwstr>
      </vt:variant>
      <vt:variant>
        <vt:i4>1966139</vt:i4>
      </vt:variant>
      <vt:variant>
        <vt:i4>268</vt:i4>
      </vt:variant>
      <vt:variant>
        <vt:i4>0</vt:i4>
      </vt:variant>
      <vt:variant>
        <vt:i4>5</vt:i4>
      </vt:variant>
      <vt:variant>
        <vt:lpwstr/>
      </vt:variant>
      <vt:variant>
        <vt:lpwstr>_Toc90983382</vt:lpwstr>
      </vt:variant>
      <vt:variant>
        <vt:i4>1900603</vt:i4>
      </vt:variant>
      <vt:variant>
        <vt:i4>262</vt:i4>
      </vt:variant>
      <vt:variant>
        <vt:i4>0</vt:i4>
      </vt:variant>
      <vt:variant>
        <vt:i4>5</vt:i4>
      </vt:variant>
      <vt:variant>
        <vt:lpwstr/>
      </vt:variant>
      <vt:variant>
        <vt:lpwstr>_Toc90983381</vt:lpwstr>
      </vt:variant>
      <vt:variant>
        <vt:i4>1835067</vt:i4>
      </vt:variant>
      <vt:variant>
        <vt:i4>256</vt:i4>
      </vt:variant>
      <vt:variant>
        <vt:i4>0</vt:i4>
      </vt:variant>
      <vt:variant>
        <vt:i4>5</vt:i4>
      </vt:variant>
      <vt:variant>
        <vt:lpwstr/>
      </vt:variant>
      <vt:variant>
        <vt:lpwstr>_Toc90983380</vt:lpwstr>
      </vt:variant>
      <vt:variant>
        <vt:i4>1376308</vt:i4>
      </vt:variant>
      <vt:variant>
        <vt:i4>250</vt:i4>
      </vt:variant>
      <vt:variant>
        <vt:i4>0</vt:i4>
      </vt:variant>
      <vt:variant>
        <vt:i4>5</vt:i4>
      </vt:variant>
      <vt:variant>
        <vt:lpwstr/>
      </vt:variant>
      <vt:variant>
        <vt:lpwstr>_Toc90983379</vt:lpwstr>
      </vt:variant>
      <vt:variant>
        <vt:i4>1310772</vt:i4>
      </vt:variant>
      <vt:variant>
        <vt:i4>244</vt:i4>
      </vt:variant>
      <vt:variant>
        <vt:i4>0</vt:i4>
      </vt:variant>
      <vt:variant>
        <vt:i4>5</vt:i4>
      </vt:variant>
      <vt:variant>
        <vt:lpwstr/>
      </vt:variant>
      <vt:variant>
        <vt:lpwstr>_Toc90983378</vt:lpwstr>
      </vt:variant>
      <vt:variant>
        <vt:i4>1769524</vt:i4>
      </vt:variant>
      <vt:variant>
        <vt:i4>238</vt:i4>
      </vt:variant>
      <vt:variant>
        <vt:i4>0</vt:i4>
      </vt:variant>
      <vt:variant>
        <vt:i4>5</vt:i4>
      </vt:variant>
      <vt:variant>
        <vt:lpwstr/>
      </vt:variant>
      <vt:variant>
        <vt:lpwstr>_Toc90983377</vt:lpwstr>
      </vt:variant>
      <vt:variant>
        <vt:i4>1703988</vt:i4>
      </vt:variant>
      <vt:variant>
        <vt:i4>232</vt:i4>
      </vt:variant>
      <vt:variant>
        <vt:i4>0</vt:i4>
      </vt:variant>
      <vt:variant>
        <vt:i4>5</vt:i4>
      </vt:variant>
      <vt:variant>
        <vt:lpwstr/>
      </vt:variant>
      <vt:variant>
        <vt:lpwstr>_Toc90983376</vt:lpwstr>
      </vt:variant>
      <vt:variant>
        <vt:i4>1638452</vt:i4>
      </vt:variant>
      <vt:variant>
        <vt:i4>226</vt:i4>
      </vt:variant>
      <vt:variant>
        <vt:i4>0</vt:i4>
      </vt:variant>
      <vt:variant>
        <vt:i4>5</vt:i4>
      </vt:variant>
      <vt:variant>
        <vt:lpwstr/>
      </vt:variant>
      <vt:variant>
        <vt:lpwstr>_Toc90983375</vt:lpwstr>
      </vt:variant>
      <vt:variant>
        <vt:i4>1572916</vt:i4>
      </vt:variant>
      <vt:variant>
        <vt:i4>220</vt:i4>
      </vt:variant>
      <vt:variant>
        <vt:i4>0</vt:i4>
      </vt:variant>
      <vt:variant>
        <vt:i4>5</vt:i4>
      </vt:variant>
      <vt:variant>
        <vt:lpwstr/>
      </vt:variant>
      <vt:variant>
        <vt:lpwstr>_Toc90983374</vt:lpwstr>
      </vt:variant>
      <vt:variant>
        <vt:i4>2031668</vt:i4>
      </vt:variant>
      <vt:variant>
        <vt:i4>214</vt:i4>
      </vt:variant>
      <vt:variant>
        <vt:i4>0</vt:i4>
      </vt:variant>
      <vt:variant>
        <vt:i4>5</vt:i4>
      </vt:variant>
      <vt:variant>
        <vt:lpwstr/>
      </vt:variant>
      <vt:variant>
        <vt:lpwstr>_Toc90983373</vt:lpwstr>
      </vt:variant>
      <vt:variant>
        <vt:i4>1966132</vt:i4>
      </vt:variant>
      <vt:variant>
        <vt:i4>208</vt:i4>
      </vt:variant>
      <vt:variant>
        <vt:i4>0</vt:i4>
      </vt:variant>
      <vt:variant>
        <vt:i4>5</vt:i4>
      </vt:variant>
      <vt:variant>
        <vt:lpwstr/>
      </vt:variant>
      <vt:variant>
        <vt:lpwstr>_Toc90983372</vt:lpwstr>
      </vt:variant>
      <vt:variant>
        <vt:i4>1900596</vt:i4>
      </vt:variant>
      <vt:variant>
        <vt:i4>202</vt:i4>
      </vt:variant>
      <vt:variant>
        <vt:i4>0</vt:i4>
      </vt:variant>
      <vt:variant>
        <vt:i4>5</vt:i4>
      </vt:variant>
      <vt:variant>
        <vt:lpwstr/>
      </vt:variant>
      <vt:variant>
        <vt:lpwstr>_Toc90983371</vt:lpwstr>
      </vt:variant>
      <vt:variant>
        <vt:i4>1835060</vt:i4>
      </vt:variant>
      <vt:variant>
        <vt:i4>196</vt:i4>
      </vt:variant>
      <vt:variant>
        <vt:i4>0</vt:i4>
      </vt:variant>
      <vt:variant>
        <vt:i4>5</vt:i4>
      </vt:variant>
      <vt:variant>
        <vt:lpwstr/>
      </vt:variant>
      <vt:variant>
        <vt:lpwstr>_Toc90983370</vt:lpwstr>
      </vt:variant>
      <vt:variant>
        <vt:i4>1376309</vt:i4>
      </vt:variant>
      <vt:variant>
        <vt:i4>190</vt:i4>
      </vt:variant>
      <vt:variant>
        <vt:i4>0</vt:i4>
      </vt:variant>
      <vt:variant>
        <vt:i4>5</vt:i4>
      </vt:variant>
      <vt:variant>
        <vt:lpwstr/>
      </vt:variant>
      <vt:variant>
        <vt:lpwstr>_Toc90983369</vt:lpwstr>
      </vt:variant>
      <vt:variant>
        <vt:i4>1310773</vt:i4>
      </vt:variant>
      <vt:variant>
        <vt:i4>184</vt:i4>
      </vt:variant>
      <vt:variant>
        <vt:i4>0</vt:i4>
      </vt:variant>
      <vt:variant>
        <vt:i4>5</vt:i4>
      </vt:variant>
      <vt:variant>
        <vt:lpwstr/>
      </vt:variant>
      <vt:variant>
        <vt:lpwstr>_Toc90983368</vt:lpwstr>
      </vt:variant>
      <vt:variant>
        <vt:i4>1769525</vt:i4>
      </vt:variant>
      <vt:variant>
        <vt:i4>178</vt:i4>
      </vt:variant>
      <vt:variant>
        <vt:i4>0</vt:i4>
      </vt:variant>
      <vt:variant>
        <vt:i4>5</vt:i4>
      </vt:variant>
      <vt:variant>
        <vt:lpwstr/>
      </vt:variant>
      <vt:variant>
        <vt:lpwstr>_Toc90983367</vt:lpwstr>
      </vt:variant>
      <vt:variant>
        <vt:i4>1703989</vt:i4>
      </vt:variant>
      <vt:variant>
        <vt:i4>172</vt:i4>
      </vt:variant>
      <vt:variant>
        <vt:i4>0</vt:i4>
      </vt:variant>
      <vt:variant>
        <vt:i4>5</vt:i4>
      </vt:variant>
      <vt:variant>
        <vt:lpwstr/>
      </vt:variant>
      <vt:variant>
        <vt:lpwstr>_Toc90983366</vt:lpwstr>
      </vt:variant>
      <vt:variant>
        <vt:i4>1638453</vt:i4>
      </vt:variant>
      <vt:variant>
        <vt:i4>166</vt:i4>
      </vt:variant>
      <vt:variant>
        <vt:i4>0</vt:i4>
      </vt:variant>
      <vt:variant>
        <vt:i4>5</vt:i4>
      </vt:variant>
      <vt:variant>
        <vt:lpwstr/>
      </vt:variant>
      <vt:variant>
        <vt:lpwstr>_Toc90983365</vt:lpwstr>
      </vt:variant>
      <vt:variant>
        <vt:i4>1572917</vt:i4>
      </vt:variant>
      <vt:variant>
        <vt:i4>160</vt:i4>
      </vt:variant>
      <vt:variant>
        <vt:i4>0</vt:i4>
      </vt:variant>
      <vt:variant>
        <vt:i4>5</vt:i4>
      </vt:variant>
      <vt:variant>
        <vt:lpwstr/>
      </vt:variant>
      <vt:variant>
        <vt:lpwstr>_Toc90983364</vt:lpwstr>
      </vt:variant>
      <vt:variant>
        <vt:i4>2031669</vt:i4>
      </vt:variant>
      <vt:variant>
        <vt:i4>154</vt:i4>
      </vt:variant>
      <vt:variant>
        <vt:i4>0</vt:i4>
      </vt:variant>
      <vt:variant>
        <vt:i4>5</vt:i4>
      </vt:variant>
      <vt:variant>
        <vt:lpwstr/>
      </vt:variant>
      <vt:variant>
        <vt:lpwstr>_Toc90983363</vt:lpwstr>
      </vt:variant>
      <vt:variant>
        <vt:i4>1966133</vt:i4>
      </vt:variant>
      <vt:variant>
        <vt:i4>148</vt:i4>
      </vt:variant>
      <vt:variant>
        <vt:i4>0</vt:i4>
      </vt:variant>
      <vt:variant>
        <vt:i4>5</vt:i4>
      </vt:variant>
      <vt:variant>
        <vt:lpwstr/>
      </vt:variant>
      <vt:variant>
        <vt:lpwstr>_Toc90983362</vt:lpwstr>
      </vt:variant>
      <vt:variant>
        <vt:i4>1900597</vt:i4>
      </vt:variant>
      <vt:variant>
        <vt:i4>142</vt:i4>
      </vt:variant>
      <vt:variant>
        <vt:i4>0</vt:i4>
      </vt:variant>
      <vt:variant>
        <vt:i4>5</vt:i4>
      </vt:variant>
      <vt:variant>
        <vt:lpwstr/>
      </vt:variant>
      <vt:variant>
        <vt:lpwstr>_Toc90983361</vt:lpwstr>
      </vt:variant>
      <vt:variant>
        <vt:i4>1835061</vt:i4>
      </vt:variant>
      <vt:variant>
        <vt:i4>136</vt:i4>
      </vt:variant>
      <vt:variant>
        <vt:i4>0</vt:i4>
      </vt:variant>
      <vt:variant>
        <vt:i4>5</vt:i4>
      </vt:variant>
      <vt:variant>
        <vt:lpwstr/>
      </vt:variant>
      <vt:variant>
        <vt:lpwstr>_Toc90983360</vt:lpwstr>
      </vt:variant>
      <vt:variant>
        <vt:i4>1376310</vt:i4>
      </vt:variant>
      <vt:variant>
        <vt:i4>130</vt:i4>
      </vt:variant>
      <vt:variant>
        <vt:i4>0</vt:i4>
      </vt:variant>
      <vt:variant>
        <vt:i4>5</vt:i4>
      </vt:variant>
      <vt:variant>
        <vt:lpwstr/>
      </vt:variant>
      <vt:variant>
        <vt:lpwstr>_Toc90983359</vt:lpwstr>
      </vt:variant>
      <vt:variant>
        <vt:i4>1310774</vt:i4>
      </vt:variant>
      <vt:variant>
        <vt:i4>124</vt:i4>
      </vt:variant>
      <vt:variant>
        <vt:i4>0</vt:i4>
      </vt:variant>
      <vt:variant>
        <vt:i4>5</vt:i4>
      </vt:variant>
      <vt:variant>
        <vt:lpwstr/>
      </vt:variant>
      <vt:variant>
        <vt:lpwstr>_Toc90983358</vt:lpwstr>
      </vt:variant>
      <vt:variant>
        <vt:i4>1769526</vt:i4>
      </vt:variant>
      <vt:variant>
        <vt:i4>118</vt:i4>
      </vt:variant>
      <vt:variant>
        <vt:i4>0</vt:i4>
      </vt:variant>
      <vt:variant>
        <vt:i4>5</vt:i4>
      </vt:variant>
      <vt:variant>
        <vt:lpwstr/>
      </vt:variant>
      <vt:variant>
        <vt:lpwstr>_Toc90983357</vt:lpwstr>
      </vt:variant>
      <vt:variant>
        <vt:i4>1703990</vt:i4>
      </vt:variant>
      <vt:variant>
        <vt:i4>112</vt:i4>
      </vt:variant>
      <vt:variant>
        <vt:i4>0</vt:i4>
      </vt:variant>
      <vt:variant>
        <vt:i4>5</vt:i4>
      </vt:variant>
      <vt:variant>
        <vt:lpwstr/>
      </vt:variant>
      <vt:variant>
        <vt:lpwstr>_Toc90983356</vt:lpwstr>
      </vt:variant>
      <vt:variant>
        <vt:i4>1638454</vt:i4>
      </vt:variant>
      <vt:variant>
        <vt:i4>106</vt:i4>
      </vt:variant>
      <vt:variant>
        <vt:i4>0</vt:i4>
      </vt:variant>
      <vt:variant>
        <vt:i4>5</vt:i4>
      </vt:variant>
      <vt:variant>
        <vt:lpwstr/>
      </vt:variant>
      <vt:variant>
        <vt:lpwstr>_Toc90983355</vt:lpwstr>
      </vt:variant>
      <vt:variant>
        <vt:i4>1572918</vt:i4>
      </vt:variant>
      <vt:variant>
        <vt:i4>100</vt:i4>
      </vt:variant>
      <vt:variant>
        <vt:i4>0</vt:i4>
      </vt:variant>
      <vt:variant>
        <vt:i4>5</vt:i4>
      </vt:variant>
      <vt:variant>
        <vt:lpwstr/>
      </vt:variant>
      <vt:variant>
        <vt:lpwstr>_Toc90983354</vt:lpwstr>
      </vt:variant>
      <vt:variant>
        <vt:i4>2031670</vt:i4>
      </vt:variant>
      <vt:variant>
        <vt:i4>94</vt:i4>
      </vt:variant>
      <vt:variant>
        <vt:i4>0</vt:i4>
      </vt:variant>
      <vt:variant>
        <vt:i4>5</vt:i4>
      </vt:variant>
      <vt:variant>
        <vt:lpwstr/>
      </vt:variant>
      <vt:variant>
        <vt:lpwstr>_Toc90983353</vt:lpwstr>
      </vt:variant>
      <vt:variant>
        <vt:i4>1966134</vt:i4>
      </vt:variant>
      <vt:variant>
        <vt:i4>88</vt:i4>
      </vt:variant>
      <vt:variant>
        <vt:i4>0</vt:i4>
      </vt:variant>
      <vt:variant>
        <vt:i4>5</vt:i4>
      </vt:variant>
      <vt:variant>
        <vt:lpwstr/>
      </vt:variant>
      <vt:variant>
        <vt:lpwstr>_Toc90983352</vt:lpwstr>
      </vt:variant>
      <vt:variant>
        <vt:i4>1900598</vt:i4>
      </vt:variant>
      <vt:variant>
        <vt:i4>82</vt:i4>
      </vt:variant>
      <vt:variant>
        <vt:i4>0</vt:i4>
      </vt:variant>
      <vt:variant>
        <vt:i4>5</vt:i4>
      </vt:variant>
      <vt:variant>
        <vt:lpwstr/>
      </vt:variant>
      <vt:variant>
        <vt:lpwstr>_Toc90983351</vt:lpwstr>
      </vt:variant>
      <vt:variant>
        <vt:i4>1835062</vt:i4>
      </vt:variant>
      <vt:variant>
        <vt:i4>76</vt:i4>
      </vt:variant>
      <vt:variant>
        <vt:i4>0</vt:i4>
      </vt:variant>
      <vt:variant>
        <vt:i4>5</vt:i4>
      </vt:variant>
      <vt:variant>
        <vt:lpwstr/>
      </vt:variant>
      <vt:variant>
        <vt:lpwstr>_Toc90983350</vt:lpwstr>
      </vt:variant>
      <vt:variant>
        <vt:i4>1376311</vt:i4>
      </vt:variant>
      <vt:variant>
        <vt:i4>70</vt:i4>
      </vt:variant>
      <vt:variant>
        <vt:i4>0</vt:i4>
      </vt:variant>
      <vt:variant>
        <vt:i4>5</vt:i4>
      </vt:variant>
      <vt:variant>
        <vt:lpwstr/>
      </vt:variant>
      <vt:variant>
        <vt:lpwstr>_Toc90983349</vt:lpwstr>
      </vt:variant>
      <vt:variant>
        <vt:i4>1769527</vt:i4>
      </vt:variant>
      <vt:variant>
        <vt:i4>64</vt:i4>
      </vt:variant>
      <vt:variant>
        <vt:i4>0</vt:i4>
      </vt:variant>
      <vt:variant>
        <vt:i4>5</vt:i4>
      </vt:variant>
      <vt:variant>
        <vt:lpwstr/>
      </vt:variant>
      <vt:variant>
        <vt:lpwstr>_Toc90983347</vt:lpwstr>
      </vt:variant>
      <vt:variant>
        <vt:i4>1703991</vt:i4>
      </vt:variant>
      <vt:variant>
        <vt:i4>58</vt:i4>
      </vt:variant>
      <vt:variant>
        <vt:i4>0</vt:i4>
      </vt:variant>
      <vt:variant>
        <vt:i4>5</vt:i4>
      </vt:variant>
      <vt:variant>
        <vt:lpwstr/>
      </vt:variant>
      <vt:variant>
        <vt:lpwstr>_Toc90983346</vt:lpwstr>
      </vt:variant>
      <vt:variant>
        <vt:i4>1638455</vt:i4>
      </vt:variant>
      <vt:variant>
        <vt:i4>52</vt:i4>
      </vt:variant>
      <vt:variant>
        <vt:i4>0</vt:i4>
      </vt:variant>
      <vt:variant>
        <vt:i4>5</vt:i4>
      </vt:variant>
      <vt:variant>
        <vt:lpwstr/>
      </vt:variant>
      <vt:variant>
        <vt:lpwstr>_Toc90983345</vt:lpwstr>
      </vt:variant>
      <vt:variant>
        <vt:i4>1572919</vt:i4>
      </vt:variant>
      <vt:variant>
        <vt:i4>46</vt:i4>
      </vt:variant>
      <vt:variant>
        <vt:i4>0</vt:i4>
      </vt:variant>
      <vt:variant>
        <vt:i4>5</vt:i4>
      </vt:variant>
      <vt:variant>
        <vt:lpwstr/>
      </vt:variant>
      <vt:variant>
        <vt:lpwstr>_Toc90983344</vt:lpwstr>
      </vt:variant>
      <vt:variant>
        <vt:i4>2031671</vt:i4>
      </vt:variant>
      <vt:variant>
        <vt:i4>40</vt:i4>
      </vt:variant>
      <vt:variant>
        <vt:i4>0</vt:i4>
      </vt:variant>
      <vt:variant>
        <vt:i4>5</vt:i4>
      </vt:variant>
      <vt:variant>
        <vt:lpwstr/>
      </vt:variant>
      <vt:variant>
        <vt:lpwstr>_Toc90983343</vt:lpwstr>
      </vt:variant>
      <vt:variant>
        <vt:i4>1966135</vt:i4>
      </vt:variant>
      <vt:variant>
        <vt:i4>34</vt:i4>
      </vt:variant>
      <vt:variant>
        <vt:i4>0</vt:i4>
      </vt:variant>
      <vt:variant>
        <vt:i4>5</vt:i4>
      </vt:variant>
      <vt:variant>
        <vt:lpwstr/>
      </vt:variant>
      <vt:variant>
        <vt:lpwstr>_Toc90983342</vt:lpwstr>
      </vt:variant>
      <vt:variant>
        <vt:i4>1900599</vt:i4>
      </vt:variant>
      <vt:variant>
        <vt:i4>28</vt:i4>
      </vt:variant>
      <vt:variant>
        <vt:i4>0</vt:i4>
      </vt:variant>
      <vt:variant>
        <vt:i4>5</vt:i4>
      </vt:variant>
      <vt:variant>
        <vt:lpwstr/>
      </vt:variant>
      <vt:variant>
        <vt:lpwstr>_Toc90983341</vt:lpwstr>
      </vt:variant>
      <vt:variant>
        <vt:i4>1835063</vt:i4>
      </vt:variant>
      <vt:variant>
        <vt:i4>22</vt:i4>
      </vt:variant>
      <vt:variant>
        <vt:i4>0</vt:i4>
      </vt:variant>
      <vt:variant>
        <vt:i4>5</vt:i4>
      </vt:variant>
      <vt:variant>
        <vt:lpwstr/>
      </vt:variant>
      <vt:variant>
        <vt:lpwstr>_Toc90983340</vt:lpwstr>
      </vt:variant>
      <vt:variant>
        <vt:i4>1376304</vt:i4>
      </vt:variant>
      <vt:variant>
        <vt:i4>16</vt:i4>
      </vt:variant>
      <vt:variant>
        <vt:i4>0</vt:i4>
      </vt:variant>
      <vt:variant>
        <vt:i4>5</vt:i4>
      </vt:variant>
      <vt:variant>
        <vt:lpwstr/>
      </vt:variant>
      <vt:variant>
        <vt:lpwstr>_Toc90983339</vt:lpwstr>
      </vt:variant>
      <vt:variant>
        <vt:i4>1310768</vt:i4>
      </vt:variant>
      <vt:variant>
        <vt:i4>10</vt:i4>
      </vt:variant>
      <vt:variant>
        <vt:i4>0</vt:i4>
      </vt:variant>
      <vt:variant>
        <vt:i4>5</vt:i4>
      </vt:variant>
      <vt:variant>
        <vt:lpwstr/>
      </vt:variant>
      <vt:variant>
        <vt:lpwstr>_Toc90983338</vt:lpwstr>
      </vt:variant>
      <vt:variant>
        <vt:i4>1048647</vt:i4>
      </vt:variant>
      <vt:variant>
        <vt:i4>3</vt:i4>
      </vt:variant>
      <vt:variant>
        <vt:i4>0</vt:i4>
      </vt:variant>
      <vt:variant>
        <vt:i4>5</vt:i4>
      </vt:variant>
      <vt:variant>
        <vt:lpwstr>http://www.acoss.org.au/</vt:lpwstr>
      </vt:variant>
      <vt:variant>
        <vt:lpwstr/>
      </vt:variant>
      <vt:variant>
        <vt:i4>3801183</vt:i4>
      </vt:variant>
      <vt:variant>
        <vt:i4>0</vt:i4>
      </vt:variant>
      <vt:variant>
        <vt:i4>0</vt:i4>
      </vt:variant>
      <vt:variant>
        <vt:i4>5</vt:i4>
      </vt:variant>
      <vt:variant>
        <vt:lpwstr>mailto:info@acoss.org.au</vt:lpwstr>
      </vt:variant>
      <vt:variant>
        <vt:lpwstr/>
      </vt:variant>
      <vt:variant>
        <vt:i4>4980737</vt:i4>
      </vt:variant>
      <vt:variant>
        <vt:i4>72</vt:i4>
      </vt:variant>
      <vt:variant>
        <vt:i4>0</vt:i4>
      </vt:variant>
      <vt:variant>
        <vt:i4>5</vt:i4>
      </vt:variant>
      <vt:variant>
        <vt:lpwstr>http://www.fatf-gafi.org/publications/mutualevaluations/documents/fur-australia-2018.html</vt:lpwstr>
      </vt:variant>
      <vt:variant>
        <vt:lpwstr/>
      </vt:variant>
      <vt:variant>
        <vt:i4>5505033</vt:i4>
      </vt:variant>
      <vt:variant>
        <vt:i4>69</vt:i4>
      </vt:variant>
      <vt:variant>
        <vt:i4>0</vt:i4>
      </vt:variant>
      <vt:variant>
        <vt:i4>5</vt:i4>
      </vt:variant>
      <vt:variant>
        <vt:lpwstr>https://doi.org/10.1787/9789264280069-en</vt:lpwstr>
      </vt:variant>
      <vt:variant>
        <vt:lpwstr/>
      </vt:variant>
      <vt:variant>
        <vt:i4>7864325</vt:i4>
      </vt:variant>
      <vt:variant>
        <vt:i4>66</vt:i4>
      </vt:variant>
      <vt:variant>
        <vt:i4>0</vt:i4>
      </vt:variant>
      <vt:variant>
        <vt:i4>5</vt:i4>
      </vt:variant>
      <vt:variant>
        <vt:lpwstr>https://star.worldbank.org/sites/star/files/g20_high-level_principles_beneficial_ownership_transparency.pdf</vt:lpwstr>
      </vt:variant>
      <vt:variant>
        <vt:lpwstr/>
      </vt:variant>
      <vt:variant>
        <vt:i4>7012406</vt:i4>
      </vt:variant>
      <vt:variant>
        <vt:i4>63</vt:i4>
      </vt:variant>
      <vt:variant>
        <vt:i4>0</vt:i4>
      </vt:variant>
      <vt:variant>
        <vt:i4>5</vt:i4>
      </vt:variant>
      <vt:variant>
        <vt:lpwstr>https://www.acoss.org.au/wp-content/uploads/2016/04/Fuel_on_the_fire_ACOSS.pdf</vt:lpwstr>
      </vt:variant>
      <vt:variant>
        <vt:lpwstr/>
      </vt:variant>
      <vt:variant>
        <vt:i4>3473467</vt:i4>
      </vt:variant>
      <vt:variant>
        <vt:i4>60</vt:i4>
      </vt:variant>
      <vt:variant>
        <vt:i4>0</vt:i4>
      </vt:variant>
      <vt:variant>
        <vt:i4>5</vt:i4>
      </vt:variant>
      <vt:variant>
        <vt:lpwstr>https://treasury.gov.au/review/the-australias-future-tax-system-review/final-report</vt:lpwstr>
      </vt:variant>
      <vt:variant>
        <vt:lpwstr/>
      </vt:variant>
      <vt:variant>
        <vt:i4>3473467</vt:i4>
      </vt:variant>
      <vt:variant>
        <vt:i4>57</vt:i4>
      </vt:variant>
      <vt:variant>
        <vt:i4>0</vt:i4>
      </vt:variant>
      <vt:variant>
        <vt:i4>5</vt:i4>
      </vt:variant>
      <vt:variant>
        <vt:lpwstr>https://treasury.gov.au/review/the-australias-future-tax-system-review/final-report</vt:lpwstr>
      </vt:variant>
      <vt:variant>
        <vt:lpwstr/>
      </vt:variant>
      <vt:variant>
        <vt:i4>7733252</vt:i4>
      </vt:variant>
      <vt:variant>
        <vt:i4>54</vt:i4>
      </vt:variant>
      <vt:variant>
        <vt:i4>0</vt:i4>
      </vt:variant>
      <vt:variant>
        <vt:i4>5</vt:i4>
      </vt:variant>
      <vt:variant>
        <vt:lpwstr>https://www1.health.gov.au/internet/main/publishing.nsf/Content/2011_Review_Extended_Medicare_Safety_Net/$File/Final Report - Review of EMSN benefit capping June 2011.pdf</vt:lpwstr>
      </vt:variant>
      <vt:variant>
        <vt:lpwstr/>
      </vt:variant>
      <vt:variant>
        <vt:i4>2359303</vt:i4>
      </vt:variant>
      <vt:variant>
        <vt:i4>51</vt:i4>
      </vt:variant>
      <vt:variant>
        <vt:i4>0</vt:i4>
      </vt:variant>
      <vt:variant>
        <vt:i4>5</vt:i4>
      </vt:variant>
      <vt:variant>
        <vt:lpwstr>http://www.mbsonline.gov.au/internet/mbsonline/publishing.nsf/Content/Factsheet-MSN_1Jan2019</vt:lpwstr>
      </vt:variant>
      <vt:variant>
        <vt:lpwstr/>
      </vt:variant>
      <vt:variant>
        <vt:i4>2359303</vt:i4>
      </vt:variant>
      <vt:variant>
        <vt:i4>48</vt:i4>
      </vt:variant>
      <vt:variant>
        <vt:i4>0</vt:i4>
      </vt:variant>
      <vt:variant>
        <vt:i4>5</vt:i4>
      </vt:variant>
      <vt:variant>
        <vt:lpwstr>http://www.mbsonline.gov.au/internet/mbsonline/publishing.nsf/Content/Factsheet-MSN_1Jan2019</vt:lpwstr>
      </vt:variant>
      <vt:variant>
        <vt:lpwstr/>
      </vt:variant>
      <vt:variant>
        <vt:i4>4849673</vt:i4>
      </vt:variant>
      <vt:variant>
        <vt:i4>45</vt:i4>
      </vt:variant>
      <vt:variant>
        <vt:i4>0</vt:i4>
      </vt:variant>
      <vt:variant>
        <vt:i4>5</vt:i4>
      </vt:variant>
      <vt:variant>
        <vt:lpwstr>https://apo.org.au/node/21989</vt:lpwstr>
      </vt:variant>
      <vt:variant>
        <vt:lpwstr/>
      </vt:variant>
      <vt:variant>
        <vt:i4>786506</vt:i4>
      </vt:variant>
      <vt:variant>
        <vt:i4>42</vt:i4>
      </vt:variant>
      <vt:variant>
        <vt:i4>0</vt:i4>
      </vt:variant>
      <vt:variant>
        <vt:i4>5</vt:i4>
      </vt:variant>
      <vt:variant>
        <vt:lpwstr>https://www.pc.gov.au/research/ongoing/report-on-government-services/2021/community-services</vt:lpwstr>
      </vt:variant>
      <vt:variant>
        <vt:lpwstr/>
      </vt:variant>
      <vt:variant>
        <vt:i4>4194393</vt:i4>
      </vt:variant>
      <vt:variant>
        <vt:i4>39</vt:i4>
      </vt:variant>
      <vt:variant>
        <vt:i4>0</vt:i4>
      </vt:variant>
      <vt:variant>
        <vt:i4>5</vt:i4>
      </vt:variant>
      <vt:variant>
        <vt:lpwstr>https://grattan.edu.au/wp-content/uploads/2020/08/Cheaper-Childcare-Grattan-Institute-Report.pdf</vt:lpwstr>
      </vt:variant>
      <vt:variant>
        <vt:lpwstr/>
      </vt:variant>
      <vt:variant>
        <vt:i4>5963796</vt:i4>
      </vt:variant>
      <vt:variant>
        <vt:i4>36</vt:i4>
      </vt:variant>
      <vt:variant>
        <vt:i4>0</vt:i4>
      </vt:variant>
      <vt:variant>
        <vt:i4>5</vt:i4>
      </vt:variant>
      <vt:variant>
        <vt:lpwstr>http://www.educationcouncil.edu.au/site/DefaultSite/filesystem/documents/Reports and publications/UANP Review Report.pdf</vt:lpwstr>
      </vt:variant>
      <vt:variant>
        <vt:lpwstr/>
      </vt:variant>
      <vt:variant>
        <vt:i4>5570561</vt:i4>
      </vt:variant>
      <vt:variant>
        <vt:i4>33</vt:i4>
      </vt:variant>
      <vt:variant>
        <vt:i4>0</vt:i4>
      </vt:variant>
      <vt:variant>
        <vt:i4>5</vt:i4>
      </vt:variant>
      <vt:variant>
        <vt:lpwstr>https://www.oecd.org/els/soc/PF3_2_Enrolment_childcare_preschool.pdf</vt:lpwstr>
      </vt:variant>
      <vt:variant>
        <vt:lpwstr/>
      </vt:variant>
      <vt:variant>
        <vt:i4>5636127</vt:i4>
      </vt:variant>
      <vt:variant>
        <vt:i4>30</vt:i4>
      </vt:variant>
      <vt:variant>
        <vt:i4>0</vt:i4>
      </vt:variant>
      <vt:variant>
        <vt:i4>5</vt:i4>
      </vt:variant>
      <vt:variant>
        <vt:lpwstr>https://www.jbwere.com.au/insights/news/2021/07/jbwere_nab_charitabl</vt:lpwstr>
      </vt:variant>
      <vt:variant>
        <vt:lpwstr/>
      </vt:variant>
      <vt:variant>
        <vt:i4>7602244</vt:i4>
      </vt:variant>
      <vt:variant>
        <vt:i4>27</vt:i4>
      </vt:variant>
      <vt:variant>
        <vt:i4>0</vt:i4>
      </vt:variant>
      <vt:variant>
        <vt:i4>5</vt:i4>
      </vt:variant>
      <vt:variant>
        <vt:lpwstr>https://www.acoss.org.au/wp-content/uploads/2020/09/Australias-community-sector-and-Covid-19_FINAL.pdf</vt:lpwstr>
      </vt:variant>
      <vt:variant>
        <vt:lpwstr/>
      </vt:variant>
      <vt:variant>
        <vt:i4>5636127</vt:i4>
      </vt:variant>
      <vt:variant>
        <vt:i4>24</vt:i4>
      </vt:variant>
      <vt:variant>
        <vt:i4>0</vt:i4>
      </vt:variant>
      <vt:variant>
        <vt:i4>5</vt:i4>
      </vt:variant>
      <vt:variant>
        <vt:lpwstr>https://www.jbwere.com.au/insights/news/2021/07/jbwere_nab_charitabl</vt:lpwstr>
      </vt:variant>
      <vt:variant>
        <vt:lpwstr/>
      </vt:variant>
      <vt:variant>
        <vt:i4>3538976</vt:i4>
      </vt:variant>
      <vt:variant>
        <vt:i4>21</vt:i4>
      </vt:variant>
      <vt:variant>
        <vt:i4>0</vt:i4>
      </vt:variant>
      <vt:variant>
        <vt:i4>5</vt:i4>
      </vt:variant>
      <vt:variant>
        <vt:lpwstr>https://insurancecouncil.com.au/industry-members/data-hub/</vt:lpwstr>
      </vt:variant>
      <vt:variant>
        <vt:lpwstr/>
      </vt:variant>
      <vt:variant>
        <vt:i4>1114206</vt:i4>
      </vt:variant>
      <vt:variant>
        <vt:i4>18</vt:i4>
      </vt:variant>
      <vt:variant>
        <vt:i4>0</vt:i4>
      </vt:variant>
      <vt:variant>
        <vt:i4>5</vt:i4>
      </vt:variant>
      <vt:variant>
        <vt:lpwstr>https://www.demandmanager.com.au/certificate-prices/</vt:lpwstr>
      </vt:variant>
      <vt:variant>
        <vt:lpwstr/>
      </vt:variant>
      <vt:variant>
        <vt:i4>851981</vt:i4>
      </vt:variant>
      <vt:variant>
        <vt:i4>15</vt:i4>
      </vt:variant>
      <vt:variant>
        <vt:i4>0</vt:i4>
      </vt:variant>
      <vt:variant>
        <vt:i4>5</vt:i4>
      </vt:variant>
      <vt:variant>
        <vt:lpwstr>http://www.cleanenergyregulator.gov.au/DocumentAssets/Documents/STC modelling report by Jacobs - January 2021.pdf</vt:lpwstr>
      </vt:variant>
      <vt:variant>
        <vt:lpwstr/>
      </vt:variant>
      <vt:variant>
        <vt:i4>7929879</vt:i4>
      </vt:variant>
      <vt:variant>
        <vt:i4>12</vt:i4>
      </vt:variant>
      <vt:variant>
        <vt:i4>0</vt:i4>
      </vt:variant>
      <vt:variant>
        <vt:i4>5</vt:i4>
      </vt:variant>
      <vt:variant>
        <vt:lpwstr>https://www.accc.gov.au/system/files/Retail Electricity Pricing Inquiry%e2%80%94Final Report June 2018_Exec summary.pdf</vt:lpwstr>
      </vt:variant>
      <vt:variant>
        <vt:lpwstr/>
      </vt:variant>
      <vt:variant>
        <vt:i4>5570588</vt:i4>
      </vt:variant>
      <vt:variant>
        <vt:i4>9</vt:i4>
      </vt:variant>
      <vt:variant>
        <vt:i4>0</vt:i4>
      </vt:variant>
      <vt:variant>
        <vt:i4>5</vt:i4>
      </vt:variant>
      <vt:variant>
        <vt:lpwstr>https://www.aer.gov.au/retail-markets/performance-reporting/annual-retail-markets-report-2020%E2%80%9321</vt:lpwstr>
      </vt:variant>
      <vt:variant>
        <vt:lpwstr/>
      </vt:variant>
      <vt:variant>
        <vt:i4>5636171</vt:i4>
      </vt:variant>
      <vt:variant>
        <vt:i4>6</vt:i4>
      </vt:variant>
      <vt:variant>
        <vt:i4>0</vt:i4>
      </vt:variant>
      <vt:variant>
        <vt:i4>5</vt:i4>
      </vt:variant>
      <vt:variant>
        <vt:lpwstr>https://www.acoss.org.au/wp-content/uploads/2021/08/Brief-Proposal-and-implementaion-plan-for-National-Low-income-Energy-Productivity-Program-September-2021.pdf</vt:lpwstr>
      </vt:variant>
      <vt:variant>
        <vt:lpwstr/>
      </vt:variant>
      <vt:variant>
        <vt:i4>4063257</vt:i4>
      </vt:variant>
      <vt:variant>
        <vt:i4>3</vt:i4>
      </vt:variant>
      <vt:variant>
        <vt:i4>0</vt:i4>
      </vt:variant>
      <vt:variant>
        <vt:i4>5</vt:i4>
      </vt:variant>
      <vt:variant>
        <vt:lpwstr>https://www.acoss.org.au/wp-content/uploads/2021/10/DAE-ACOSS_Economic_Impacts_of_NLEPP_Final_Report_211005.pdf</vt:lpwstr>
      </vt:variant>
      <vt:variant>
        <vt:lpwstr/>
      </vt:variant>
      <vt:variant>
        <vt:i4>65560</vt:i4>
      </vt:variant>
      <vt:variant>
        <vt:i4>0</vt:i4>
      </vt:variant>
      <vt:variant>
        <vt:i4>0</vt:i4>
      </vt:variant>
      <vt:variant>
        <vt:i4>5</vt:i4>
      </vt:variant>
      <vt:variant>
        <vt:lpwstr>http://povertyandinequality.acoss.org.au/wp-content/uploads/2020/05/Poverty-in-Australia-2020-Part-2-</vt:lpwstr>
      </vt:variant>
      <vt:variant>
        <vt:lpwstr/>
      </vt:variant>
      <vt:variant>
        <vt:i4>1048647</vt:i4>
      </vt:variant>
      <vt:variant>
        <vt:i4>6</vt:i4>
      </vt:variant>
      <vt:variant>
        <vt:i4>0</vt:i4>
      </vt:variant>
      <vt:variant>
        <vt:i4>5</vt:i4>
      </vt:variant>
      <vt:variant>
        <vt:lpwstr>http://www.acoss.org.au/</vt:lpwstr>
      </vt:variant>
      <vt:variant>
        <vt:lpwstr/>
      </vt:variant>
      <vt:variant>
        <vt:i4>3801183</vt:i4>
      </vt:variant>
      <vt:variant>
        <vt:i4>3</vt:i4>
      </vt:variant>
      <vt:variant>
        <vt:i4>0</vt:i4>
      </vt:variant>
      <vt:variant>
        <vt:i4>5</vt:i4>
      </vt:variant>
      <vt:variant>
        <vt:lpwstr>mailto:info@acoss.org.au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Wylie</dc:creator>
  <cp:keywords/>
  <dc:description/>
  <cp:lastModifiedBy>Edwina MacDonald</cp:lastModifiedBy>
  <cp:revision>2</cp:revision>
  <cp:lastPrinted>2022-01-28T03:11:00Z</cp:lastPrinted>
  <dcterms:created xsi:type="dcterms:W3CDTF">2022-02-28T01:26:00Z</dcterms:created>
  <dcterms:modified xsi:type="dcterms:W3CDTF">2022-02-28T01:26:00Z</dcterms:modified>
</cp:coreProperties>
</file>