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4" o:title="Word Document Background 2" type="tile"/>
    </v:background>
  </w:background>
  <w:body>
    <w:p w14:paraId="12AFAE44" w14:textId="295E3987" w:rsidR="00043D48" w:rsidRPr="00794193" w:rsidRDefault="00233AB0" w:rsidP="00DF515C">
      <w:pPr>
        <w:pStyle w:val="Title"/>
      </w:pPr>
      <w:r>
        <w:t>Measuring What Matters</w:t>
      </w:r>
    </w:p>
    <w:p w14:paraId="0C70C80E" w14:textId="3B6B40CD" w:rsidR="00A712C3" w:rsidRPr="00B07C04" w:rsidRDefault="00A712C3" w:rsidP="00261645">
      <w:r w:rsidRPr="00B07C04">
        <w:rPr>
          <w:noProof/>
          <w:lang w:eastAsia="en-AU"/>
        </w:rPr>
        <w:drawing>
          <wp:anchor distT="0" distB="0" distL="114300" distR="114300" simplePos="0" relativeHeight="251659264" behindDoc="1" locked="0" layoutInCell="1" allowOverlap="1" wp14:anchorId="43488BF5" wp14:editId="512E1FA7">
            <wp:simplePos x="0" y="0"/>
            <wp:positionH relativeFrom="margin">
              <wp:posOffset>44450</wp:posOffset>
            </wp:positionH>
            <wp:positionV relativeFrom="paragraph">
              <wp:posOffset>352425</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3B18BF">
        <w:rPr>
          <w:rStyle w:val="SubtleEmphasis"/>
          <w:sz w:val="28"/>
          <w:szCs w:val="28"/>
        </w:rPr>
        <w:t xml:space="preserve">3 February </w:t>
      </w:r>
      <w:r w:rsidR="00233AB0">
        <w:rPr>
          <w:rStyle w:val="SubtleEmphasis"/>
          <w:sz w:val="28"/>
          <w:szCs w:val="28"/>
        </w:rPr>
        <w:t>2023</w:t>
      </w:r>
    </w:p>
    <w:p w14:paraId="0961DFDE" w14:textId="77777777" w:rsidR="0085068E" w:rsidRDefault="0085068E" w:rsidP="0085068E">
      <w:pPr>
        <w:pStyle w:val="Summary"/>
      </w:pPr>
      <w:r>
        <w:t>About ACOSS</w:t>
      </w:r>
    </w:p>
    <w:p w14:paraId="62C30130" w14:textId="051E6406" w:rsidR="00A712C3" w:rsidRPr="00DF4949" w:rsidRDefault="00A712C3" w:rsidP="0085068E">
      <w:r w:rsidRPr="00DF4949">
        <w:t>The Australian Council of Social Service (ACOSS) is a national voice in support of people affected by poverty, disadvantage and inequality</w:t>
      </w:r>
      <w:r w:rsidR="008674D6">
        <w:t>,</w:t>
      </w:r>
      <w:r w:rsidRPr="00DF4949">
        <w:t xml:space="preserve"> and the peak body for the community service</w:t>
      </w:r>
      <w:r w:rsidR="0085068E">
        <w:t>s</w:t>
      </w:r>
      <w:r w:rsidRPr="00DF4949">
        <w:t xml:space="preserve"> and civil society sector.</w:t>
      </w:r>
    </w:p>
    <w:p w14:paraId="6E118280" w14:textId="025039CC" w:rsidR="008A43DD" w:rsidRPr="00DF4949" w:rsidRDefault="008A43DD" w:rsidP="0085068E">
      <w:r w:rsidRPr="00DF4949">
        <w:t>ACOSS consists of a network of approximately 4000 organisations and individuals across Australia in metro</w:t>
      </w:r>
      <w:r w:rsidR="008674D6">
        <w:t>politan</w:t>
      </w:r>
      <w:r w:rsidRPr="00DF4949">
        <w:t xml:space="preserve">, regional and remote areas. </w:t>
      </w:r>
    </w:p>
    <w:p w14:paraId="30C85034" w14:textId="77777777" w:rsidR="00C0614D" w:rsidRPr="00DF4949" w:rsidRDefault="00C0614D" w:rsidP="0085068E">
      <w:r w:rsidRPr="00DF4949">
        <w:t xml:space="preserve">Our vision is an end to poverty in all its forms; economies that are fair, </w:t>
      </w:r>
      <w:proofErr w:type="gramStart"/>
      <w:r w:rsidRPr="00DF4949">
        <w:t>sustainable</w:t>
      </w:r>
      <w:proofErr w:type="gramEnd"/>
      <w:r w:rsidRPr="00DF4949">
        <w:t xml:space="preserve"> and resilient; and communities that are just, peaceful and inclusive.</w:t>
      </w:r>
      <w:r w:rsidRPr="00DF4949" w:rsidDel="007563B2">
        <w:t xml:space="preserve"> </w:t>
      </w:r>
    </w:p>
    <w:p w14:paraId="4E622B0A" w14:textId="77777777" w:rsidR="001C08B2" w:rsidRDefault="001C08B2" w:rsidP="00EE17C1">
      <w:pPr>
        <w:pStyle w:val="Summary"/>
      </w:pPr>
      <w:r>
        <w:t>Introduction</w:t>
      </w:r>
    </w:p>
    <w:p w14:paraId="6FE3B415" w14:textId="77777777" w:rsidR="00EA707C" w:rsidRDefault="00EA707C" w:rsidP="0085068E">
      <w:pPr>
        <w:rPr>
          <w:rStyle w:val="normaltextrun"/>
          <w:rFonts w:eastAsia="Times New Roman"/>
          <w:color w:val="000000"/>
          <w:lang w:val="en-US"/>
        </w:rPr>
      </w:pPr>
      <w:r>
        <w:rPr>
          <w:rStyle w:val="normaltextrun"/>
          <w:rFonts w:eastAsia="Times New Roman"/>
          <w:color w:val="000000"/>
          <w:lang w:val="en-US"/>
        </w:rPr>
        <w:t xml:space="preserve">ACOSS strongly welcomes the Federal Government commitment to develop a Wellbeing Framework to drive fiscal and public policy decision-making. </w:t>
      </w:r>
    </w:p>
    <w:p w14:paraId="74A2B890" w14:textId="0D90323B" w:rsidR="008674D6" w:rsidRDefault="00772C62" w:rsidP="0085068E">
      <w:pPr>
        <w:rPr>
          <w:rStyle w:val="eop"/>
          <w:rFonts w:ascii="Arial" w:eastAsia="Times New Roman" w:hAnsi="Arial" w:cs="Arial"/>
        </w:rPr>
      </w:pPr>
      <w:r>
        <w:rPr>
          <w:rStyle w:val="normaltextrun"/>
          <w:rFonts w:eastAsia="Times New Roman"/>
          <w:color w:val="000000"/>
          <w:lang w:val="en-US"/>
        </w:rPr>
        <w:t xml:space="preserve">The October </w:t>
      </w:r>
      <w:r w:rsidR="008674D6">
        <w:rPr>
          <w:rStyle w:val="normaltextrun"/>
          <w:rFonts w:eastAsia="Times New Roman"/>
          <w:color w:val="000000"/>
          <w:lang w:val="en-US"/>
        </w:rPr>
        <w:t xml:space="preserve">2022 </w:t>
      </w:r>
      <w:r w:rsidR="0048511A">
        <w:rPr>
          <w:rStyle w:val="normaltextrun"/>
          <w:rFonts w:eastAsia="Times New Roman"/>
          <w:color w:val="000000"/>
          <w:lang w:val="en-US"/>
        </w:rPr>
        <w:t xml:space="preserve">Federal </w:t>
      </w:r>
      <w:r>
        <w:rPr>
          <w:rStyle w:val="normaltextrun"/>
          <w:rFonts w:eastAsia="Times New Roman"/>
          <w:color w:val="000000"/>
          <w:lang w:val="en-US"/>
        </w:rPr>
        <w:t>Budget included a ‘Wellbeing Statement’ in Budget Paper 1, framed as the “foundation of a conversation”.</w:t>
      </w:r>
      <w:r>
        <w:rPr>
          <w:rStyle w:val="normaltextrun"/>
          <w:rFonts w:eastAsia="Times New Roman"/>
          <w:color w:val="000000"/>
        </w:rPr>
        <w:t> </w:t>
      </w:r>
      <w:r>
        <w:rPr>
          <w:rStyle w:val="eop"/>
          <w:rFonts w:ascii="Arial" w:eastAsia="Times New Roman" w:hAnsi="Arial" w:cs="Arial"/>
          <w:lang w:val="en-US"/>
        </w:rPr>
        <w:t>​</w:t>
      </w:r>
      <w:r>
        <w:rPr>
          <w:rStyle w:val="normaltextrun"/>
          <w:rFonts w:eastAsia="Times New Roman"/>
          <w:color w:val="000000"/>
          <w:lang w:val="en-US"/>
        </w:rPr>
        <w:t xml:space="preserve">It provides an overview of wellbeing </w:t>
      </w:r>
      <w:r w:rsidR="0048511A">
        <w:rPr>
          <w:rStyle w:val="normaltextrun"/>
          <w:rFonts w:eastAsia="Times New Roman"/>
          <w:color w:val="000000"/>
          <w:lang w:val="en-US"/>
        </w:rPr>
        <w:t xml:space="preserve">measurement </w:t>
      </w:r>
      <w:r>
        <w:rPr>
          <w:rStyle w:val="normaltextrun"/>
          <w:rFonts w:eastAsia="Times New Roman"/>
          <w:color w:val="000000"/>
          <w:lang w:val="en-US"/>
        </w:rPr>
        <w:t xml:space="preserve">approaches </w:t>
      </w:r>
      <w:r w:rsidR="0085068E">
        <w:rPr>
          <w:rStyle w:val="normaltextrun"/>
          <w:rFonts w:eastAsia="Times New Roman"/>
          <w:color w:val="000000"/>
          <w:lang w:val="en-US"/>
        </w:rPr>
        <w:t xml:space="preserve">used </w:t>
      </w:r>
      <w:r>
        <w:rPr>
          <w:rStyle w:val="normaltextrun"/>
          <w:rFonts w:eastAsia="Times New Roman"/>
          <w:color w:val="000000"/>
          <w:lang w:val="en-US"/>
        </w:rPr>
        <w:t>around the world and the OECD’s wellbeing indicator framework</w:t>
      </w:r>
      <w:r w:rsidR="00872E7B">
        <w:rPr>
          <w:rStyle w:val="normaltextrun"/>
          <w:rFonts w:eastAsia="Times New Roman"/>
          <w:color w:val="000000"/>
          <w:lang w:val="en-US"/>
        </w:rPr>
        <w:t xml:space="preserve"> as a foundation for developing an Australian wellbeing framework</w:t>
      </w:r>
      <w:r>
        <w:rPr>
          <w:rStyle w:val="normaltextrun"/>
          <w:rFonts w:eastAsia="Times New Roman"/>
          <w:color w:val="000000"/>
          <w:lang w:val="en-US"/>
        </w:rPr>
        <w:t>.</w:t>
      </w:r>
      <w:r>
        <w:rPr>
          <w:rStyle w:val="normaltextrun"/>
          <w:rFonts w:eastAsia="Times New Roman"/>
          <w:color w:val="000000"/>
        </w:rPr>
        <w:t> </w:t>
      </w:r>
      <w:r>
        <w:rPr>
          <w:rStyle w:val="eop"/>
          <w:rFonts w:ascii="Arial" w:eastAsia="Times New Roman" w:hAnsi="Arial" w:cs="Arial"/>
        </w:rPr>
        <w:t>​</w:t>
      </w:r>
    </w:p>
    <w:p w14:paraId="7654D8A9" w14:textId="685805E3" w:rsidR="00402BF8" w:rsidRDefault="0085068E" w:rsidP="0085068E">
      <w:r w:rsidRPr="00233AB0">
        <w:t xml:space="preserve">ACOSS welcomes the opportunity to </w:t>
      </w:r>
      <w:r>
        <w:t xml:space="preserve">contribute to the Federal Government’s </w:t>
      </w:r>
      <w:r w:rsidRPr="00233AB0">
        <w:t xml:space="preserve">development of a national framework and indicators for measuring </w:t>
      </w:r>
      <w:r>
        <w:t>wellbeing</w:t>
      </w:r>
      <w:r w:rsidR="008C2929">
        <w:t xml:space="preserve">. We see a wellbeing framework and </w:t>
      </w:r>
      <w:r w:rsidR="00D70DCC">
        <w:t xml:space="preserve">its </w:t>
      </w:r>
      <w:r w:rsidR="008C2929">
        <w:t xml:space="preserve">measurement </w:t>
      </w:r>
      <w:r w:rsidR="00280DA9">
        <w:t xml:space="preserve">as able </w:t>
      </w:r>
      <w:r w:rsidR="00365DA5">
        <w:t xml:space="preserve">to </w:t>
      </w:r>
      <w:r w:rsidR="006C0627">
        <w:t>provid</w:t>
      </w:r>
      <w:r w:rsidR="00365DA5">
        <w:t>e</w:t>
      </w:r>
      <w:r w:rsidR="006C0627">
        <w:t xml:space="preserve"> insight </w:t>
      </w:r>
      <w:r w:rsidR="00217492">
        <w:t>in</w:t>
      </w:r>
      <w:r w:rsidR="00AB6AB4">
        <w:t xml:space="preserve">to </w:t>
      </w:r>
      <w:r w:rsidR="008C2929">
        <w:t xml:space="preserve">how people are </w:t>
      </w:r>
      <w:r w:rsidR="00280DA9">
        <w:t>faring</w:t>
      </w:r>
      <w:r w:rsidR="008C2929">
        <w:t xml:space="preserve"> in key aspects of life</w:t>
      </w:r>
      <w:r w:rsidR="00EA707C">
        <w:t xml:space="preserve"> and a framework against which the success of government policy can be assessed.</w:t>
      </w:r>
      <w:r w:rsidR="00AB6AB4">
        <w:t xml:space="preserve"> Importantly, it </w:t>
      </w:r>
      <w:r w:rsidR="00EA707C">
        <w:t>should deliver discipline in fiscal policy, targeting</w:t>
      </w:r>
      <w:r w:rsidR="008C2929">
        <w:t xml:space="preserve"> government to investment t</w:t>
      </w:r>
      <w:r w:rsidR="00FC7822">
        <w:t>o address</w:t>
      </w:r>
      <w:r w:rsidR="00AB6AB4">
        <w:t>ing</w:t>
      </w:r>
      <w:r w:rsidR="00FC7822">
        <w:t xml:space="preserve"> social inequities, reduc</w:t>
      </w:r>
      <w:r w:rsidR="00217492">
        <w:t>ing</w:t>
      </w:r>
      <w:r w:rsidR="00FC7822">
        <w:t xml:space="preserve"> </w:t>
      </w:r>
      <w:proofErr w:type="gramStart"/>
      <w:r w:rsidR="00FC7822">
        <w:t>poverty</w:t>
      </w:r>
      <w:proofErr w:type="gramEnd"/>
      <w:r w:rsidR="00FC7822">
        <w:t xml:space="preserve"> and build</w:t>
      </w:r>
      <w:r w:rsidR="00217492">
        <w:t>ing</w:t>
      </w:r>
      <w:r w:rsidR="00FC7822">
        <w:t xml:space="preserve"> resilience to future shocks and risks. </w:t>
      </w:r>
      <w:r w:rsidR="00900F5F">
        <w:t xml:space="preserve">ACOSS considers the development of a </w:t>
      </w:r>
      <w:r w:rsidR="00EA707C">
        <w:t>W</w:t>
      </w:r>
      <w:r w:rsidR="00900F5F">
        <w:t xml:space="preserve">ellbeing </w:t>
      </w:r>
      <w:r w:rsidR="00EA707C">
        <w:t>F</w:t>
      </w:r>
      <w:r w:rsidR="00900F5F">
        <w:t xml:space="preserve">ramework </w:t>
      </w:r>
      <w:r w:rsidR="00402BF8">
        <w:t>as an important commitment from the Government to drive a national shift in public policy debates from a narrow focus on, for e</w:t>
      </w:r>
      <w:r w:rsidR="005211A4">
        <w:t xml:space="preserve">xample, </w:t>
      </w:r>
      <w:r w:rsidR="00402BF8">
        <w:t>G</w:t>
      </w:r>
      <w:r w:rsidR="005211A4">
        <w:t xml:space="preserve">ross </w:t>
      </w:r>
      <w:r w:rsidR="00402BF8">
        <w:t>D</w:t>
      </w:r>
      <w:r w:rsidR="005211A4">
        <w:t xml:space="preserve">omestic Product (GDP) </w:t>
      </w:r>
      <w:r w:rsidR="00402BF8">
        <w:t xml:space="preserve">as a measure of national success towards measures that reflect what matters to people and communities. </w:t>
      </w:r>
    </w:p>
    <w:p w14:paraId="4A2B8BA3" w14:textId="47C076CC" w:rsidR="00900F5F" w:rsidRDefault="00402BF8" w:rsidP="0085068E">
      <w:r>
        <w:t>Developing a Wellbeing Framework is a welcome process that</w:t>
      </w:r>
      <w:r w:rsidR="00117E38">
        <w:t xml:space="preserve"> should remain open to </w:t>
      </w:r>
      <w:r w:rsidR="00217492">
        <w:t>adjustments</w:t>
      </w:r>
      <w:r w:rsidR="00117E38">
        <w:t xml:space="preserve"> </w:t>
      </w:r>
      <w:r>
        <w:t xml:space="preserve">over time. </w:t>
      </w:r>
      <w:r w:rsidR="00117E38">
        <w:t xml:space="preserve">Australia’s understanding and use of the framework and indicators </w:t>
      </w:r>
      <w:r>
        <w:t xml:space="preserve">will </w:t>
      </w:r>
      <w:r w:rsidR="00217492">
        <w:t>evolve as new data becomes available</w:t>
      </w:r>
      <w:r w:rsidR="00117E38">
        <w:t>.</w:t>
      </w:r>
    </w:p>
    <w:p w14:paraId="4B09E57E" w14:textId="3B5ACB69" w:rsidR="0085068E" w:rsidRDefault="00A42DCE" w:rsidP="0085068E">
      <w:r>
        <w:t>In this submission, ACOSS outlines a number of</w:t>
      </w:r>
      <w:r w:rsidR="0085068E">
        <w:t xml:space="preserve"> </w:t>
      </w:r>
      <w:r w:rsidR="00217492">
        <w:t>priorities</w:t>
      </w:r>
      <w:r w:rsidR="0085068E">
        <w:t xml:space="preserve"> for the </w:t>
      </w:r>
      <w:r w:rsidR="00365DA5">
        <w:t>development of a</w:t>
      </w:r>
      <w:r>
        <w:t>n Australian</w:t>
      </w:r>
      <w:r w:rsidR="00365DA5">
        <w:t xml:space="preserve"> </w:t>
      </w:r>
      <w:r>
        <w:t>W</w:t>
      </w:r>
      <w:r w:rsidR="00365DA5">
        <w:t xml:space="preserve">ellbeing </w:t>
      </w:r>
      <w:r>
        <w:t>F</w:t>
      </w:r>
      <w:r w:rsidR="0085068E">
        <w:t>ramework</w:t>
      </w:r>
      <w:r>
        <w:t>:</w:t>
      </w:r>
    </w:p>
    <w:p w14:paraId="627A77F3" w14:textId="53CF12D5" w:rsidR="00D04061" w:rsidRPr="00AC45A4" w:rsidRDefault="00D04061" w:rsidP="00AC45A4">
      <w:pPr>
        <w:pStyle w:val="ListParagraph"/>
        <w:numPr>
          <w:ilvl w:val="0"/>
          <w:numId w:val="18"/>
        </w:numPr>
        <w:spacing w:line="240" w:lineRule="auto"/>
      </w:pPr>
      <w:r w:rsidRPr="00AC45A4">
        <w:lastRenderedPageBreak/>
        <w:t xml:space="preserve">The Wellbeing Framework should be a mechanism for driving </w:t>
      </w:r>
      <w:r w:rsidR="00402BF8">
        <w:t xml:space="preserve">policy and </w:t>
      </w:r>
      <w:r w:rsidRPr="00AC45A4">
        <w:t xml:space="preserve">progress, not just for measuring it. </w:t>
      </w:r>
    </w:p>
    <w:p w14:paraId="10920613" w14:textId="6D0EE8C6" w:rsidR="00D04061" w:rsidRPr="00AC45A4" w:rsidRDefault="00D04061" w:rsidP="00AC45A4">
      <w:pPr>
        <w:pStyle w:val="ListParagraph"/>
        <w:numPr>
          <w:ilvl w:val="0"/>
          <w:numId w:val="18"/>
        </w:numPr>
        <w:spacing w:line="240" w:lineRule="auto"/>
      </w:pPr>
      <w:r w:rsidRPr="00AC45A4">
        <w:t>The Wellbeing Framework should be embedded in the Budget policy development process.</w:t>
      </w:r>
    </w:p>
    <w:p w14:paraId="4CFFD307" w14:textId="43149610" w:rsidR="00D04061" w:rsidRPr="00AC45A4" w:rsidRDefault="00D04061" w:rsidP="00AC45A4">
      <w:pPr>
        <w:pStyle w:val="List3"/>
        <w:numPr>
          <w:ilvl w:val="0"/>
          <w:numId w:val="18"/>
        </w:numPr>
        <w:spacing w:line="240" w:lineRule="auto"/>
      </w:pPr>
      <w:r w:rsidRPr="00AC45A4">
        <w:t>The Wellbeing Framework, goals and indicators should be mapped to major Commonwealth Government programs.</w:t>
      </w:r>
    </w:p>
    <w:p w14:paraId="7A6D4749" w14:textId="79639BA6" w:rsidR="00D04061" w:rsidRPr="00AC45A4" w:rsidRDefault="00D04061" w:rsidP="00AC45A4">
      <w:pPr>
        <w:pStyle w:val="ListParagraph"/>
        <w:numPr>
          <w:ilvl w:val="0"/>
          <w:numId w:val="18"/>
        </w:numPr>
        <w:spacing w:line="240" w:lineRule="auto"/>
      </w:pPr>
      <w:r w:rsidRPr="00AC45A4">
        <w:t>The Wellbeing Framework should be an effective tool for reducing poverty across communities and improving equity in budget policy making</w:t>
      </w:r>
      <w:r w:rsidR="001761D3">
        <w:t>, including through distributional modelling of impacts of major policy measures</w:t>
      </w:r>
      <w:r w:rsidRPr="00AC45A4">
        <w:t xml:space="preserve">. </w:t>
      </w:r>
    </w:p>
    <w:p w14:paraId="68BC997A" w14:textId="6126BD4B" w:rsidR="00AC45A4" w:rsidRPr="00AC45A4" w:rsidRDefault="00A42DCE" w:rsidP="00AC45A4">
      <w:pPr>
        <w:pStyle w:val="ListParagraph"/>
        <w:numPr>
          <w:ilvl w:val="0"/>
          <w:numId w:val="18"/>
        </w:numPr>
        <w:spacing w:line="240" w:lineRule="auto"/>
      </w:pPr>
      <w:r>
        <w:t>The Government should take a staged and adaptive approach to</w:t>
      </w:r>
      <w:r w:rsidR="00AC45A4" w:rsidRPr="00AC45A4">
        <w:t xml:space="preserve"> the development of the </w:t>
      </w:r>
      <w:r>
        <w:t>W</w:t>
      </w:r>
      <w:r w:rsidR="00AC45A4" w:rsidRPr="00AC45A4">
        <w:t xml:space="preserve">ellbeing </w:t>
      </w:r>
      <w:r>
        <w:t>F</w:t>
      </w:r>
      <w:r w:rsidR="00AC45A4" w:rsidRPr="00AC45A4">
        <w:t>ramework</w:t>
      </w:r>
      <w:r>
        <w:t>.</w:t>
      </w:r>
    </w:p>
    <w:p w14:paraId="214D4C1F" w14:textId="58C33243" w:rsidR="00AC45A4" w:rsidRPr="00AC45A4" w:rsidRDefault="00A42DCE" w:rsidP="00AC45A4">
      <w:pPr>
        <w:pStyle w:val="ListParagraph"/>
        <w:numPr>
          <w:ilvl w:val="0"/>
          <w:numId w:val="18"/>
        </w:numPr>
        <w:spacing w:line="240" w:lineRule="auto"/>
      </w:pPr>
      <w:r>
        <w:t>The Government should e</w:t>
      </w:r>
      <w:r w:rsidR="00AC45A4" w:rsidRPr="00AC45A4">
        <w:t xml:space="preserve">ngage a wide range of diverse stakeholders in </w:t>
      </w:r>
      <w:r>
        <w:t xml:space="preserve">the </w:t>
      </w:r>
      <w:r w:rsidR="003B18BF">
        <w:t xml:space="preserve">ongoing development, </w:t>
      </w:r>
      <w:r w:rsidR="003B18BF" w:rsidRPr="00AC45A4">
        <w:t>implementation,</w:t>
      </w:r>
      <w:r w:rsidR="00AC45A4" w:rsidRPr="00AC45A4">
        <w:t xml:space="preserve"> </w:t>
      </w:r>
      <w:r w:rsidR="005F0A29">
        <w:t xml:space="preserve">and review </w:t>
      </w:r>
      <w:r w:rsidR="00AC45A4" w:rsidRPr="00AC45A4">
        <w:t xml:space="preserve">of </w:t>
      </w:r>
      <w:r>
        <w:t>the W</w:t>
      </w:r>
      <w:r w:rsidR="00AC45A4" w:rsidRPr="00AC45A4">
        <w:t xml:space="preserve">ellbeing </w:t>
      </w:r>
      <w:r>
        <w:t>F</w:t>
      </w:r>
      <w:r w:rsidR="00AC45A4" w:rsidRPr="00AC45A4">
        <w:t>ramework</w:t>
      </w:r>
      <w:r>
        <w:t>, including direct citizen dialogues</w:t>
      </w:r>
      <w:r w:rsidR="00AC45A4" w:rsidRPr="00AC45A4">
        <w:t xml:space="preserve">. </w:t>
      </w:r>
    </w:p>
    <w:p w14:paraId="10A5A00D" w14:textId="02DD1258" w:rsidR="00AC45A4" w:rsidRPr="00AC45A4" w:rsidRDefault="00A42DCE" w:rsidP="00AC45A4">
      <w:pPr>
        <w:pStyle w:val="ListParagraph"/>
        <w:numPr>
          <w:ilvl w:val="0"/>
          <w:numId w:val="18"/>
        </w:numPr>
        <w:spacing w:line="240" w:lineRule="auto"/>
      </w:pPr>
      <w:r>
        <w:t>The Government should h</w:t>
      </w:r>
      <w:r w:rsidR="00AC45A4" w:rsidRPr="00AC45A4">
        <w:t>arness the expertise and networks of the community sector</w:t>
      </w:r>
      <w:r w:rsidR="001761D3">
        <w:t xml:space="preserve"> in development, implementation and civic engagement</w:t>
      </w:r>
      <w:r w:rsidR="00AC45A4" w:rsidRPr="00AC45A4">
        <w:t>.</w:t>
      </w:r>
    </w:p>
    <w:p w14:paraId="75581259" w14:textId="31F03537" w:rsidR="00A42DCE" w:rsidRPr="00A42DCE" w:rsidRDefault="00A42DCE" w:rsidP="00A42DCE">
      <w:pPr>
        <w:pStyle w:val="ListParagraph"/>
        <w:numPr>
          <w:ilvl w:val="0"/>
          <w:numId w:val="18"/>
        </w:numPr>
      </w:pPr>
      <w:r w:rsidRPr="00A42DCE">
        <w:t>The Government should establish a reference group to support the development and implementation of the Wellbeing Framework</w:t>
      </w:r>
      <w:r>
        <w:t>.</w:t>
      </w:r>
    </w:p>
    <w:p w14:paraId="7D697542" w14:textId="76DFF8AA" w:rsidR="00AC45A4" w:rsidRPr="00AC45A4" w:rsidRDefault="00AC45A4" w:rsidP="00AC45A4">
      <w:pPr>
        <w:pStyle w:val="ListParagraph"/>
        <w:numPr>
          <w:ilvl w:val="0"/>
          <w:numId w:val="18"/>
        </w:numPr>
        <w:spacing w:line="240" w:lineRule="auto"/>
        <w:rPr>
          <w:rStyle w:val="normaltextrun"/>
          <w:rFonts w:eastAsia="Times New Roman"/>
          <w:lang w:val="en-US"/>
        </w:rPr>
      </w:pPr>
      <w:r w:rsidRPr="00AC45A4">
        <w:rPr>
          <w:rStyle w:val="normaltextrun"/>
          <w:rFonts w:eastAsia="Times New Roman"/>
          <w:lang w:val="en-US"/>
        </w:rPr>
        <w:t>The Wellbeing Framework should contain measures both of overall wellbeing and the distribution of wellbeing</w:t>
      </w:r>
      <w:r w:rsidR="00A42DCE">
        <w:rPr>
          <w:rStyle w:val="normaltextrun"/>
          <w:rFonts w:eastAsia="Times New Roman"/>
          <w:lang w:val="en-US"/>
        </w:rPr>
        <w:t>.</w:t>
      </w:r>
    </w:p>
    <w:p w14:paraId="61F67CB1" w14:textId="70F00C14" w:rsidR="00D04061" w:rsidRPr="00AC45A4" w:rsidRDefault="00AC45A4" w:rsidP="00AC45A4">
      <w:pPr>
        <w:pStyle w:val="ListParagraph"/>
        <w:numPr>
          <w:ilvl w:val="0"/>
          <w:numId w:val="18"/>
        </w:numPr>
        <w:spacing w:line="240" w:lineRule="auto"/>
        <w:rPr>
          <w:lang w:val="en-US"/>
        </w:rPr>
      </w:pPr>
      <w:r w:rsidRPr="00AC45A4">
        <w:rPr>
          <w:lang w:val="en-US"/>
        </w:rPr>
        <w:t xml:space="preserve">A headline poverty measure </w:t>
      </w:r>
      <w:r w:rsidR="005F0A29">
        <w:rPr>
          <w:lang w:val="en-US"/>
        </w:rPr>
        <w:t xml:space="preserve">and target </w:t>
      </w:r>
      <w:r w:rsidRPr="00AC45A4">
        <w:rPr>
          <w:lang w:val="en-US"/>
        </w:rPr>
        <w:t>should be included in the Australian Wellbeing Framework</w:t>
      </w:r>
      <w:r w:rsidR="00A42DCE">
        <w:rPr>
          <w:lang w:val="en-US"/>
        </w:rPr>
        <w:t>.</w:t>
      </w:r>
    </w:p>
    <w:p w14:paraId="33EED6EE" w14:textId="7540B390" w:rsidR="004238CE" w:rsidRPr="002C5C18" w:rsidRDefault="00A76F5B" w:rsidP="002C5C18">
      <w:pPr>
        <w:pStyle w:val="Heading1"/>
      </w:pPr>
      <w:r w:rsidRPr="00B07C04">
        <w:t>Discussion</w:t>
      </w:r>
    </w:p>
    <w:p w14:paraId="17819D3E" w14:textId="63399AA7" w:rsidR="00A712C3" w:rsidRDefault="00634DCF" w:rsidP="00A04ECE">
      <w:pPr>
        <w:pStyle w:val="Heading3"/>
      </w:pPr>
      <w:r>
        <w:t xml:space="preserve">Purpose and application </w:t>
      </w:r>
      <w:r w:rsidR="003E3246">
        <w:t xml:space="preserve">of indicators </w:t>
      </w:r>
    </w:p>
    <w:p w14:paraId="67C0461B" w14:textId="60049A26" w:rsidR="00D24891" w:rsidRDefault="004238CE" w:rsidP="00882405">
      <w:r>
        <w:t xml:space="preserve">ACOSS </w:t>
      </w:r>
      <w:r w:rsidR="00280DA9">
        <w:t>welcomes</w:t>
      </w:r>
      <w:r w:rsidR="002C7E17">
        <w:t xml:space="preserve"> the Australian Government</w:t>
      </w:r>
      <w:r>
        <w:t xml:space="preserve"> </w:t>
      </w:r>
      <w:r w:rsidR="00280DA9">
        <w:t>proposal to introduce</w:t>
      </w:r>
      <w:r>
        <w:t xml:space="preserve"> a wellbeing framework to provide insight to the country’s performance </w:t>
      </w:r>
      <w:r w:rsidR="00280DA9">
        <w:t>beyond macro-economic indices like GDP</w:t>
      </w:r>
      <w:r w:rsidR="00AE370F">
        <w:t xml:space="preserve"> and provide </w:t>
      </w:r>
      <w:r w:rsidR="005141AE">
        <w:t>a framework</w:t>
      </w:r>
      <w:r w:rsidR="00AE370F">
        <w:t xml:space="preserve"> for </w:t>
      </w:r>
      <w:r w:rsidR="005141AE">
        <w:t>progressive</w:t>
      </w:r>
      <w:r w:rsidR="00AE370F">
        <w:t xml:space="preserve"> </w:t>
      </w:r>
      <w:r w:rsidR="005141AE">
        <w:t>budget policy decisions.</w:t>
      </w:r>
      <w:r>
        <w:t xml:space="preserve"> </w:t>
      </w:r>
    </w:p>
    <w:p w14:paraId="67C905C5" w14:textId="72C0F16D" w:rsidR="00D24891" w:rsidRDefault="00D24891" w:rsidP="00D24891">
      <w:pPr>
        <w:pStyle w:val="ListParagraph"/>
        <w:numPr>
          <w:ilvl w:val="0"/>
          <w:numId w:val="8"/>
        </w:numPr>
      </w:pPr>
      <w:r>
        <w:rPr>
          <w:b/>
          <w:bCs/>
        </w:rPr>
        <w:t>The</w:t>
      </w:r>
      <w:r w:rsidRPr="00B90F5B">
        <w:rPr>
          <w:b/>
          <w:bCs/>
        </w:rPr>
        <w:t xml:space="preserve"> wellbeing framework </w:t>
      </w:r>
      <w:r>
        <w:rPr>
          <w:b/>
          <w:bCs/>
        </w:rPr>
        <w:t>should be</w:t>
      </w:r>
      <w:r w:rsidRPr="00B90F5B">
        <w:rPr>
          <w:b/>
          <w:bCs/>
        </w:rPr>
        <w:t xml:space="preserve"> a mechanism for driving </w:t>
      </w:r>
      <w:r w:rsidR="005F0A29">
        <w:rPr>
          <w:b/>
          <w:bCs/>
        </w:rPr>
        <w:t xml:space="preserve">policy and </w:t>
      </w:r>
      <w:r w:rsidRPr="00B90F5B">
        <w:rPr>
          <w:b/>
          <w:bCs/>
        </w:rPr>
        <w:t>progress, not just for measuring it.</w:t>
      </w:r>
      <w:r>
        <w:t xml:space="preserve"> </w:t>
      </w:r>
    </w:p>
    <w:p w14:paraId="6A0313AF" w14:textId="32A182BD" w:rsidR="00D24891" w:rsidRPr="00D04061" w:rsidRDefault="00D24891" w:rsidP="00D04061">
      <w:r>
        <w:t xml:space="preserve">This should be achieved through the setting of high-level wellbeing goals, informed by a participatory community consultation process, which reflect the priorities and values of the community. The achievement of these goals should be the primary focus of the wellbeing framework and inform Budget policy decisions. The measurement of wellbeing through useful indicators then provides a mechanism to track progress, rather than being an end in and of itself. </w:t>
      </w:r>
    </w:p>
    <w:p w14:paraId="1317153E" w14:textId="77777777" w:rsidR="00D24891" w:rsidRPr="008B178E" w:rsidRDefault="00D24891" w:rsidP="00D24891">
      <w:pPr>
        <w:pStyle w:val="ListParagraph"/>
        <w:numPr>
          <w:ilvl w:val="0"/>
          <w:numId w:val="8"/>
        </w:numPr>
      </w:pPr>
      <w:r>
        <w:rPr>
          <w:b/>
          <w:bCs/>
        </w:rPr>
        <w:lastRenderedPageBreak/>
        <w:t>The</w:t>
      </w:r>
      <w:r w:rsidRPr="005141AE">
        <w:rPr>
          <w:b/>
          <w:bCs/>
        </w:rPr>
        <w:t xml:space="preserve"> Wellbeing Framework should be embedded in the Budget policy development process</w:t>
      </w:r>
      <w:r>
        <w:rPr>
          <w:b/>
          <w:bCs/>
        </w:rPr>
        <w:t xml:space="preserve">. </w:t>
      </w:r>
    </w:p>
    <w:p w14:paraId="779697E1" w14:textId="77777777" w:rsidR="00D24891" w:rsidRPr="008B178E" w:rsidRDefault="00D24891" w:rsidP="00D24891">
      <w:pPr>
        <w:rPr>
          <w:rFonts w:cs="Arial"/>
          <w:lang w:val="en-US"/>
        </w:rPr>
      </w:pPr>
      <w:r w:rsidRPr="008B178E">
        <w:rPr>
          <w:rStyle w:val="normaltextrun"/>
          <w:rFonts w:eastAsia="Times New Roman"/>
          <w:color w:val="000000"/>
          <w:lang w:val="en-US"/>
        </w:rPr>
        <w:t>Australia is at the beginning of a national wellbeing measurement journey, preceded by Scotland, Italy, the United Kingdom, New Zealand, Germany, Canada, Ireland and Iceland.</w:t>
      </w:r>
      <w:r w:rsidRPr="008B178E">
        <w:rPr>
          <w:rStyle w:val="normaltextrun"/>
          <w:rFonts w:eastAsia="Times New Roman"/>
          <w:color w:val="000000"/>
        </w:rPr>
        <w:t> </w:t>
      </w:r>
      <w:r w:rsidRPr="008B178E">
        <w:rPr>
          <w:rStyle w:val="eop"/>
          <w:rFonts w:ascii="Arial" w:eastAsia="Times New Roman" w:hAnsi="Arial" w:cs="Arial"/>
        </w:rPr>
        <w:t>​</w:t>
      </w:r>
      <w:r w:rsidRPr="008B178E">
        <w:rPr>
          <w:rStyle w:val="eop"/>
          <w:rFonts w:eastAsia="Times New Roman" w:cs="Arial"/>
        </w:rPr>
        <w:t xml:space="preserve">That enables us to learn from the experiences of other jurisdictions and set standards for ourselves informed by their experiences. While </w:t>
      </w:r>
      <w:r w:rsidRPr="008B178E">
        <w:rPr>
          <w:rStyle w:val="normaltextrun"/>
          <w:rFonts w:eastAsia="Times New Roman"/>
          <w:color w:val="000000"/>
          <w:lang w:val="en-US"/>
        </w:rPr>
        <w:t xml:space="preserve">the Government’s Budget Wellbeing Statement notes that only a minority of countries have embedded wellbeing approaches into their budgets, ACOSS views this as essential and urges the Government to aim to be best practice in the way the Wellbeing Framework is used to inform budget policy making.  </w:t>
      </w:r>
    </w:p>
    <w:p w14:paraId="674D80F5" w14:textId="77777777" w:rsidR="00D24891" w:rsidRDefault="00D24891" w:rsidP="00D24891">
      <w:r w:rsidRPr="005141AE">
        <w:t>This should require distributional modelling of major policies</w:t>
      </w:r>
      <w:r>
        <w:t xml:space="preserve">, including direct and tax expenditures, </w:t>
      </w:r>
      <w:r w:rsidRPr="005141AE">
        <w:t xml:space="preserve">to be </w:t>
      </w:r>
      <w:r>
        <w:t xml:space="preserve">considered in the process of budget policy decision making and </w:t>
      </w:r>
      <w:r w:rsidRPr="005141AE">
        <w:t xml:space="preserve">published as part of the Budget papers. </w:t>
      </w:r>
    </w:p>
    <w:p w14:paraId="2C077336" w14:textId="72664869" w:rsidR="00D24891" w:rsidRPr="00D04061" w:rsidRDefault="00D24891" w:rsidP="00D04061">
      <w:pPr>
        <w:pStyle w:val="List3"/>
        <w:numPr>
          <w:ilvl w:val="0"/>
          <w:numId w:val="8"/>
        </w:numPr>
        <w:rPr>
          <w:b/>
          <w:bCs/>
        </w:rPr>
      </w:pPr>
      <w:r>
        <w:rPr>
          <w:b/>
          <w:bCs/>
        </w:rPr>
        <w:t>The Wellbeing Framework, goals and indicators should be mapped to major Commonwealth Government programs.</w:t>
      </w:r>
    </w:p>
    <w:p w14:paraId="34DB9B89" w14:textId="562768A4" w:rsidR="00D24891" w:rsidRDefault="00D24891" w:rsidP="00D24891">
      <w:pPr>
        <w:rPr>
          <w:rStyle w:val="normaltextrun"/>
          <w:rFonts w:eastAsia="Times New Roman"/>
          <w:lang w:val="en-US"/>
        </w:rPr>
      </w:pPr>
      <w:r>
        <w:rPr>
          <w:rStyle w:val="normaltextrun"/>
          <w:rFonts w:eastAsia="Times New Roman"/>
          <w:lang w:val="en-US"/>
        </w:rPr>
        <w:t xml:space="preserve">The wellbeing framework must be more than a list of indicators. The connections between indicators, and between them and government programs that impact wellbeing, must be drawn. In this submission, we have used the Irish Wellbeing Framework as an illustrative example </w:t>
      </w:r>
      <w:r w:rsidR="00D04061">
        <w:rPr>
          <w:rStyle w:val="normaltextrun"/>
          <w:rFonts w:eastAsia="Times New Roman"/>
          <w:lang w:val="en-US"/>
        </w:rPr>
        <w:t xml:space="preserve">to </w:t>
      </w:r>
      <w:r>
        <w:rPr>
          <w:rStyle w:val="normaltextrun"/>
          <w:rFonts w:eastAsia="Times New Roman"/>
          <w:lang w:val="en-US"/>
        </w:rPr>
        <w:t xml:space="preserve">map key domains of life against four primary metrics for measuring progress, a non-exhaustive list of possible indicators of wellbeing within each domain (drawn from the OECD wellbeing indicators), and major Commonwealth government programs impacting on each domain. </w:t>
      </w:r>
    </w:p>
    <w:p w14:paraId="67EAA418" w14:textId="5C210D5F" w:rsidR="00D24891" w:rsidRDefault="00D24891" w:rsidP="00D24891">
      <w:pPr>
        <w:pStyle w:val="ListParagraph"/>
        <w:numPr>
          <w:ilvl w:val="0"/>
          <w:numId w:val="8"/>
        </w:numPr>
      </w:pPr>
      <w:r>
        <w:rPr>
          <w:b/>
          <w:bCs/>
        </w:rPr>
        <w:t>The Wellbeing Framework should</w:t>
      </w:r>
      <w:r w:rsidRPr="00B90F5B">
        <w:rPr>
          <w:b/>
          <w:bCs/>
        </w:rPr>
        <w:t xml:space="preserve"> </w:t>
      </w:r>
      <w:r>
        <w:rPr>
          <w:b/>
          <w:bCs/>
        </w:rPr>
        <w:t>be an</w:t>
      </w:r>
      <w:r w:rsidRPr="00B90F5B">
        <w:rPr>
          <w:b/>
          <w:bCs/>
        </w:rPr>
        <w:t xml:space="preserve"> effective tool for reducing poverty across communities and </w:t>
      </w:r>
      <w:r>
        <w:rPr>
          <w:b/>
          <w:bCs/>
        </w:rPr>
        <w:t>improving equity in budget policy making</w:t>
      </w:r>
      <w:r w:rsidR="001761D3" w:rsidRPr="001761D3">
        <w:rPr>
          <w:b/>
          <w:bCs/>
        </w:rPr>
        <w:t>, including through distributional modelling of impacts of major policy measures</w:t>
      </w:r>
      <w:r w:rsidRPr="001761D3">
        <w:rPr>
          <w:b/>
          <w:bCs/>
        </w:rPr>
        <w:t>.</w:t>
      </w:r>
      <w:r>
        <w:t xml:space="preserve"> </w:t>
      </w:r>
    </w:p>
    <w:p w14:paraId="340104E3" w14:textId="2BD3B0CE" w:rsidR="005D680B" w:rsidRDefault="005F0A29" w:rsidP="005D680B">
      <w:proofErr w:type="gramStart"/>
      <w:r>
        <w:t xml:space="preserve">A </w:t>
      </w:r>
      <w:r w:rsidR="005D680B">
        <w:t>first</w:t>
      </w:r>
      <w:r w:rsidR="00D24891" w:rsidRPr="0014482B">
        <w:t xml:space="preserve"> priority</w:t>
      </w:r>
      <w:proofErr w:type="gramEnd"/>
      <w:r w:rsidR="00D24891" w:rsidRPr="0014482B">
        <w:t xml:space="preserve"> for </w:t>
      </w:r>
      <w:r w:rsidR="00D24891">
        <w:t>ACOSS</w:t>
      </w:r>
      <w:r w:rsidR="00D24891" w:rsidRPr="0014482B">
        <w:t xml:space="preserve"> is that the framework includes a poverty reduction </w:t>
      </w:r>
      <w:r w:rsidR="00D24891">
        <w:t xml:space="preserve">goal, </w:t>
      </w:r>
      <w:r w:rsidR="00D24891" w:rsidRPr="0014482B">
        <w:t>target</w:t>
      </w:r>
      <w:r w:rsidR="00D24891">
        <w:t>s</w:t>
      </w:r>
      <w:r w:rsidR="00D24891" w:rsidRPr="0014482B">
        <w:t xml:space="preserve"> and</w:t>
      </w:r>
      <w:r w:rsidR="00D24891">
        <w:t xml:space="preserve"> relevant</w:t>
      </w:r>
      <w:r w:rsidR="00D24891" w:rsidRPr="0014482B">
        <w:t xml:space="preserve"> indicator</w:t>
      </w:r>
      <w:r w:rsidR="00D24891">
        <w:t>(s). Unfortunately, Australia has</w:t>
      </w:r>
      <w:r w:rsidR="00D24891" w:rsidRPr="0014482B">
        <w:t xml:space="preserve"> no national def</w:t>
      </w:r>
      <w:r w:rsidR="00D24891">
        <w:t>initio</w:t>
      </w:r>
      <w:r w:rsidR="00D24891" w:rsidRPr="0014482B">
        <w:t xml:space="preserve">n </w:t>
      </w:r>
      <w:r w:rsidR="00D24891">
        <w:t>of poverty, n</w:t>
      </w:r>
      <w:r w:rsidR="00D24891" w:rsidRPr="0014482B">
        <w:t xml:space="preserve">or </w:t>
      </w:r>
      <w:r w:rsidR="00D24891">
        <w:t xml:space="preserve">a </w:t>
      </w:r>
      <w:r w:rsidR="00D24891" w:rsidRPr="0014482B">
        <w:t xml:space="preserve">plan to reduce </w:t>
      </w:r>
      <w:r w:rsidR="00D24891">
        <w:t>it</w:t>
      </w:r>
      <w:r w:rsidR="00D24891" w:rsidRPr="0014482B">
        <w:t>.</w:t>
      </w:r>
      <w:r w:rsidR="00D24891">
        <w:t xml:space="preserve"> As freedom from poverty is a key determinant of wellbeing, this should be a </w:t>
      </w:r>
      <w:r w:rsidR="00D24891" w:rsidRPr="0014482B">
        <w:t>headline indicator</w:t>
      </w:r>
      <w:r w:rsidR="00D24891">
        <w:t xml:space="preserve"> for Australia’s framework – commencing with</w:t>
      </w:r>
      <w:r w:rsidR="00D24891" w:rsidRPr="0014482B">
        <w:t xml:space="preserve"> developing an agreed national definition</w:t>
      </w:r>
      <w:r w:rsidR="00D24891">
        <w:t xml:space="preserve"> </w:t>
      </w:r>
      <w:r w:rsidR="00D24891" w:rsidRPr="0014482B">
        <w:t>(in dialogue with academic experts, people directly affected</w:t>
      </w:r>
      <w:r w:rsidR="00D24891">
        <w:t xml:space="preserve"> by poverty</w:t>
      </w:r>
      <w:r w:rsidR="00D24891" w:rsidRPr="0014482B">
        <w:t>, advocates</w:t>
      </w:r>
      <w:r w:rsidR="00D24891">
        <w:t>,</w:t>
      </w:r>
      <w:r w:rsidR="00D24891" w:rsidRPr="0014482B">
        <w:t xml:space="preserve"> </w:t>
      </w:r>
      <w:r w:rsidR="00D24891">
        <w:t>and other relevant parties</w:t>
      </w:r>
      <w:r w:rsidR="00D24891" w:rsidRPr="0014482B">
        <w:t xml:space="preserve">). </w:t>
      </w:r>
      <w:r w:rsidR="00D24891">
        <w:t xml:space="preserve">Any definition and plan </w:t>
      </w:r>
      <w:r w:rsidR="00D24891" w:rsidRPr="0014482B">
        <w:t>must reflect the S</w:t>
      </w:r>
      <w:r w:rsidR="00F65830">
        <w:t xml:space="preserve">ustainable </w:t>
      </w:r>
      <w:r w:rsidR="00D24891" w:rsidRPr="0014482B">
        <w:t>D</w:t>
      </w:r>
      <w:r w:rsidR="00F65830">
        <w:t xml:space="preserve">evelopment </w:t>
      </w:r>
      <w:r w:rsidR="00D24891" w:rsidRPr="0014482B">
        <w:t>G</w:t>
      </w:r>
      <w:r w:rsidR="00F65830">
        <w:t>oal (GDP)</w:t>
      </w:r>
      <w:r w:rsidR="00D24891" w:rsidRPr="0014482B">
        <w:t xml:space="preserve"> </w:t>
      </w:r>
      <w:r w:rsidR="00D24891">
        <w:t xml:space="preserve">1 </w:t>
      </w:r>
      <w:r w:rsidR="00D24891" w:rsidRPr="0014482B">
        <w:t xml:space="preserve">commitment </w:t>
      </w:r>
      <w:r w:rsidR="00D24891">
        <w:t xml:space="preserve">to </w:t>
      </w:r>
      <w:r w:rsidR="00D24891" w:rsidRPr="006C0627">
        <w:t>halv</w:t>
      </w:r>
      <w:r w:rsidR="00D24891">
        <w:t>e</w:t>
      </w:r>
      <w:r w:rsidR="00D24891" w:rsidRPr="006C0627">
        <w:t xml:space="preserve"> the number of </w:t>
      </w:r>
      <w:r w:rsidR="00D24891">
        <w:t xml:space="preserve">people </w:t>
      </w:r>
      <w:r w:rsidR="00D24891" w:rsidRPr="006C0627">
        <w:t>living in poverty</w:t>
      </w:r>
      <w:r w:rsidR="00D24891">
        <w:t xml:space="preserve"> by 2030,</w:t>
      </w:r>
      <w:r w:rsidR="00D24891" w:rsidRPr="006C0627">
        <w:t xml:space="preserve"> according to national definitions</w:t>
      </w:r>
      <w:r w:rsidR="00D24891">
        <w:t>.</w:t>
      </w:r>
    </w:p>
    <w:p w14:paraId="02ECFD5E" w14:textId="6236E27F" w:rsidR="005D680B" w:rsidRPr="003B18BF" w:rsidRDefault="005D680B" w:rsidP="00D24891">
      <w:r w:rsidRPr="003B18BF">
        <w:t xml:space="preserve">In addition, we encourage the Framework to include SDG </w:t>
      </w:r>
      <w:r w:rsidR="00F65830" w:rsidRPr="003B18BF">
        <w:t xml:space="preserve">10 </w:t>
      </w:r>
      <w:r w:rsidRPr="003B18BF">
        <w:t>(</w:t>
      </w:r>
      <w:r w:rsidR="00F65830" w:rsidRPr="003B18BF">
        <w:t xml:space="preserve">Reduced Inequalities) which includes a target to </w:t>
      </w:r>
      <w:r w:rsidR="00F65830" w:rsidRPr="003B18BF">
        <w:rPr>
          <w:shd w:val="clear" w:color="auto" w:fill="FFFFFF"/>
        </w:rPr>
        <w:t>progressively achieve and sustain income growth of the bottom 40 per cent of the population at a rate higher than the national average</w:t>
      </w:r>
      <w:r w:rsidR="00F65830" w:rsidRPr="003B18BF">
        <w:rPr>
          <w:shd w:val="clear" w:color="auto" w:fill="FFFFFF"/>
        </w:rPr>
        <w:t xml:space="preserve"> by 2030. </w:t>
      </w:r>
    </w:p>
    <w:p w14:paraId="1ADDAA59" w14:textId="7833B057" w:rsidR="005D680B" w:rsidRPr="00CB6D13" w:rsidRDefault="005D680B" w:rsidP="00D24891">
      <w:r w:rsidRPr="003B18BF">
        <w:t xml:space="preserve">Finally, we consider </w:t>
      </w:r>
      <w:r w:rsidR="002465B8" w:rsidRPr="003B18BF">
        <w:t xml:space="preserve">it </w:t>
      </w:r>
      <w:r w:rsidRPr="003B18BF">
        <w:t xml:space="preserve">is important to incorporate gender equality and other key attributes </w:t>
      </w:r>
      <w:r w:rsidR="002465B8" w:rsidRPr="003B18BF">
        <w:t xml:space="preserve">for different population groups in Australian society including </w:t>
      </w:r>
      <w:r w:rsidR="002465B8" w:rsidRPr="003B18BF">
        <w:lastRenderedPageBreak/>
        <w:t>First Nations communities. We need to help provide the human face to the different experiences of wellbeing in Australian society.</w:t>
      </w:r>
      <w:r w:rsidR="002465B8" w:rsidRPr="00CB6D13">
        <w:t xml:space="preserve"> </w:t>
      </w:r>
    </w:p>
    <w:p w14:paraId="6ECE18BF" w14:textId="7B3F448D" w:rsidR="00A76F5B" w:rsidRDefault="00694329" w:rsidP="002B7A2E">
      <w:pPr>
        <w:pStyle w:val="Heading3"/>
      </w:pPr>
      <w:r>
        <w:t>Stakeholder engagement with wellbeing framework</w:t>
      </w:r>
    </w:p>
    <w:p w14:paraId="4630725B" w14:textId="5C0EA6D4" w:rsidR="00A42DCE" w:rsidRPr="00A42DCE" w:rsidRDefault="00A42DCE" w:rsidP="00A42DCE">
      <w:pPr>
        <w:pStyle w:val="ListParagraph"/>
        <w:numPr>
          <w:ilvl w:val="0"/>
          <w:numId w:val="8"/>
        </w:numPr>
        <w:spacing w:line="240" w:lineRule="auto"/>
        <w:rPr>
          <w:b/>
          <w:bCs/>
        </w:rPr>
      </w:pPr>
      <w:r>
        <w:rPr>
          <w:b/>
          <w:bCs/>
        </w:rPr>
        <w:t>The Government should take a</w:t>
      </w:r>
      <w:r w:rsidRPr="00A42DCE">
        <w:rPr>
          <w:b/>
          <w:bCs/>
        </w:rPr>
        <w:t xml:space="preserve"> staged </w:t>
      </w:r>
      <w:r>
        <w:rPr>
          <w:b/>
          <w:bCs/>
        </w:rPr>
        <w:t xml:space="preserve">and adaptive </w:t>
      </w:r>
      <w:r w:rsidRPr="00A42DCE">
        <w:rPr>
          <w:b/>
          <w:bCs/>
        </w:rPr>
        <w:t xml:space="preserve">approach to the </w:t>
      </w:r>
      <w:r w:rsidR="005F0A29">
        <w:rPr>
          <w:b/>
          <w:bCs/>
        </w:rPr>
        <w:t xml:space="preserve">implementation and review </w:t>
      </w:r>
      <w:r w:rsidRPr="00A42DCE">
        <w:rPr>
          <w:b/>
          <w:bCs/>
        </w:rPr>
        <w:t>of the wellbeing framework.</w:t>
      </w:r>
    </w:p>
    <w:p w14:paraId="7E85B3A9" w14:textId="41CC776F" w:rsidR="00503630" w:rsidRPr="00733ECE" w:rsidRDefault="005F0A29" w:rsidP="00733ECE">
      <w:pPr>
        <w:pStyle w:val="List3"/>
        <w:ind w:left="170" w:firstLine="0"/>
      </w:pPr>
      <w:r>
        <w:t>Developing a Wellbeing Framework is a welcome process that should remain open to adjustments over time. Australia’s understanding and use of the framework and indicators will evolve as new data becomes available</w:t>
      </w:r>
      <w:r w:rsidR="00503630" w:rsidRPr="00733ECE">
        <w:t xml:space="preserve">. </w:t>
      </w:r>
      <w:r w:rsidR="00503630" w:rsidRPr="00733ECE">
        <w:rPr>
          <w:rStyle w:val="normaltextrun"/>
          <w:color w:val="000000"/>
          <w:shd w:val="clear" w:color="auto" w:fill="FFFFFF"/>
        </w:rPr>
        <w:t xml:space="preserve">The </w:t>
      </w:r>
      <w:r w:rsidR="00503630" w:rsidRPr="00733ECE">
        <w:rPr>
          <w:rStyle w:val="normaltextrun"/>
          <w:b/>
          <w:bCs/>
          <w:color w:val="000000"/>
          <w:shd w:val="clear" w:color="auto" w:fill="FFFFFF"/>
        </w:rPr>
        <w:t>Wellbeing Statement</w:t>
      </w:r>
      <w:r w:rsidR="00503630" w:rsidRPr="00733ECE">
        <w:rPr>
          <w:rStyle w:val="normaltextrun"/>
          <w:color w:val="000000"/>
          <w:shd w:val="clear" w:color="auto" w:fill="FFFFFF"/>
        </w:rPr>
        <w:t xml:space="preserve"> in the May Budget should be informed by public submissions and form the basis of a community dialogue to </w:t>
      </w:r>
      <w:r>
        <w:rPr>
          <w:rStyle w:val="normaltextrun"/>
          <w:color w:val="000000"/>
          <w:shd w:val="clear" w:color="auto" w:fill="FFFFFF"/>
        </w:rPr>
        <w:t>evolve how it reflects</w:t>
      </w:r>
      <w:r w:rsidR="00503630" w:rsidRPr="00733ECE">
        <w:rPr>
          <w:rStyle w:val="normaltextrun"/>
          <w:color w:val="000000"/>
          <w:shd w:val="clear" w:color="auto" w:fill="FFFFFF"/>
        </w:rPr>
        <w:t xml:space="preserve"> priorities, </w:t>
      </w:r>
      <w:proofErr w:type="gramStart"/>
      <w:r w:rsidR="00503630" w:rsidRPr="00733ECE">
        <w:rPr>
          <w:rStyle w:val="normaltextrun"/>
          <w:color w:val="000000"/>
          <w:shd w:val="clear" w:color="auto" w:fill="FFFFFF"/>
        </w:rPr>
        <w:t>concerns</w:t>
      </w:r>
      <w:proofErr w:type="gramEnd"/>
      <w:r w:rsidR="00503630" w:rsidRPr="00733ECE">
        <w:rPr>
          <w:rStyle w:val="normaltextrun"/>
          <w:color w:val="000000"/>
          <w:shd w:val="clear" w:color="auto" w:fill="FFFFFF"/>
        </w:rPr>
        <w:t xml:space="preserve"> and aspirations of the community. Further refinement and implementation of the Wellbeing Framework should be undertaken in future budgets.</w:t>
      </w:r>
      <w:r w:rsidR="00733ECE">
        <w:rPr>
          <w:rStyle w:val="normaltextrun"/>
          <w:color w:val="000000"/>
          <w:shd w:val="clear" w:color="auto" w:fill="FFFFFF"/>
        </w:rPr>
        <w:t xml:space="preserve"> </w:t>
      </w:r>
      <w:r w:rsidR="00154028">
        <w:rPr>
          <w:rStyle w:val="normaltextrun"/>
          <w:color w:val="000000"/>
          <w:shd w:val="clear" w:color="auto" w:fill="FFFFFF"/>
        </w:rPr>
        <w:t xml:space="preserve">An adaptive framework should seek to </w:t>
      </w:r>
      <w:r w:rsidR="00154028">
        <w:t>b</w:t>
      </w:r>
      <w:r w:rsidR="00733ECE">
        <w:t>alance the value of continuity with the need for responsiveness to new thinking and data sources.</w:t>
      </w:r>
      <w:r>
        <w:t xml:space="preserve"> An adaptive approach would also support ongoing dialogue about national priorities and what matters to people and communities.  </w:t>
      </w:r>
    </w:p>
    <w:p w14:paraId="48B9DE2D" w14:textId="3922F420" w:rsidR="001761D3" w:rsidRPr="001761D3" w:rsidRDefault="001761D3" w:rsidP="001761D3">
      <w:pPr>
        <w:pStyle w:val="ListParagraph"/>
        <w:numPr>
          <w:ilvl w:val="0"/>
          <w:numId w:val="8"/>
        </w:numPr>
        <w:spacing w:line="240" w:lineRule="auto"/>
        <w:rPr>
          <w:b/>
          <w:bCs/>
        </w:rPr>
      </w:pPr>
      <w:r w:rsidRPr="001761D3">
        <w:rPr>
          <w:b/>
          <w:bCs/>
        </w:rPr>
        <w:t xml:space="preserve">The Government should engage a wide range of diverse stakeholders in the implementation </w:t>
      </w:r>
      <w:r w:rsidR="005F0A29">
        <w:rPr>
          <w:b/>
          <w:bCs/>
        </w:rPr>
        <w:t xml:space="preserve">and ongoing development </w:t>
      </w:r>
      <w:r w:rsidRPr="001761D3">
        <w:rPr>
          <w:b/>
          <w:bCs/>
        </w:rPr>
        <w:t xml:space="preserve">of the Wellbeing Framework, including direct citizen dialogues. </w:t>
      </w:r>
    </w:p>
    <w:p w14:paraId="3A5839D8" w14:textId="0CFC32B0" w:rsidR="006E522C" w:rsidRDefault="003C0E1D" w:rsidP="008D102D">
      <w:r>
        <w:t xml:space="preserve">The implementation </w:t>
      </w:r>
      <w:r w:rsidR="005F0A29">
        <w:t xml:space="preserve">and ongoing development </w:t>
      </w:r>
      <w:r>
        <w:t xml:space="preserve">of a wellbeing framework for Australia will benefit from </w:t>
      </w:r>
      <w:r w:rsidR="00496BC2">
        <w:t xml:space="preserve">drawing on </w:t>
      </w:r>
      <w:r>
        <w:t xml:space="preserve">the insights and perspectives of a diverse range of groups, including </w:t>
      </w:r>
      <w:r w:rsidR="002B1B7C">
        <w:t xml:space="preserve">relevant experts, community representatives, peak bodies, people directly affected </w:t>
      </w:r>
      <w:r w:rsidR="00706761">
        <w:t xml:space="preserve">by poverty </w:t>
      </w:r>
      <w:r w:rsidR="002B1B7C">
        <w:t xml:space="preserve">and others. </w:t>
      </w:r>
      <w:r w:rsidR="006E522C">
        <w:t xml:space="preserve">This </w:t>
      </w:r>
      <w:r w:rsidR="00496BC2">
        <w:t>process of consultation and co-design will ground the framework in the real priorities of communities</w:t>
      </w:r>
      <w:r w:rsidR="001732D9">
        <w:t xml:space="preserve">. Engagement in implementation of the framework will </w:t>
      </w:r>
      <w:r w:rsidR="006E522C">
        <w:t xml:space="preserve">contribute to </w:t>
      </w:r>
      <w:r w:rsidR="00706761">
        <w:t xml:space="preserve">the public and </w:t>
      </w:r>
      <w:r w:rsidR="001732D9">
        <w:t xml:space="preserve">stakeholder </w:t>
      </w:r>
      <w:r w:rsidR="006E522C">
        <w:t>capacity</w:t>
      </w:r>
      <w:r w:rsidR="00496BC2">
        <w:t>-</w:t>
      </w:r>
      <w:r w:rsidR="006E522C">
        <w:t>building</w:t>
      </w:r>
      <w:r w:rsidR="00496BC2">
        <w:t xml:space="preserve"> around wellbeing measurement</w:t>
      </w:r>
      <w:r w:rsidR="001732D9">
        <w:t>,</w:t>
      </w:r>
      <w:r w:rsidR="006E522C">
        <w:t xml:space="preserve"> interest in this area</w:t>
      </w:r>
      <w:r w:rsidR="001732D9">
        <w:t xml:space="preserve"> and government accountability</w:t>
      </w:r>
      <w:r w:rsidR="006E522C">
        <w:t xml:space="preserve">. </w:t>
      </w:r>
    </w:p>
    <w:p w14:paraId="2DDA1BFA" w14:textId="49053981" w:rsidR="00A969A0" w:rsidRDefault="00A969A0" w:rsidP="00A969A0">
      <w:r>
        <w:t>ACOSS echoes the calls by the C</w:t>
      </w:r>
      <w:r w:rsidR="00733ECE">
        <w:t>entre for Policy Development</w:t>
      </w:r>
      <w:r>
        <w:t xml:space="preserve"> in their submission for deep </w:t>
      </w:r>
      <w:r w:rsidR="005F0A29">
        <w:t xml:space="preserve">ongoing </w:t>
      </w:r>
      <w:r>
        <w:t xml:space="preserve">public engagement through citizen’s assemblies, roundtables, focus groups, recruitment of champions. This needs to be coupled with supports for people to participate, particularly more marginalised and disadvantaged groups. </w:t>
      </w:r>
    </w:p>
    <w:p w14:paraId="7110A134" w14:textId="5551E89D" w:rsidR="00A42DCE" w:rsidRPr="001761D3" w:rsidRDefault="00A42DCE" w:rsidP="001761D3">
      <w:pPr>
        <w:pStyle w:val="ListParagraph"/>
        <w:numPr>
          <w:ilvl w:val="0"/>
          <w:numId w:val="8"/>
        </w:numPr>
        <w:spacing w:line="240" w:lineRule="auto"/>
      </w:pPr>
      <w:r w:rsidRPr="001761D3">
        <w:rPr>
          <w:b/>
          <w:bCs/>
        </w:rPr>
        <w:t>The Government should harness the expertise and networks of the community sector</w:t>
      </w:r>
      <w:r w:rsidR="001761D3" w:rsidRPr="001761D3">
        <w:rPr>
          <w:b/>
          <w:bCs/>
        </w:rPr>
        <w:t xml:space="preserve"> in</w:t>
      </w:r>
      <w:r w:rsidR="00CB6D13">
        <w:rPr>
          <w:b/>
          <w:bCs/>
        </w:rPr>
        <w:t xml:space="preserve"> the</w:t>
      </w:r>
      <w:r w:rsidR="001761D3" w:rsidRPr="001761D3">
        <w:rPr>
          <w:b/>
          <w:bCs/>
        </w:rPr>
        <w:t xml:space="preserve"> implementation </w:t>
      </w:r>
      <w:r w:rsidR="005F0A29">
        <w:rPr>
          <w:b/>
          <w:bCs/>
        </w:rPr>
        <w:t xml:space="preserve">and ongoing development </w:t>
      </w:r>
      <w:r w:rsidR="001761D3" w:rsidRPr="001761D3">
        <w:rPr>
          <w:b/>
          <w:bCs/>
        </w:rPr>
        <w:t>and civic engagement.</w:t>
      </w:r>
    </w:p>
    <w:p w14:paraId="09ED313C" w14:textId="3AFE07E1" w:rsidR="00A969A0" w:rsidRPr="00733ECE" w:rsidRDefault="00FD4311" w:rsidP="00733ECE">
      <w:pPr>
        <w:rPr>
          <w:shd w:val="clear" w:color="auto" w:fill="FFFFFF"/>
        </w:rPr>
      </w:pPr>
      <w:r>
        <w:rPr>
          <w:shd w:val="clear" w:color="auto" w:fill="FFFFFF"/>
        </w:rPr>
        <w:t xml:space="preserve">The community sector has </w:t>
      </w:r>
      <w:r w:rsidR="00733ECE">
        <w:rPr>
          <w:shd w:val="clear" w:color="auto" w:fill="FFFFFF"/>
        </w:rPr>
        <w:t>much to contribute to the development of the framework and has played a lead role in the development of state and territory wellbeing approaches. For example, i</w:t>
      </w:r>
      <w:r w:rsidR="006D0EE0">
        <w:rPr>
          <w:shd w:val="clear" w:color="auto" w:fill="FFFFFF"/>
        </w:rPr>
        <w:t xml:space="preserve">n 2022, the </w:t>
      </w:r>
      <w:r w:rsidR="0055754C">
        <w:rPr>
          <w:shd w:val="clear" w:color="auto" w:fill="FFFFFF"/>
        </w:rPr>
        <w:t xml:space="preserve">Victorian Council of Social Services (VCOSS) </w:t>
      </w:r>
      <w:r w:rsidR="00717E4F">
        <w:rPr>
          <w:shd w:val="clear" w:color="auto" w:fill="FFFFFF"/>
        </w:rPr>
        <w:t xml:space="preserve">conducted a listening tour </w:t>
      </w:r>
      <w:r w:rsidR="006D0EE0">
        <w:rPr>
          <w:shd w:val="clear" w:color="auto" w:fill="FFFFFF"/>
        </w:rPr>
        <w:t xml:space="preserve">of </w:t>
      </w:r>
      <w:r w:rsidR="00717E4F">
        <w:rPr>
          <w:shd w:val="clear" w:color="auto" w:fill="FFFFFF"/>
        </w:rPr>
        <w:t xml:space="preserve">the state and published </w:t>
      </w:r>
      <w:r w:rsidR="00717E4F">
        <w:rPr>
          <w:shd w:val="clear" w:color="auto" w:fill="FFFFFF"/>
        </w:rPr>
        <w:lastRenderedPageBreak/>
        <w:t>a</w:t>
      </w:r>
      <w:r w:rsidR="0055754C">
        <w:rPr>
          <w:shd w:val="clear" w:color="auto" w:fill="FFFFFF"/>
        </w:rPr>
        <w:t> </w:t>
      </w:r>
      <w:r w:rsidR="006D0EE0">
        <w:t>subsequent</w:t>
      </w:r>
      <w:r w:rsidR="0055754C" w:rsidRPr="00522005">
        <w:t xml:space="preserve"> report</w:t>
      </w:r>
      <w:r w:rsidR="00522005">
        <w:rPr>
          <w:rStyle w:val="FootnoteReference"/>
        </w:rPr>
        <w:footnoteReference w:id="1"/>
      </w:r>
      <w:r w:rsidR="00717E4F">
        <w:rPr>
          <w:shd w:val="clear" w:color="auto" w:fill="FFFFFF"/>
        </w:rPr>
        <w:t xml:space="preserve"> identifying wellbeing priorities. </w:t>
      </w:r>
      <w:r w:rsidR="0048353B">
        <w:t xml:space="preserve">The </w:t>
      </w:r>
      <w:r w:rsidR="008C2929">
        <w:t xml:space="preserve">Tasmania </w:t>
      </w:r>
      <w:r w:rsidR="00B33A20">
        <w:rPr>
          <w:shd w:val="clear" w:color="auto" w:fill="FFFFFF"/>
        </w:rPr>
        <w:t xml:space="preserve">Council of Social Services (TASCOSS) </w:t>
      </w:r>
      <w:r w:rsidR="006D0EE0">
        <w:t>has developed a Good Life</w:t>
      </w:r>
      <w:r w:rsidR="003C20BF">
        <w:t xml:space="preserve"> (wellbeing)</w:t>
      </w:r>
      <w:r w:rsidR="006D0EE0">
        <w:t xml:space="preserve"> Framework </w:t>
      </w:r>
      <w:r w:rsidR="008C4F4D">
        <w:t xml:space="preserve">(2021) </w:t>
      </w:r>
      <w:r w:rsidR="006D0EE0">
        <w:t xml:space="preserve">through conversations with hundreds of Tasmanians and through the Premier’s Economic and Social Recovery Advisory Council’s consultations with Tasmanians on the key drivers of wellbeing. </w:t>
      </w:r>
      <w:r w:rsidR="00BA2401">
        <w:t xml:space="preserve">The </w:t>
      </w:r>
      <w:r w:rsidR="00E913A9">
        <w:t xml:space="preserve">Western Australia </w:t>
      </w:r>
      <w:r w:rsidR="00E913A9">
        <w:rPr>
          <w:shd w:val="clear" w:color="auto" w:fill="FFFFFF"/>
        </w:rPr>
        <w:t>Council of Social Services (WACOSS)</w:t>
      </w:r>
      <w:r w:rsidR="00BA2401" w:rsidRPr="00BA2401">
        <w:t xml:space="preserve"> </w:t>
      </w:r>
      <w:r w:rsidR="00BA2401">
        <w:t xml:space="preserve">is working on a project to develop a WA (wellbeing) Development Index in partnership with </w:t>
      </w:r>
      <w:r w:rsidR="000B6CF1">
        <w:t>the Australian National Development Index (</w:t>
      </w:r>
      <w:r w:rsidR="00BA2401">
        <w:t>ANDI</w:t>
      </w:r>
      <w:r w:rsidR="000B6CF1">
        <w:t>)</w:t>
      </w:r>
      <w:r w:rsidR="00BA2401">
        <w:t xml:space="preserve">, the WA Local Government Association, WA Children’s </w:t>
      </w:r>
      <w:proofErr w:type="gramStart"/>
      <w:r w:rsidR="00BA2401">
        <w:t>Commissioner</w:t>
      </w:r>
      <w:proofErr w:type="gramEnd"/>
      <w:r w:rsidR="00BA2401">
        <w:t xml:space="preserve"> and others.</w:t>
      </w:r>
    </w:p>
    <w:p w14:paraId="24505674" w14:textId="5E09BEED" w:rsidR="00A969A0" w:rsidRPr="00AC45A4" w:rsidRDefault="00A42DCE" w:rsidP="00AC45A4">
      <w:pPr>
        <w:pStyle w:val="ListParagraph"/>
        <w:numPr>
          <w:ilvl w:val="0"/>
          <w:numId w:val="8"/>
        </w:numPr>
        <w:rPr>
          <w:b/>
          <w:bCs/>
        </w:rPr>
      </w:pPr>
      <w:r>
        <w:rPr>
          <w:b/>
          <w:bCs/>
        </w:rPr>
        <w:t>The Government should e</w:t>
      </w:r>
      <w:r w:rsidR="00A969A0" w:rsidRPr="00AC45A4">
        <w:rPr>
          <w:b/>
          <w:bCs/>
        </w:rPr>
        <w:t>stablish a reference group to support the development and implementation of the Wellbeing Framework</w:t>
      </w:r>
    </w:p>
    <w:p w14:paraId="2857D559" w14:textId="71C37892" w:rsidR="006D55FE" w:rsidRPr="00154028" w:rsidRDefault="00BA2401" w:rsidP="00154028">
      <w:pPr>
        <w:rPr>
          <w:shd w:val="clear" w:color="auto" w:fill="FFFFFF"/>
        </w:rPr>
      </w:pPr>
      <w:r>
        <w:rPr>
          <w:shd w:val="clear" w:color="auto" w:fill="FFFFFF"/>
        </w:rPr>
        <w:t xml:space="preserve">We suggest the Government set up an ongoing </w:t>
      </w:r>
      <w:r>
        <w:t>reference group of experts</w:t>
      </w:r>
      <w:r w:rsidR="002B7A2E">
        <w:t xml:space="preserve"> and </w:t>
      </w:r>
      <w:r>
        <w:t>community representatives</w:t>
      </w:r>
      <w:r w:rsidR="002B7A2E">
        <w:t xml:space="preserve"> </w:t>
      </w:r>
      <w:r>
        <w:t>to assist in development and implementation/monitoring of a wellbeing framework</w:t>
      </w:r>
      <w:r w:rsidR="00733ECE">
        <w:t>, including ensuring transparent reporting of progress.</w:t>
      </w:r>
    </w:p>
    <w:p w14:paraId="2C565D06" w14:textId="782D591B" w:rsidR="003E3246" w:rsidRPr="00B07C04" w:rsidRDefault="00085F3F" w:rsidP="00122497">
      <w:pPr>
        <w:pStyle w:val="Heading3"/>
      </w:pPr>
      <w:r w:rsidRPr="00085F3F">
        <w:t xml:space="preserve">The architecture of </w:t>
      </w:r>
      <w:r>
        <w:t xml:space="preserve">a ‘good’ </w:t>
      </w:r>
      <w:r w:rsidRPr="00085F3F">
        <w:t>wellbeing framework</w:t>
      </w:r>
      <w:r>
        <w:t>:</w:t>
      </w:r>
      <w:r w:rsidRPr="00085F3F">
        <w:t xml:space="preserve"> </w:t>
      </w:r>
      <w:r w:rsidR="00122497">
        <w:br/>
      </w:r>
      <w:r>
        <w:t>D</w:t>
      </w:r>
      <w:r w:rsidR="003E3246">
        <w:t>omains</w:t>
      </w:r>
      <w:r w:rsidR="00082082">
        <w:t xml:space="preserve">, </w:t>
      </w:r>
      <w:r w:rsidR="002E57F8">
        <w:t xml:space="preserve">key </w:t>
      </w:r>
      <w:proofErr w:type="gramStart"/>
      <w:r w:rsidR="002E57F8">
        <w:t>questions</w:t>
      </w:r>
      <w:proofErr w:type="gramEnd"/>
      <w:r w:rsidR="002E57F8">
        <w:t xml:space="preserve"> </w:t>
      </w:r>
      <w:r w:rsidR="003E3246">
        <w:t xml:space="preserve">and indicators </w:t>
      </w:r>
    </w:p>
    <w:p w14:paraId="4FC9A7BD" w14:textId="7E9ED481" w:rsidR="002E57F8" w:rsidRDefault="002E57F8" w:rsidP="002E57F8">
      <w:pPr>
        <w:rPr>
          <w:rStyle w:val="normaltextrun"/>
          <w:rFonts w:eastAsia="Times New Roman"/>
          <w:lang w:val="en-US"/>
        </w:rPr>
      </w:pPr>
      <w:r>
        <w:rPr>
          <w:rStyle w:val="normaltextrun"/>
          <w:rFonts w:eastAsia="Times New Roman"/>
          <w:lang w:val="en-US"/>
        </w:rPr>
        <w:t xml:space="preserve">The Treasury discussion paper argues that wellbeing indicators should fit key criteria and be relevant, complete, measurable, comparable, </w:t>
      </w:r>
      <w:proofErr w:type="gramStart"/>
      <w:r>
        <w:rPr>
          <w:rStyle w:val="normaltextrun"/>
          <w:rFonts w:eastAsia="Times New Roman"/>
          <w:lang w:val="en-US"/>
        </w:rPr>
        <w:t>reliable</w:t>
      </w:r>
      <w:proofErr w:type="gramEnd"/>
      <w:r>
        <w:rPr>
          <w:rStyle w:val="normaltextrun"/>
          <w:rFonts w:eastAsia="Times New Roman"/>
          <w:lang w:val="en-US"/>
        </w:rPr>
        <w:t xml:space="preserve"> and understandable.</w:t>
      </w:r>
    </w:p>
    <w:p w14:paraId="2E4B4ECD" w14:textId="010E9453" w:rsidR="00232CDA" w:rsidRDefault="00232CDA" w:rsidP="002E57F8">
      <w:pPr>
        <w:rPr>
          <w:rStyle w:val="normaltextrun"/>
          <w:rFonts w:eastAsia="Times New Roman"/>
          <w:lang w:val="en-US"/>
        </w:rPr>
      </w:pPr>
      <w:r>
        <w:rPr>
          <w:rStyle w:val="normaltextrun"/>
          <w:rFonts w:eastAsia="Times New Roman"/>
          <w:lang w:val="en-US"/>
        </w:rPr>
        <w:t>As discussed, we believe they should also inform policy development and the evaluation of government programs, and community awareness of Australia’s progress in improving wellbeing and the contribution that programs make to that goal.</w:t>
      </w:r>
    </w:p>
    <w:p w14:paraId="67B76280" w14:textId="543A3144" w:rsidR="00232CDA" w:rsidRDefault="00232CDA" w:rsidP="002E57F8">
      <w:pPr>
        <w:rPr>
          <w:rStyle w:val="normaltextrun"/>
          <w:rFonts w:eastAsia="Times New Roman"/>
          <w:lang w:val="en-US"/>
        </w:rPr>
      </w:pPr>
      <w:r>
        <w:rPr>
          <w:rStyle w:val="normaltextrun"/>
          <w:rFonts w:eastAsia="Times New Roman"/>
          <w:lang w:val="en-US"/>
        </w:rPr>
        <w:t>To fulfil these roles, the wellbeing framework must be more than a list of indicators. The connections between indicators, and between them and government programs that impact wellbeing, must be drawn.</w:t>
      </w:r>
    </w:p>
    <w:p w14:paraId="555DB313" w14:textId="1BEA9446" w:rsidR="00DE4114" w:rsidRDefault="00DE4114" w:rsidP="00085F3F">
      <w:r>
        <w:t xml:space="preserve">A wellbeing framework with a limited set of indicators across many dimensions of life can only provide a high-level assessment of the country’s progress and is no substitute for comprehensive program evaluation. Nevertheless, a well-crafted wellbeing framework can signal where real progress is being made and where governments and communities </w:t>
      </w:r>
      <w:r w:rsidR="00952E81">
        <w:t>need to focus more effort</w:t>
      </w:r>
      <w:r>
        <w:t>.</w:t>
      </w:r>
    </w:p>
    <w:p w14:paraId="3FEDD738" w14:textId="6E177FCB" w:rsidR="00DE4114" w:rsidRDefault="00DE4114" w:rsidP="00085F3F">
      <w:r>
        <w:rPr>
          <w:rStyle w:val="normaltextrun"/>
          <w:rFonts w:eastAsia="Times New Roman"/>
          <w:lang w:val="en-US"/>
        </w:rPr>
        <w:t>Th</w:t>
      </w:r>
      <w:r w:rsidR="00085F3F">
        <w:rPr>
          <w:rStyle w:val="normaltextrun"/>
          <w:rFonts w:eastAsia="Times New Roman"/>
          <w:lang w:val="en-US"/>
        </w:rPr>
        <w:t xml:space="preserve">e Government already </w:t>
      </w:r>
      <w:r w:rsidR="00085F3F">
        <w:t>has a system of statistical indicators regarding the effectiveness of certain social programs</w:t>
      </w:r>
      <w:r>
        <w:t>, which could inform the development of a wellbeing framework</w:t>
      </w:r>
      <w:r w:rsidR="00085F3F">
        <w:t>:</w:t>
      </w:r>
    </w:p>
    <w:p w14:paraId="269403DD" w14:textId="77777777" w:rsidR="00DE4114" w:rsidRPr="00DE4114" w:rsidRDefault="00085F3F" w:rsidP="00DE4114">
      <w:pPr>
        <w:pStyle w:val="ListParagraph"/>
        <w:numPr>
          <w:ilvl w:val="0"/>
          <w:numId w:val="9"/>
        </w:numPr>
        <w:rPr>
          <w:rFonts w:eastAsia="Times New Roman"/>
          <w:lang w:val="en-US"/>
        </w:rPr>
      </w:pPr>
      <w:r>
        <w:t xml:space="preserve">the Report on Government Services (ROGS) prepared by the Productivity Commission. These include indicators for equity (equity of </w:t>
      </w:r>
      <w:r>
        <w:lastRenderedPageBreak/>
        <w:t xml:space="preserve">access and </w:t>
      </w:r>
      <w:r w:rsidR="00C53591">
        <w:t>outcomes</w:t>
      </w:r>
      <w:r>
        <w:t>), effectiveness (appropriateness and quality), and efficiency (inputs per output unit).</w:t>
      </w:r>
      <w:r w:rsidR="00DE4114" w:rsidRPr="00DE4114">
        <w:rPr>
          <w:rStyle w:val="FootnoteReference"/>
        </w:rPr>
        <w:t xml:space="preserve"> </w:t>
      </w:r>
      <w:r w:rsidR="00DE4114">
        <w:rPr>
          <w:rStyle w:val="FootnoteReference"/>
        </w:rPr>
        <w:footnoteReference w:id="2"/>
      </w:r>
      <w:r w:rsidR="00DE4114">
        <w:t xml:space="preserve"> </w:t>
      </w:r>
    </w:p>
    <w:p w14:paraId="43B73A57" w14:textId="46D01C74" w:rsidR="00DE4114" w:rsidRPr="00DE4114" w:rsidRDefault="00085F3F" w:rsidP="00DE4114">
      <w:pPr>
        <w:pStyle w:val="ListParagraph"/>
        <w:numPr>
          <w:ilvl w:val="0"/>
          <w:numId w:val="9"/>
        </w:numPr>
        <w:rPr>
          <w:rFonts w:eastAsia="Times New Roman"/>
          <w:lang w:val="en-US"/>
        </w:rPr>
      </w:pPr>
      <w:r>
        <w:t xml:space="preserve">the </w:t>
      </w:r>
      <w:r w:rsidR="00DE4114">
        <w:t>‘Close the Gap’ indicators of wellbeing in First Nations communities.</w:t>
      </w:r>
      <w:r w:rsidR="00DE4114">
        <w:rPr>
          <w:rStyle w:val="FootnoteReference"/>
        </w:rPr>
        <w:footnoteReference w:id="3"/>
      </w:r>
    </w:p>
    <w:p w14:paraId="5208172C" w14:textId="4377FB1E" w:rsidR="00232CDA" w:rsidRDefault="00232CDA" w:rsidP="002E57F8">
      <w:pPr>
        <w:rPr>
          <w:rStyle w:val="normaltextrun"/>
          <w:rFonts w:eastAsia="Times New Roman"/>
          <w:lang w:val="en-US"/>
        </w:rPr>
      </w:pPr>
      <w:r>
        <w:rPr>
          <w:rStyle w:val="normaltextrun"/>
          <w:rFonts w:eastAsia="Times New Roman"/>
          <w:lang w:val="en-US"/>
        </w:rPr>
        <w:t xml:space="preserve">In </w:t>
      </w:r>
      <w:r w:rsidR="00DE4114">
        <w:rPr>
          <w:rStyle w:val="normaltextrun"/>
          <w:rFonts w:eastAsia="Times New Roman"/>
          <w:lang w:val="en-US"/>
        </w:rPr>
        <w:t xml:space="preserve">most </w:t>
      </w:r>
      <w:r>
        <w:rPr>
          <w:rStyle w:val="normaltextrun"/>
          <w:rFonts w:eastAsia="Times New Roman"/>
          <w:lang w:val="en-US"/>
        </w:rPr>
        <w:t xml:space="preserve">wellbeing frameworks used here and overseas, indicators are grouped into </w:t>
      </w:r>
      <w:r w:rsidRPr="00513FD3">
        <w:rPr>
          <w:rStyle w:val="normaltextrun"/>
          <w:rFonts w:eastAsia="Times New Roman"/>
          <w:i/>
          <w:iCs/>
          <w:lang w:val="en-US"/>
        </w:rPr>
        <w:t>domains of life</w:t>
      </w:r>
      <w:r>
        <w:rPr>
          <w:rStyle w:val="normaltextrun"/>
          <w:rFonts w:eastAsia="Times New Roman"/>
          <w:lang w:val="en-US"/>
        </w:rPr>
        <w:t xml:space="preserve"> such as health and financial resources.</w:t>
      </w:r>
      <w:r w:rsidR="00165E48">
        <w:rPr>
          <w:rStyle w:val="FootnoteReference"/>
          <w:rFonts w:eastAsia="Times New Roman"/>
          <w:lang w:val="en-US"/>
        </w:rPr>
        <w:footnoteReference w:id="4"/>
      </w:r>
      <w:r>
        <w:rPr>
          <w:rStyle w:val="normaltextrun"/>
          <w:rFonts w:eastAsia="Times New Roman"/>
          <w:lang w:val="en-US"/>
        </w:rPr>
        <w:t xml:space="preserve"> This makes them easier for the public to understand and </w:t>
      </w:r>
      <w:r w:rsidR="00513FD3">
        <w:rPr>
          <w:rStyle w:val="normaltextrun"/>
          <w:rFonts w:eastAsia="Times New Roman"/>
          <w:lang w:val="en-US"/>
        </w:rPr>
        <w:t>assists</w:t>
      </w:r>
      <w:r>
        <w:rPr>
          <w:rStyle w:val="normaltextrun"/>
          <w:rFonts w:eastAsia="Times New Roman"/>
          <w:lang w:val="en-US"/>
        </w:rPr>
        <w:t xml:space="preserve"> policy makers, </w:t>
      </w:r>
      <w:proofErr w:type="gramStart"/>
      <w:r>
        <w:rPr>
          <w:rStyle w:val="normaltextrun"/>
          <w:rFonts w:eastAsia="Times New Roman"/>
          <w:lang w:val="en-US"/>
        </w:rPr>
        <w:t>advocates</w:t>
      </w:r>
      <w:proofErr w:type="gramEnd"/>
      <w:r>
        <w:rPr>
          <w:rStyle w:val="normaltextrun"/>
          <w:rFonts w:eastAsia="Times New Roman"/>
          <w:lang w:val="en-US"/>
        </w:rPr>
        <w:t xml:space="preserve"> and researchers to draw the connections between public policy and wellbeing in each domain.</w:t>
      </w:r>
    </w:p>
    <w:p w14:paraId="6CE979A6" w14:textId="3ACC74DA" w:rsidR="00AC45A4" w:rsidRPr="003B18BF" w:rsidRDefault="00AC45A4" w:rsidP="003B18BF">
      <w:pPr>
        <w:pStyle w:val="ListParagraph"/>
        <w:numPr>
          <w:ilvl w:val="0"/>
          <w:numId w:val="8"/>
        </w:numPr>
        <w:rPr>
          <w:rStyle w:val="normaltextrun"/>
          <w:rFonts w:eastAsia="Times New Roman"/>
          <w:b/>
          <w:bCs/>
          <w:lang w:val="en-US"/>
        </w:rPr>
      </w:pPr>
      <w:r w:rsidRPr="00AC45A4">
        <w:rPr>
          <w:rStyle w:val="normaltextrun"/>
          <w:rFonts w:eastAsia="Times New Roman"/>
          <w:b/>
          <w:bCs/>
          <w:lang w:val="en-US"/>
        </w:rPr>
        <w:t>The Wellbeing Framework should contain measure</w:t>
      </w:r>
      <w:r>
        <w:rPr>
          <w:rStyle w:val="normaltextrun"/>
          <w:rFonts w:eastAsia="Times New Roman"/>
          <w:b/>
          <w:bCs/>
          <w:lang w:val="en-US"/>
        </w:rPr>
        <w:t>s</w:t>
      </w:r>
      <w:r w:rsidRPr="00AC45A4">
        <w:rPr>
          <w:rStyle w:val="normaltextrun"/>
          <w:rFonts w:eastAsia="Times New Roman"/>
          <w:b/>
          <w:bCs/>
          <w:lang w:val="en-US"/>
        </w:rPr>
        <w:t xml:space="preserve"> both </w:t>
      </w:r>
      <w:r>
        <w:rPr>
          <w:rStyle w:val="normaltextrun"/>
          <w:rFonts w:eastAsia="Times New Roman"/>
          <w:b/>
          <w:bCs/>
          <w:lang w:val="en-US"/>
        </w:rPr>
        <w:t xml:space="preserve">of </w:t>
      </w:r>
      <w:r w:rsidRPr="00AC45A4">
        <w:rPr>
          <w:rStyle w:val="normaltextrun"/>
          <w:rFonts w:eastAsia="Times New Roman"/>
          <w:b/>
          <w:bCs/>
          <w:lang w:val="en-US"/>
        </w:rPr>
        <w:t>overall wellbeing and the distribution of wellbeing</w:t>
      </w:r>
    </w:p>
    <w:p w14:paraId="06566D12" w14:textId="68194440" w:rsidR="00DE4114" w:rsidRPr="00AC45A4" w:rsidRDefault="00085F3F" w:rsidP="002E57F8">
      <w:pPr>
        <w:rPr>
          <w:rStyle w:val="normaltextrun"/>
          <w:rFonts w:eastAsia="Times New Roman"/>
          <w:lang w:val="en-US"/>
        </w:rPr>
      </w:pPr>
      <w:r w:rsidRPr="00AC45A4">
        <w:rPr>
          <w:rStyle w:val="normaltextrun"/>
          <w:rFonts w:eastAsia="Times New Roman"/>
          <w:lang w:val="en-US"/>
        </w:rPr>
        <w:t xml:space="preserve">Within each domain, </w:t>
      </w:r>
      <w:r w:rsidR="00952E81" w:rsidRPr="00AC45A4">
        <w:rPr>
          <w:rStyle w:val="normaltextrun"/>
          <w:rFonts w:eastAsia="Times New Roman"/>
          <w:lang w:val="en-US"/>
        </w:rPr>
        <w:t xml:space="preserve">at least four distinct </w:t>
      </w:r>
      <w:r w:rsidR="00952E81" w:rsidRPr="00AC45A4">
        <w:rPr>
          <w:rStyle w:val="normaltextrun"/>
          <w:rFonts w:eastAsia="Times New Roman"/>
          <w:i/>
          <w:iCs/>
          <w:lang w:val="en-US"/>
        </w:rPr>
        <w:t>measures</w:t>
      </w:r>
      <w:r w:rsidR="00952E81" w:rsidRPr="00AC45A4">
        <w:rPr>
          <w:rStyle w:val="normaltextrun"/>
          <w:rFonts w:eastAsia="Times New Roman"/>
          <w:lang w:val="en-US"/>
        </w:rPr>
        <w:t xml:space="preserve"> are needed</w:t>
      </w:r>
      <w:r w:rsidR="00DE4114" w:rsidRPr="00AC45A4">
        <w:rPr>
          <w:rStyle w:val="normaltextrun"/>
          <w:rFonts w:eastAsia="Times New Roman"/>
          <w:lang w:val="en-US"/>
        </w:rPr>
        <w:t>:</w:t>
      </w:r>
    </w:p>
    <w:p w14:paraId="2F801C05" w14:textId="4BC26FE1" w:rsidR="00DE4114" w:rsidRPr="00D55DC7" w:rsidRDefault="00513FD3" w:rsidP="00D55DC7">
      <w:pPr>
        <w:pStyle w:val="List3"/>
        <w:numPr>
          <w:ilvl w:val="0"/>
          <w:numId w:val="10"/>
        </w:numPr>
      </w:pPr>
      <w:r w:rsidRPr="00154028">
        <w:rPr>
          <w:b/>
          <w:bCs/>
        </w:rPr>
        <w:t>overall level</w:t>
      </w:r>
      <w:r w:rsidR="00D55DC7" w:rsidRPr="00154028">
        <w:rPr>
          <w:b/>
          <w:bCs/>
        </w:rPr>
        <w:t>s</w:t>
      </w:r>
      <w:r w:rsidRPr="00154028">
        <w:rPr>
          <w:b/>
          <w:bCs/>
        </w:rPr>
        <w:t xml:space="preserve"> of wellbeing</w:t>
      </w:r>
      <w:r w:rsidRPr="00D55DC7">
        <w:t xml:space="preserve"> across the community </w:t>
      </w:r>
      <w:r w:rsidR="00D55DC7">
        <w:t xml:space="preserve">at the present time </w:t>
      </w:r>
      <w:r w:rsidRPr="00D55DC7">
        <w:t>(aggregate indicators</w:t>
      </w:r>
      <w:proofErr w:type="gramStart"/>
      <w:r w:rsidRPr="00D55DC7">
        <w:t>)</w:t>
      </w:r>
      <w:r w:rsidR="00952E81" w:rsidRPr="00D55DC7">
        <w:t>;</w:t>
      </w:r>
      <w:proofErr w:type="gramEnd"/>
    </w:p>
    <w:p w14:paraId="358A7A2B" w14:textId="259948C8" w:rsidR="00DE4114" w:rsidRDefault="00513FD3" w:rsidP="00DE4114">
      <w:pPr>
        <w:pStyle w:val="ListParagraph"/>
        <w:numPr>
          <w:ilvl w:val="0"/>
          <w:numId w:val="10"/>
        </w:numPr>
        <w:rPr>
          <w:rStyle w:val="normaltextrun"/>
          <w:rFonts w:eastAsia="Times New Roman"/>
          <w:lang w:val="en-US"/>
        </w:rPr>
      </w:pPr>
      <w:r w:rsidRPr="00154028">
        <w:rPr>
          <w:rStyle w:val="normaltextrun"/>
          <w:rFonts w:eastAsia="Times New Roman"/>
          <w:b/>
          <w:bCs/>
          <w:lang w:val="en-US"/>
        </w:rPr>
        <w:t xml:space="preserve">how </w:t>
      </w:r>
      <w:r w:rsidR="00DD65B3" w:rsidRPr="00154028">
        <w:rPr>
          <w:rStyle w:val="normaltextrun"/>
          <w:rFonts w:eastAsia="Times New Roman"/>
          <w:b/>
          <w:bCs/>
          <w:lang w:val="en-US"/>
        </w:rPr>
        <w:t>wellbeing</w:t>
      </w:r>
      <w:r w:rsidRPr="00154028">
        <w:rPr>
          <w:rStyle w:val="normaltextrun"/>
          <w:rFonts w:eastAsia="Times New Roman"/>
          <w:b/>
          <w:bCs/>
          <w:lang w:val="en-US"/>
        </w:rPr>
        <w:t xml:space="preserve"> is distributed</w:t>
      </w:r>
      <w:r w:rsidRPr="00DE4114">
        <w:rPr>
          <w:rStyle w:val="normaltextrun"/>
          <w:rFonts w:eastAsia="Times New Roman"/>
          <w:lang w:val="en-US"/>
        </w:rPr>
        <w:t xml:space="preserve"> among different groups in the community (distributional indicators</w:t>
      </w:r>
      <w:proofErr w:type="gramStart"/>
      <w:r w:rsidRPr="00DE4114">
        <w:rPr>
          <w:rStyle w:val="normaltextrun"/>
          <w:rFonts w:eastAsia="Times New Roman"/>
          <w:lang w:val="en-US"/>
        </w:rPr>
        <w:t>)</w:t>
      </w:r>
      <w:r w:rsidR="00DD65B3">
        <w:rPr>
          <w:rStyle w:val="normaltextrun"/>
          <w:rFonts w:eastAsia="Times New Roman"/>
          <w:lang w:val="en-US"/>
        </w:rPr>
        <w:t>;</w:t>
      </w:r>
      <w:proofErr w:type="gramEnd"/>
    </w:p>
    <w:p w14:paraId="6FBC1439" w14:textId="31D808B7" w:rsidR="00DD65B3" w:rsidRPr="00DD65B3" w:rsidRDefault="00DD65B3" w:rsidP="00DD65B3">
      <w:pPr>
        <w:pStyle w:val="List3"/>
        <w:numPr>
          <w:ilvl w:val="0"/>
          <w:numId w:val="10"/>
        </w:numPr>
        <w:rPr>
          <w:lang w:val="en-US"/>
        </w:rPr>
      </w:pPr>
      <w:r w:rsidRPr="00154028">
        <w:rPr>
          <w:b/>
          <w:bCs/>
          <w:lang w:val="en-US"/>
        </w:rPr>
        <w:t xml:space="preserve">key risks </w:t>
      </w:r>
      <w:r w:rsidR="00D55DC7" w:rsidRPr="00154028">
        <w:rPr>
          <w:b/>
          <w:bCs/>
          <w:lang w:val="en-US"/>
        </w:rPr>
        <w:t xml:space="preserve">and necessary </w:t>
      </w:r>
      <w:r w:rsidR="00D55DC7" w:rsidRPr="00154028">
        <w:rPr>
          <w:lang w:val="en-US"/>
        </w:rPr>
        <w:t>investments for</w:t>
      </w:r>
      <w:r w:rsidRPr="00154028">
        <w:rPr>
          <w:lang w:val="en-US"/>
        </w:rPr>
        <w:t xml:space="preserve"> </w:t>
      </w:r>
      <w:r w:rsidR="00D55DC7" w:rsidRPr="00154028">
        <w:rPr>
          <w:i/>
          <w:iCs/>
          <w:lang w:val="en-US"/>
        </w:rPr>
        <w:t>future</w:t>
      </w:r>
      <w:r w:rsidR="00D55DC7" w:rsidRPr="00154028">
        <w:rPr>
          <w:lang w:val="en-US"/>
        </w:rPr>
        <w:t xml:space="preserve"> </w:t>
      </w:r>
      <w:r w:rsidRPr="00154028">
        <w:rPr>
          <w:lang w:val="en-US"/>
        </w:rPr>
        <w:t>wellbeing</w:t>
      </w:r>
      <w:r w:rsidR="00D55DC7">
        <w:rPr>
          <w:lang w:val="en-US"/>
        </w:rPr>
        <w:t xml:space="preserve"> </w:t>
      </w:r>
      <w:r>
        <w:rPr>
          <w:lang w:val="en-US"/>
        </w:rPr>
        <w:t>(vulnerability and sustainability indicators);</w:t>
      </w:r>
      <w:r w:rsidR="00150C6F" w:rsidRPr="00150C6F">
        <w:rPr>
          <w:rStyle w:val="FootnoteReference"/>
          <w:rFonts w:eastAsia="Times New Roman"/>
          <w:lang w:val="en-US"/>
        </w:rPr>
        <w:t xml:space="preserve"> </w:t>
      </w:r>
      <w:r w:rsidR="00150C6F">
        <w:rPr>
          <w:rStyle w:val="FootnoteReference"/>
          <w:rFonts w:eastAsia="Times New Roman"/>
          <w:lang w:val="en-US"/>
        </w:rPr>
        <w:footnoteReference w:id="5"/>
      </w:r>
    </w:p>
    <w:p w14:paraId="2B5F9D54" w14:textId="4831CBF6" w:rsidR="00232CDA" w:rsidRPr="00DE4114" w:rsidRDefault="00D55DC7" w:rsidP="00DE4114">
      <w:pPr>
        <w:pStyle w:val="ListParagraph"/>
        <w:numPr>
          <w:ilvl w:val="0"/>
          <w:numId w:val="10"/>
        </w:numPr>
        <w:rPr>
          <w:rStyle w:val="normaltextrun"/>
          <w:rFonts w:eastAsia="Times New Roman"/>
          <w:lang w:val="en-US"/>
        </w:rPr>
      </w:pPr>
      <w:r>
        <w:rPr>
          <w:rStyle w:val="normaltextrun"/>
          <w:rFonts w:eastAsia="Times New Roman"/>
          <w:lang w:val="en-US"/>
        </w:rPr>
        <w:t xml:space="preserve">more specifically, </w:t>
      </w:r>
      <w:r w:rsidRPr="00154028">
        <w:rPr>
          <w:rStyle w:val="normaltextrun"/>
          <w:rFonts w:eastAsia="Times New Roman"/>
          <w:b/>
          <w:bCs/>
          <w:lang w:val="en-US"/>
        </w:rPr>
        <w:t xml:space="preserve">the </w:t>
      </w:r>
      <w:r w:rsidR="00513FD3" w:rsidRPr="00154028">
        <w:rPr>
          <w:rStyle w:val="normaltextrun"/>
          <w:rFonts w:eastAsia="Times New Roman"/>
          <w:b/>
          <w:bCs/>
          <w:lang w:val="en-US"/>
        </w:rPr>
        <w:t xml:space="preserve">contribution </w:t>
      </w:r>
      <w:r w:rsidRPr="00154028">
        <w:rPr>
          <w:rStyle w:val="normaltextrun"/>
          <w:rFonts w:eastAsia="Times New Roman"/>
          <w:b/>
          <w:bCs/>
          <w:lang w:val="en-US"/>
        </w:rPr>
        <w:t xml:space="preserve">that major </w:t>
      </w:r>
      <w:r w:rsidR="00513FD3" w:rsidRPr="00154028">
        <w:rPr>
          <w:rStyle w:val="normaltextrun"/>
          <w:rFonts w:eastAsia="Times New Roman"/>
          <w:b/>
          <w:bCs/>
          <w:lang w:val="en-US"/>
        </w:rPr>
        <w:t>government programs make to wellbeing</w:t>
      </w:r>
      <w:r w:rsidR="00513FD3" w:rsidRPr="00DE4114">
        <w:rPr>
          <w:rStyle w:val="normaltextrun"/>
          <w:rFonts w:eastAsia="Times New Roman"/>
          <w:lang w:val="en-US"/>
        </w:rPr>
        <w:t xml:space="preserve"> (program </w:t>
      </w:r>
      <w:r w:rsidR="00A56A86">
        <w:rPr>
          <w:rStyle w:val="normaltextrun"/>
          <w:rFonts w:eastAsia="Times New Roman"/>
          <w:lang w:val="en-US"/>
        </w:rPr>
        <w:t xml:space="preserve">access and </w:t>
      </w:r>
      <w:r w:rsidR="00513FD3" w:rsidRPr="00DE4114">
        <w:rPr>
          <w:rStyle w:val="normaltextrun"/>
          <w:rFonts w:eastAsia="Times New Roman"/>
          <w:lang w:val="en-US"/>
        </w:rPr>
        <w:t>effectiveness indicators)</w:t>
      </w:r>
      <w:r>
        <w:rPr>
          <w:rStyle w:val="normaltextrun"/>
          <w:rFonts w:eastAsia="Times New Roman"/>
          <w:lang w:val="en-US"/>
        </w:rPr>
        <w:t>.</w:t>
      </w:r>
    </w:p>
    <w:p w14:paraId="5180FB74" w14:textId="54F37543" w:rsidR="005257DC" w:rsidRDefault="00513FD3" w:rsidP="00513FD3">
      <w:pPr>
        <w:rPr>
          <w:rStyle w:val="normaltextrun"/>
          <w:rFonts w:eastAsia="Times New Roman"/>
          <w:lang w:val="en-US"/>
        </w:rPr>
      </w:pPr>
      <w:r>
        <w:rPr>
          <w:rStyle w:val="normaltextrun"/>
          <w:rFonts w:eastAsia="Times New Roman"/>
          <w:lang w:val="en-US"/>
        </w:rPr>
        <w:t>For illustrative purposes, the table below shows the domains used in the Irish government’s wellbeing framework</w:t>
      </w:r>
      <w:r w:rsidR="00F6112E">
        <w:rPr>
          <w:rStyle w:val="normaltextrun"/>
          <w:rFonts w:eastAsia="Times New Roman"/>
          <w:lang w:val="en-US"/>
        </w:rPr>
        <w:t xml:space="preserve"> (slightly amended)</w:t>
      </w:r>
      <w:r>
        <w:rPr>
          <w:rStyle w:val="normaltextrun"/>
          <w:rFonts w:eastAsia="Times New Roman"/>
          <w:lang w:val="en-US"/>
        </w:rPr>
        <w:t xml:space="preserve">, </w:t>
      </w:r>
      <w:r w:rsidR="00D55DC7">
        <w:rPr>
          <w:rStyle w:val="normaltextrun"/>
          <w:rFonts w:eastAsia="Times New Roman"/>
          <w:lang w:val="en-US"/>
        </w:rPr>
        <w:t>the four measures</w:t>
      </w:r>
      <w:r w:rsidR="009B5CD9">
        <w:rPr>
          <w:rStyle w:val="normaltextrun"/>
          <w:rFonts w:eastAsia="Times New Roman"/>
          <w:lang w:val="en-US"/>
        </w:rPr>
        <w:t>,</w:t>
      </w:r>
      <w:r w:rsidR="00D55DC7">
        <w:rPr>
          <w:rStyle w:val="normaltextrun"/>
          <w:rFonts w:eastAsia="Times New Roman"/>
          <w:lang w:val="en-US"/>
        </w:rPr>
        <w:t xml:space="preserve"> three key questions, </w:t>
      </w:r>
      <w:r>
        <w:rPr>
          <w:rStyle w:val="normaltextrun"/>
          <w:rFonts w:eastAsia="Times New Roman"/>
          <w:lang w:val="en-US"/>
        </w:rPr>
        <w:t>a non-exhaustive list of possible indicators of wellbeing within each domain</w:t>
      </w:r>
      <w:r w:rsidR="00F6112E">
        <w:rPr>
          <w:rStyle w:val="normaltextrun"/>
          <w:rFonts w:eastAsia="Times New Roman"/>
          <w:lang w:val="en-US"/>
        </w:rPr>
        <w:t xml:space="preserve"> (drawn from the OECD wellbeing indicators)</w:t>
      </w:r>
      <w:r>
        <w:rPr>
          <w:rStyle w:val="normaltextrun"/>
          <w:rFonts w:eastAsia="Times New Roman"/>
          <w:lang w:val="en-US"/>
        </w:rPr>
        <w:t xml:space="preserve">, </w:t>
      </w:r>
      <w:r w:rsidR="00085F3F">
        <w:rPr>
          <w:rStyle w:val="normaltextrun"/>
          <w:rFonts w:eastAsia="Times New Roman"/>
          <w:lang w:val="en-US"/>
        </w:rPr>
        <w:t xml:space="preserve">and </w:t>
      </w:r>
      <w:r w:rsidR="00F6112E">
        <w:rPr>
          <w:rStyle w:val="normaltextrun"/>
          <w:rFonts w:eastAsia="Times New Roman"/>
          <w:lang w:val="en-US"/>
        </w:rPr>
        <w:t xml:space="preserve">major </w:t>
      </w:r>
      <w:r w:rsidR="00085F3F">
        <w:rPr>
          <w:rStyle w:val="normaltextrun"/>
          <w:rFonts w:eastAsia="Times New Roman"/>
          <w:lang w:val="en-US"/>
        </w:rPr>
        <w:t xml:space="preserve">Commonwealth government programs </w:t>
      </w:r>
      <w:r w:rsidR="00F6112E">
        <w:rPr>
          <w:rStyle w:val="normaltextrun"/>
          <w:rFonts w:eastAsia="Times New Roman"/>
          <w:lang w:val="en-US"/>
        </w:rPr>
        <w:t xml:space="preserve">impacting on </w:t>
      </w:r>
      <w:r w:rsidR="00085F3F">
        <w:rPr>
          <w:rStyle w:val="normaltextrun"/>
          <w:rFonts w:eastAsia="Times New Roman"/>
          <w:lang w:val="en-US"/>
        </w:rPr>
        <w:t xml:space="preserve">each domain. </w:t>
      </w:r>
    </w:p>
    <w:p w14:paraId="581342E2" w14:textId="468A86E0" w:rsidR="00513FD3" w:rsidRDefault="005D680B" w:rsidP="00CB6D13">
      <w:pPr>
        <w:jc w:val="both"/>
        <w:rPr>
          <w:rStyle w:val="normaltextrun"/>
          <w:rFonts w:eastAsia="Times New Roman"/>
          <w:lang w:val="en-US"/>
        </w:rPr>
      </w:pPr>
      <w:r>
        <w:rPr>
          <w:rStyle w:val="normaltextrun"/>
          <w:rFonts w:eastAsia="Times New Roman"/>
          <w:lang w:val="en-US"/>
        </w:rPr>
        <w:t>Whi</w:t>
      </w:r>
      <w:r w:rsidR="00CB6D13">
        <w:rPr>
          <w:rStyle w:val="normaltextrun"/>
          <w:rFonts w:eastAsia="Times New Roman"/>
          <w:lang w:val="en-US"/>
        </w:rPr>
        <w:t>le</w:t>
      </w:r>
      <w:r>
        <w:rPr>
          <w:rStyle w:val="normaltextrun"/>
          <w:rFonts w:eastAsia="Times New Roman"/>
          <w:lang w:val="en-US"/>
        </w:rPr>
        <w:t xml:space="preserve"> we do not advocate adoption of a </w:t>
      </w:r>
      <w:r w:rsidR="00CB6D13">
        <w:rPr>
          <w:rStyle w:val="normaltextrun"/>
          <w:rFonts w:eastAsia="Times New Roman"/>
          <w:lang w:val="en-US"/>
        </w:rPr>
        <w:t xml:space="preserve">particular </w:t>
      </w:r>
      <w:r>
        <w:rPr>
          <w:rStyle w:val="normaltextrun"/>
          <w:rFonts w:eastAsia="Times New Roman"/>
          <w:lang w:val="en-US"/>
        </w:rPr>
        <w:t xml:space="preserve">Framework already developed in another country context, we note that </w:t>
      </w:r>
      <w:r w:rsidR="00085F3F">
        <w:rPr>
          <w:rStyle w:val="normaltextrun"/>
          <w:rFonts w:eastAsia="Times New Roman"/>
          <w:lang w:val="en-US"/>
        </w:rPr>
        <w:t xml:space="preserve">the Irish framework </w:t>
      </w:r>
      <w:r>
        <w:rPr>
          <w:rStyle w:val="normaltextrun"/>
          <w:rFonts w:eastAsia="Times New Roman"/>
          <w:lang w:val="en-US"/>
        </w:rPr>
        <w:t xml:space="preserve">is </w:t>
      </w:r>
      <w:r w:rsidR="00085F3F">
        <w:rPr>
          <w:rStyle w:val="normaltextrun"/>
          <w:rFonts w:eastAsia="Times New Roman"/>
          <w:lang w:val="en-US"/>
        </w:rPr>
        <w:t>easy to understand and well-grounded in people’s lived experience</w:t>
      </w:r>
      <w:r w:rsidR="00C53591">
        <w:rPr>
          <w:rStyle w:val="normaltextrun"/>
          <w:rFonts w:eastAsia="Times New Roman"/>
          <w:lang w:val="en-US"/>
        </w:rPr>
        <w:t>. Th</w:t>
      </w:r>
      <w:r>
        <w:rPr>
          <w:rStyle w:val="normaltextrun"/>
          <w:rFonts w:eastAsia="Times New Roman"/>
          <w:lang w:val="en-US"/>
        </w:rPr>
        <w:t xml:space="preserve">e </w:t>
      </w:r>
      <w:r w:rsidR="00CB6D13">
        <w:rPr>
          <w:rStyle w:val="normaltextrun"/>
          <w:rFonts w:eastAsia="Times New Roman"/>
          <w:lang w:val="en-US"/>
        </w:rPr>
        <w:t>indicators provide</w:t>
      </w:r>
      <w:r w:rsidR="00C53591">
        <w:rPr>
          <w:rStyle w:val="normaltextrun"/>
          <w:rFonts w:eastAsia="Times New Roman"/>
          <w:lang w:val="en-US"/>
        </w:rPr>
        <w:t xml:space="preserve"> a logical framework to </w:t>
      </w:r>
      <w:r w:rsidR="00165E48">
        <w:rPr>
          <w:rStyle w:val="normaltextrun"/>
          <w:rFonts w:eastAsia="Times New Roman"/>
          <w:lang w:val="en-US"/>
        </w:rPr>
        <w:t>cluster</w:t>
      </w:r>
      <w:r w:rsidR="00C53591">
        <w:rPr>
          <w:rStyle w:val="normaltextrun"/>
          <w:rFonts w:eastAsia="Times New Roman"/>
          <w:lang w:val="en-US"/>
        </w:rPr>
        <w:t xml:space="preserve"> major Commonwealth programs according to the domain in which they have the greatest impact.</w:t>
      </w:r>
    </w:p>
    <w:p w14:paraId="26A9178B" w14:textId="27480C66" w:rsidR="00154028" w:rsidRDefault="00154028" w:rsidP="00513FD3">
      <w:pPr>
        <w:rPr>
          <w:rStyle w:val="normaltextrun"/>
          <w:rFonts w:eastAsia="Times New Roman"/>
          <w:lang w:val="en-US"/>
        </w:rPr>
      </w:pPr>
      <w:r>
        <w:rPr>
          <w:rStyle w:val="normaltextrun"/>
          <w:rFonts w:eastAsia="Times New Roman"/>
          <w:lang w:val="en-US"/>
        </w:rPr>
        <w:t>Bolded indicators are those of highest priority for ACOSS, but this is not an exhaustive list.</w:t>
      </w:r>
    </w:p>
    <w:p w14:paraId="6449F266" w14:textId="77777777" w:rsidR="003B18BF" w:rsidRDefault="003B18BF">
      <w:pPr>
        <w:spacing w:before="0" w:after="20" w:line="240" w:lineRule="auto"/>
        <w:ind w:left="0"/>
        <w:jc w:val="both"/>
        <w:rPr>
          <w:rStyle w:val="normaltextrun"/>
          <w:rFonts w:eastAsia="Times New Roman"/>
          <w:b/>
          <w:bCs/>
          <w:lang w:val="en-US"/>
        </w:rPr>
      </w:pPr>
      <w:r>
        <w:rPr>
          <w:rStyle w:val="normaltextrun"/>
          <w:rFonts w:eastAsia="Times New Roman"/>
          <w:b/>
          <w:bCs/>
          <w:lang w:val="en-US"/>
        </w:rPr>
        <w:lastRenderedPageBreak/>
        <w:br w:type="page"/>
      </w:r>
    </w:p>
    <w:p w14:paraId="0363714A" w14:textId="50ABA79C" w:rsidR="00C53591" w:rsidRPr="00F6112E" w:rsidRDefault="00F6112E" w:rsidP="00AC45A4">
      <w:pPr>
        <w:rPr>
          <w:rStyle w:val="normaltextrun"/>
          <w:rFonts w:eastAsia="Times New Roman"/>
          <w:b/>
          <w:bCs/>
          <w:lang w:val="en-US"/>
        </w:rPr>
      </w:pPr>
      <w:r w:rsidRPr="00F6112E">
        <w:rPr>
          <w:rStyle w:val="normaltextrun"/>
          <w:rFonts w:eastAsia="Times New Roman"/>
          <w:b/>
          <w:bCs/>
          <w:lang w:val="en-US"/>
        </w:rPr>
        <w:t>Illustrative structure for a wellbeing framework</w:t>
      </w:r>
    </w:p>
    <w:tbl>
      <w:tblPr>
        <w:tblStyle w:val="ACOSSTable"/>
        <w:tblW w:w="0" w:type="auto"/>
        <w:tblInd w:w="170" w:type="dxa"/>
        <w:tblLook w:val="04A0" w:firstRow="1" w:lastRow="0" w:firstColumn="1" w:lastColumn="0" w:noHBand="0" w:noVBand="1"/>
      </w:tblPr>
      <w:tblGrid>
        <w:gridCol w:w="1756"/>
        <w:gridCol w:w="1807"/>
        <w:gridCol w:w="1765"/>
        <w:gridCol w:w="1720"/>
        <w:gridCol w:w="1803"/>
      </w:tblGrid>
      <w:tr w:rsidR="003A61F1" w14:paraId="5656A379" w14:textId="77777777" w:rsidTr="009A1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459F3887" w14:textId="039F08F5" w:rsidR="00C53591" w:rsidRDefault="00C53591" w:rsidP="00BD3B6F">
            <w:pPr>
              <w:ind w:left="0"/>
              <w:rPr>
                <w:rStyle w:val="normaltextrun"/>
                <w:rFonts w:eastAsia="Times New Roman"/>
                <w:lang w:val="en-US"/>
              </w:rPr>
            </w:pPr>
            <w:r>
              <w:rPr>
                <w:rStyle w:val="normaltextrun"/>
                <w:rFonts w:eastAsia="Times New Roman"/>
                <w:lang w:val="en-US"/>
              </w:rPr>
              <w:t>Domain</w:t>
            </w:r>
          </w:p>
        </w:tc>
        <w:tc>
          <w:tcPr>
            <w:tcW w:w="1771" w:type="dxa"/>
          </w:tcPr>
          <w:p w14:paraId="08486E89" w14:textId="63D1E45A" w:rsidR="00C53591" w:rsidRDefault="00C53591" w:rsidP="00BD3B6F">
            <w:pPr>
              <w:ind w:left="0"/>
              <w:cnfStyle w:val="100000000000" w:firstRow="1" w:lastRow="0" w:firstColumn="0" w:lastColumn="0" w:oddVBand="0" w:evenVBand="0" w:oddHBand="0" w:evenHBand="0" w:firstRowFirstColumn="0" w:firstRowLastColumn="0" w:lastRowFirstColumn="0" w:lastRowLastColumn="0"/>
              <w:rPr>
                <w:rStyle w:val="normaltextrun"/>
                <w:rFonts w:eastAsia="Times New Roman"/>
                <w:lang w:val="en-US"/>
              </w:rPr>
            </w:pPr>
            <w:r>
              <w:rPr>
                <w:rStyle w:val="normaltextrun"/>
                <w:rFonts w:eastAsia="Times New Roman"/>
                <w:lang w:val="en-US"/>
              </w:rPr>
              <w:t>Overall wellbeing</w:t>
            </w:r>
          </w:p>
        </w:tc>
        <w:tc>
          <w:tcPr>
            <w:tcW w:w="1782" w:type="dxa"/>
          </w:tcPr>
          <w:p w14:paraId="5DC528ED" w14:textId="6CC2F492" w:rsidR="00C53591" w:rsidRDefault="00C53591" w:rsidP="00BD3B6F">
            <w:pPr>
              <w:ind w:left="0"/>
              <w:cnfStyle w:val="100000000000" w:firstRow="1" w:lastRow="0" w:firstColumn="0" w:lastColumn="0" w:oddVBand="0" w:evenVBand="0" w:oddHBand="0" w:evenHBand="0" w:firstRowFirstColumn="0" w:firstRowLastColumn="0" w:lastRowFirstColumn="0" w:lastRowLastColumn="0"/>
              <w:rPr>
                <w:rStyle w:val="normaltextrun"/>
                <w:rFonts w:eastAsia="Times New Roman"/>
                <w:lang w:val="en-US"/>
              </w:rPr>
            </w:pPr>
            <w:r>
              <w:rPr>
                <w:rStyle w:val="normaltextrun"/>
                <w:rFonts w:eastAsia="Times New Roman"/>
                <w:lang w:val="en-US"/>
              </w:rPr>
              <w:t>Distribution of wellbeing</w:t>
            </w:r>
          </w:p>
        </w:tc>
        <w:tc>
          <w:tcPr>
            <w:tcW w:w="1723" w:type="dxa"/>
          </w:tcPr>
          <w:p w14:paraId="6FBFFDE9" w14:textId="37714FEF" w:rsidR="00C53591" w:rsidRDefault="001E7BF0" w:rsidP="00BD3B6F">
            <w:pPr>
              <w:ind w:left="0"/>
              <w:cnfStyle w:val="100000000000" w:firstRow="1" w:lastRow="0" w:firstColumn="0" w:lastColumn="0" w:oddVBand="0" w:evenVBand="0" w:oddHBand="0" w:evenHBand="0" w:firstRowFirstColumn="0" w:firstRowLastColumn="0" w:lastRowFirstColumn="0" w:lastRowLastColumn="0"/>
              <w:rPr>
                <w:rStyle w:val="normaltextrun"/>
                <w:rFonts w:eastAsia="Times New Roman"/>
                <w:lang w:val="en-US"/>
              </w:rPr>
            </w:pPr>
            <w:r>
              <w:rPr>
                <w:rStyle w:val="normaltextrun"/>
                <w:rFonts w:eastAsia="Times New Roman"/>
                <w:lang w:val="en-US"/>
              </w:rPr>
              <w:t>V</w:t>
            </w:r>
            <w:proofErr w:type="spellStart"/>
            <w:r>
              <w:rPr>
                <w:rStyle w:val="normaltextrun"/>
                <w:rFonts w:eastAsia="Times New Roman"/>
              </w:rPr>
              <w:t>ulnerability</w:t>
            </w:r>
            <w:proofErr w:type="spellEnd"/>
            <w:r>
              <w:rPr>
                <w:rStyle w:val="normaltextrun"/>
                <w:rFonts w:eastAsia="Times New Roman"/>
              </w:rPr>
              <w:t xml:space="preserve"> and s</w:t>
            </w:r>
            <w:proofErr w:type="spellStart"/>
            <w:r w:rsidR="0092772E">
              <w:rPr>
                <w:rStyle w:val="normaltextrun"/>
                <w:rFonts w:eastAsia="Times New Roman"/>
                <w:lang w:val="en-US"/>
              </w:rPr>
              <w:t>ustainability</w:t>
            </w:r>
            <w:proofErr w:type="spellEnd"/>
            <w:r w:rsidR="0092772E">
              <w:rPr>
                <w:rStyle w:val="normaltextrun"/>
                <w:rFonts w:eastAsia="Times New Roman"/>
                <w:lang w:val="en-US"/>
              </w:rPr>
              <w:t>*</w:t>
            </w:r>
          </w:p>
        </w:tc>
        <w:tc>
          <w:tcPr>
            <w:tcW w:w="1804" w:type="dxa"/>
          </w:tcPr>
          <w:p w14:paraId="337CD07A" w14:textId="635BFD3C" w:rsidR="00C53591" w:rsidRDefault="00F6112E" w:rsidP="00BD3B6F">
            <w:pPr>
              <w:ind w:left="0"/>
              <w:cnfStyle w:val="100000000000" w:firstRow="1" w:lastRow="0" w:firstColumn="0" w:lastColumn="0" w:oddVBand="0" w:evenVBand="0" w:oddHBand="0" w:evenHBand="0" w:firstRowFirstColumn="0" w:firstRowLastColumn="0" w:lastRowFirstColumn="0" w:lastRowLastColumn="0"/>
              <w:rPr>
                <w:rStyle w:val="normaltextrun"/>
                <w:rFonts w:eastAsia="Times New Roman"/>
                <w:lang w:val="en-US"/>
              </w:rPr>
            </w:pPr>
            <w:r>
              <w:rPr>
                <w:rStyle w:val="normaltextrun"/>
                <w:rFonts w:eastAsia="Times New Roman"/>
                <w:lang w:val="en-US"/>
              </w:rPr>
              <w:t>Relevant</w:t>
            </w:r>
            <w:r w:rsidR="00C53591">
              <w:rPr>
                <w:rStyle w:val="normaltextrun"/>
                <w:rFonts w:eastAsia="Times New Roman"/>
                <w:lang w:val="en-US"/>
              </w:rPr>
              <w:t xml:space="preserve"> Commonwealth programs</w:t>
            </w:r>
            <w:r w:rsidR="00DA28EF">
              <w:rPr>
                <w:rStyle w:val="normaltextrun"/>
                <w:rFonts w:eastAsia="Times New Roman"/>
              </w:rPr>
              <w:t>#</w:t>
            </w:r>
          </w:p>
        </w:tc>
      </w:tr>
      <w:tr w:rsidR="003A61F1" w14:paraId="0A787FDA" w14:textId="77777777" w:rsidTr="009A1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54CA39EA" w14:textId="5506AF6F" w:rsidR="00C53591" w:rsidRDefault="009A11D4" w:rsidP="00BD3B6F">
            <w:pPr>
              <w:ind w:left="0"/>
              <w:rPr>
                <w:rStyle w:val="normaltextrun"/>
                <w:rFonts w:eastAsia="Times New Roman"/>
                <w:lang w:val="en-US"/>
              </w:rPr>
            </w:pPr>
            <w:r w:rsidRPr="009A11D4">
              <w:rPr>
                <w:rStyle w:val="normaltextrun"/>
                <w:rFonts w:eastAsia="Times New Roman"/>
                <w:lang w:val="en-US"/>
              </w:rPr>
              <w:t>Subjective Well-being</w:t>
            </w:r>
          </w:p>
        </w:tc>
        <w:tc>
          <w:tcPr>
            <w:tcW w:w="1771" w:type="dxa"/>
          </w:tcPr>
          <w:p w14:paraId="2DB03C6F" w14:textId="77777777" w:rsidR="0092772E" w:rsidRDefault="0092772E" w:rsidP="0092772E">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Life Satisfaction </w:t>
            </w:r>
          </w:p>
          <w:p w14:paraId="6D1CA17E" w14:textId="77777777" w:rsidR="00C53591" w:rsidRDefault="00C53591" w:rsidP="00BD3B6F">
            <w:pPr>
              <w:ind w:left="0"/>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p>
        </w:tc>
        <w:tc>
          <w:tcPr>
            <w:tcW w:w="1782" w:type="dxa"/>
          </w:tcPr>
          <w:p w14:paraId="01FF287B" w14:textId="5E4FAC59" w:rsidR="00D16475" w:rsidRPr="00D16475" w:rsidRDefault="00D16475" w:rsidP="00D16475">
            <w:pPr>
              <w:pStyle w:val="Default"/>
              <w:cnfStyle w:val="000000100000" w:firstRow="0" w:lastRow="0" w:firstColumn="0" w:lastColumn="0" w:oddVBand="0" w:evenVBand="0" w:oddHBand="1" w:evenHBand="0" w:firstRowFirstColumn="0" w:firstRowLastColumn="0" w:lastRowFirstColumn="0" w:lastRowLastColumn="0"/>
              <w:rPr>
                <w:szCs w:val="18"/>
              </w:rPr>
            </w:pPr>
            <w:r>
              <w:rPr>
                <w:sz w:val="18"/>
                <w:szCs w:val="18"/>
              </w:rPr>
              <w:t>Gaps in l</w:t>
            </w:r>
            <w:r w:rsidRPr="00D16475">
              <w:rPr>
                <w:sz w:val="18"/>
                <w:szCs w:val="18"/>
              </w:rPr>
              <w:t>ife satisfaction by income</w:t>
            </w:r>
          </w:p>
          <w:p w14:paraId="7E6C56A8" w14:textId="259AA5D1" w:rsidR="00C53591" w:rsidRDefault="00D16475" w:rsidP="00D16475">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Pr>
                <w:sz w:val="18"/>
                <w:szCs w:val="18"/>
              </w:rPr>
              <w:t>Gaps in l</w:t>
            </w:r>
            <w:r w:rsidRPr="00D16475">
              <w:rPr>
                <w:sz w:val="18"/>
                <w:szCs w:val="18"/>
              </w:rPr>
              <w:t xml:space="preserve">ife satisfaction </w:t>
            </w:r>
            <w:r>
              <w:rPr>
                <w:sz w:val="18"/>
                <w:szCs w:val="18"/>
              </w:rPr>
              <w:t>for First Nations people</w:t>
            </w:r>
          </w:p>
        </w:tc>
        <w:tc>
          <w:tcPr>
            <w:tcW w:w="1723" w:type="dxa"/>
          </w:tcPr>
          <w:p w14:paraId="1D455CDA" w14:textId="46952E97" w:rsidR="00C53591" w:rsidRDefault="00A56A86" w:rsidP="00A56A86">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sidRPr="00A56A86">
              <w:rPr>
                <w:sz w:val="18"/>
                <w:szCs w:val="18"/>
              </w:rPr>
              <w:t>Groups with low life satisfaction over long periods of time</w:t>
            </w:r>
          </w:p>
        </w:tc>
        <w:tc>
          <w:tcPr>
            <w:tcW w:w="1804" w:type="dxa"/>
          </w:tcPr>
          <w:p w14:paraId="0907C761" w14:textId="77777777" w:rsidR="00C53591" w:rsidRDefault="00C53591" w:rsidP="00BD3B6F">
            <w:pPr>
              <w:ind w:left="0"/>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p>
        </w:tc>
      </w:tr>
      <w:tr w:rsidR="003A61F1" w14:paraId="7A6D28F8" w14:textId="77777777" w:rsidTr="009A1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4BCD76BB" w14:textId="039A8AE5" w:rsidR="00C53591" w:rsidRDefault="00DE4114" w:rsidP="00BD3B6F">
            <w:pPr>
              <w:ind w:left="0"/>
              <w:rPr>
                <w:rStyle w:val="normaltextrun"/>
                <w:rFonts w:eastAsia="Times New Roman"/>
                <w:lang w:val="en-US"/>
              </w:rPr>
            </w:pPr>
            <w:r w:rsidRPr="00DE4114">
              <w:rPr>
                <w:rStyle w:val="normaltextrun"/>
                <w:rFonts w:eastAsia="Times New Roman"/>
                <w:lang w:val="en-US"/>
              </w:rPr>
              <w:t>Mental and Physical Health</w:t>
            </w:r>
          </w:p>
        </w:tc>
        <w:tc>
          <w:tcPr>
            <w:tcW w:w="1771" w:type="dxa"/>
          </w:tcPr>
          <w:p w14:paraId="23CBBE0C" w14:textId="0E64A0B5" w:rsidR="0092772E" w:rsidRDefault="0092772E" w:rsidP="0092772E">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Life Expectancy </w:t>
            </w:r>
          </w:p>
          <w:p w14:paraId="3669080D" w14:textId="26B42EFB" w:rsidR="0092772E" w:rsidRDefault="0092772E" w:rsidP="0092772E">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Negative affect balance </w:t>
            </w:r>
            <w:r w:rsidR="00122497">
              <w:rPr>
                <w:sz w:val="18"/>
                <w:szCs w:val="18"/>
              </w:rPr>
              <w:t>(depression</w:t>
            </w:r>
            <w:proofErr w:type="gramStart"/>
            <w:r w:rsidR="00122497">
              <w:rPr>
                <w:sz w:val="18"/>
                <w:szCs w:val="18"/>
              </w:rPr>
              <w:t>)</w:t>
            </w:r>
            <w:r w:rsidR="00A56A86">
              <w:rPr>
                <w:sz w:val="18"/>
                <w:szCs w:val="18"/>
              </w:rPr>
              <w:t>;</w:t>
            </w:r>
            <w:proofErr w:type="gramEnd"/>
          </w:p>
          <w:p w14:paraId="45760955" w14:textId="13C9259A" w:rsidR="0092772E" w:rsidRDefault="00D16475" w:rsidP="0092772E">
            <w:pPr>
              <w:pStyle w:val="Default"/>
              <w:cnfStyle w:val="000000010000" w:firstRow="0" w:lastRow="0" w:firstColumn="0" w:lastColumn="0" w:oddVBand="0" w:evenVBand="0" w:oddHBand="0" w:evenHBand="1" w:firstRowFirstColumn="0" w:firstRowLastColumn="0" w:lastRowFirstColumn="0" w:lastRowLastColumn="0"/>
              <w:rPr>
                <w:sz w:val="18"/>
                <w:szCs w:val="18"/>
              </w:rPr>
            </w:pPr>
            <w:proofErr w:type="gramStart"/>
            <w:r>
              <w:rPr>
                <w:sz w:val="18"/>
                <w:szCs w:val="18"/>
              </w:rPr>
              <w:t>Morbidity</w:t>
            </w:r>
            <w:r w:rsidR="00A56A86">
              <w:rPr>
                <w:sz w:val="18"/>
                <w:szCs w:val="18"/>
              </w:rPr>
              <w:t>;</w:t>
            </w:r>
            <w:proofErr w:type="gramEnd"/>
          </w:p>
          <w:p w14:paraId="6FCD1E71" w14:textId="697B2933" w:rsidR="00D16475" w:rsidRDefault="00D16475" w:rsidP="0092772E">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Dental caries (decay</w:t>
            </w:r>
            <w:proofErr w:type="gramStart"/>
            <w:r>
              <w:rPr>
                <w:sz w:val="18"/>
                <w:szCs w:val="18"/>
              </w:rPr>
              <w:t>)</w:t>
            </w:r>
            <w:r w:rsidR="00A56A86">
              <w:rPr>
                <w:sz w:val="18"/>
                <w:szCs w:val="18"/>
              </w:rPr>
              <w:t>;</w:t>
            </w:r>
            <w:proofErr w:type="gramEnd"/>
          </w:p>
          <w:p w14:paraId="2450C80A" w14:textId="68215853" w:rsidR="00C53591" w:rsidRDefault="002256DE" w:rsidP="00122497">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r>
              <w:rPr>
                <w:sz w:val="18"/>
                <w:szCs w:val="18"/>
              </w:rPr>
              <w:t>Access to health services</w:t>
            </w:r>
          </w:p>
        </w:tc>
        <w:tc>
          <w:tcPr>
            <w:tcW w:w="1782" w:type="dxa"/>
          </w:tcPr>
          <w:p w14:paraId="731C2C9E" w14:textId="553B3C29" w:rsidR="00B17DAD" w:rsidRDefault="00B17DAD" w:rsidP="00B17DAD">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Gap</w:t>
            </w:r>
            <w:r w:rsidR="00D16475">
              <w:rPr>
                <w:sz w:val="18"/>
                <w:szCs w:val="18"/>
              </w:rPr>
              <w:t>s</w:t>
            </w:r>
            <w:r>
              <w:rPr>
                <w:sz w:val="18"/>
                <w:szCs w:val="18"/>
              </w:rPr>
              <w:t xml:space="preserve"> in morbidity by </w:t>
            </w:r>
            <w:proofErr w:type="gramStart"/>
            <w:r>
              <w:rPr>
                <w:sz w:val="18"/>
                <w:szCs w:val="18"/>
              </w:rPr>
              <w:t>income</w:t>
            </w:r>
            <w:r w:rsidR="00A56A86">
              <w:rPr>
                <w:sz w:val="18"/>
                <w:szCs w:val="18"/>
              </w:rPr>
              <w:t>;</w:t>
            </w:r>
            <w:proofErr w:type="gramEnd"/>
          </w:p>
          <w:p w14:paraId="5F409ED2" w14:textId="5C7FD260" w:rsidR="00B17DAD" w:rsidRDefault="00B17DAD" w:rsidP="00B17DAD">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Gap in </w:t>
            </w:r>
            <w:r w:rsidR="00D16475">
              <w:rPr>
                <w:sz w:val="18"/>
                <w:szCs w:val="18"/>
              </w:rPr>
              <w:t>l</w:t>
            </w:r>
            <w:r>
              <w:rPr>
                <w:sz w:val="18"/>
                <w:szCs w:val="18"/>
              </w:rPr>
              <w:t xml:space="preserve">ife </w:t>
            </w:r>
            <w:r w:rsidR="00D16475">
              <w:rPr>
                <w:sz w:val="18"/>
                <w:szCs w:val="18"/>
              </w:rPr>
              <w:t>e</w:t>
            </w:r>
            <w:r>
              <w:rPr>
                <w:sz w:val="18"/>
                <w:szCs w:val="18"/>
              </w:rPr>
              <w:t xml:space="preserve">xpectancy by </w:t>
            </w:r>
            <w:proofErr w:type="gramStart"/>
            <w:r>
              <w:rPr>
                <w:sz w:val="18"/>
                <w:szCs w:val="18"/>
              </w:rPr>
              <w:t>education</w:t>
            </w:r>
            <w:r w:rsidR="00A56A86">
              <w:rPr>
                <w:sz w:val="18"/>
                <w:szCs w:val="18"/>
              </w:rPr>
              <w:t>;</w:t>
            </w:r>
            <w:proofErr w:type="gramEnd"/>
          </w:p>
          <w:p w14:paraId="4A3DBDBC" w14:textId="2EB692C7" w:rsidR="00C53591" w:rsidRPr="00154028" w:rsidRDefault="00B17DAD" w:rsidP="00D16475">
            <w:pPr>
              <w:pStyle w:val="Default"/>
              <w:cnfStyle w:val="000000010000" w:firstRow="0" w:lastRow="0" w:firstColumn="0" w:lastColumn="0" w:oddVBand="0" w:evenVBand="0" w:oddHBand="0" w:evenHBand="1" w:firstRowFirstColumn="0" w:firstRowLastColumn="0" w:lastRowFirstColumn="0" w:lastRowLastColumn="0"/>
              <w:rPr>
                <w:b/>
                <w:bCs/>
                <w:sz w:val="18"/>
                <w:szCs w:val="18"/>
              </w:rPr>
            </w:pPr>
            <w:r w:rsidRPr="00154028">
              <w:rPr>
                <w:b/>
                <w:bCs/>
                <w:sz w:val="18"/>
                <w:szCs w:val="18"/>
              </w:rPr>
              <w:t xml:space="preserve">Gaps in morbidity and life expectancy for First Nations </w:t>
            </w:r>
            <w:proofErr w:type="gramStart"/>
            <w:r w:rsidRPr="00154028">
              <w:rPr>
                <w:b/>
                <w:bCs/>
                <w:sz w:val="18"/>
                <w:szCs w:val="18"/>
              </w:rPr>
              <w:t>people</w:t>
            </w:r>
            <w:r w:rsidR="00A56A86" w:rsidRPr="00154028">
              <w:rPr>
                <w:b/>
                <w:bCs/>
                <w:sz w:val="18"/>
                <w:szCs w:val="18"/>
              </w:rPr>
              <w:t>;</w:t>
            </w:r>
            <w:proofErr w:type="gramEnd"/>
          </w:p>
          <w:p w14:paraId="4A16F4E2" w14:textId="6A980974" w:rsidR="002256DE" w:rsidRDefault="002256DE" w:rsidP="00D16475">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r w:rsidRPr="002256DE">
              <w:rPr>
                <w:sz w:val="18"/>
                <w:szCs w:val="18"/>
              </w:rPr>
              <w:t>Gaps in access to health services</w:t>
            </w:r>
          </w:p>
        </w:tc>
        <w:tc>
          <w:tcPr>
            <w:tcW w:w="1723" w:type="dxa"/>
          </w:tcPr>
          <w:p w14:paraId="0B4D80CD" w14:textId="2D29B755" w:rsidR="00C53591" w:rsidRDefault="00D16475" w:rsidP="00D16475">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D16475">
              <w:rPr>
                <w:sz w:val="18"/>
                <w:szCs w:val="18"/>
              </w:rPr>
              <w:t xml:space="preserve">Incidence of overweight &amp; </w:t>
            </w:r>
            <w:proofErr w:type="gramStart"/>
            <w:r w:rsidRPr="00D16475">
              <w:rPr>
                <w:sz w:val="18"/>
                <w:szCs w:val="18"/>
              </w:rPr>
              <w:t>obesity</w:t>
            </w:r>
            <w:r w:rsidR="00A56A86">
              <w:rPr>
                <w:sz w:val="18"/>
                <w:szCs w:val="18"/>
              </w:rPr>
              <w:t>;</w:t>
            </w:r>
            <w:proofErr w:type="gramEnd"/>
          </w:p>
          <w:p w14:paraId="03CD7081" w14:textId="346B05F5" w:rsidR="00D16475" w:rsidRDefault="00D16475" w:rsidP="00D16475">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Incidence of life-threatening </w:t>
            </w:r>
            <w:proofErr w:type="gramStart"/>
            <w:r>
              <w:rPr>
                <w:sz w:val="18"/>
                <w:szCs w:val="18"/>
              </w:rPr>
              <w:t>diseases</w:t>
            </w:r>
            <w:r w:rsidR="00A56A86">
              <w:rPr>
                <w:sz w:val="18"/>
                <w:szCs w:val="18"/>
              </w:rPr>
              <w:t>;</w:t>
            </w:r>
            <w:proofErr w:type="gramEnd"/>
          </w:p>
          <w:p w14:paraId="6DBD665A" w14:textId="1913742A" w:rsidR="00DA28EF" w:rsidRDefault="00DA28EF" w:rsidP="00D16475">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r w:rsidRPr="00DA28EF">
              <w:rPr>
                <w:sz w:val="18"/>
                <w:szCs w:val="18"/>
              </w:rPr>
              <w:t xml:space="preserve">Investment in public </w:t>
            </w:r>
            <w:r>
              <w:rPr>
                <w:sz w:val="18"/>
                <w:szCs w:val="18"/>
              </w:rPr>
              <w:t>health services (% of GDP)</w:t>
            </w:r>
          </w:p>
        </w:tc>
        <w:tc>
          <w:tcPr>
            <w:tcW w:w="1804" w:type="dxa"/>
          </w:tcPr>
          <w:p w14:paraId="409BC916" w14:textId="39135D82" w:rsidR="00D23E9B" w:rsidRPr="00D23E9B" w:rsidRDefault="00D23E9B" w:rsidP="00D23E9B">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D23E9B">
              <w:rPr>
                <w:sz w:val="18"/>
                <w:szCs w:val="18"/>
              </w:rPr>
              <w:t xml:space="preserve">Medical </w:t>
            </w:r>
            <w:proofErr w:type="gramStart"/>
            <w:r w:rsidRPr="00D23E9B">
              <w:rPr>
                <w:sz w:val="18"/>
                <w:szCs w:val="18"/>
              </w:rPr>
              <w:t>Benefits</w:t>
            </w:r>
            <w:r w:rsidR="00A56A86">
              <w:rPr>
                <w:sz w:val="18"/>
                <w:szCs w:val="18"/>
              </w:rPr>
              <w:t>;</w:t>
            </w:r>
            <w:proofErr w:type="gramEnd"/>
          </w:p>
          <w:p w14:paraId="251A698F" w14:textId="36F7245C" w:rsidR="00DA28EF" w:rsidRDefault="00DA28EF" w:rsidP="00DA28EF">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DA28EF">
              <w:rPr>
                <w:sz w:val="18"/>
                <w:szCs w:val="18"/>
              </w:rPr>
              <w:t xml:space="preserve">Public </w:t>
            </w:r>
            <w:proofErr w:type="gramStart"/>
            <w:r w:rsidRPr="00DA28EF">
              <w:rPr>
                <w:sz w:val="18"/>
                <w:szCs w:val="18"/>
              </w:rPr>
              <w:t>hospitals</w:t>
            </w:r>
            <w:r w:rsidR="00A56A86">
              <w:rPr>
                <w:sz w:val="18"/>
                <w:szCs w:val="18"/>
              </w:rPr>
              <w:t>;</w:t>
            </w:r>
            <w:proofErr w:type="gramEnd"/>
          </w:p>
          <w:p w14:paraId="23E5F6CE" w14:textId="61D77409" w:rsidR="00D23E9B" w:rsidRPr="003A61F1" w:rsidRDefault="00D23E9B" w:rsidP="00D23E9B">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3A61F1">
              <w:rPr>
                <w:sz w:val="18"/>
                <w:szCs w:val="18"/>
              </w:rPr>
              <w:t xml:space="preserve">Pharmaceutical </w:t>
            </w:r>
            <w:proofErr w:type="gramStart"/>
            <w:r w:rsidRPr="003A61F1">
              <w:rPr>
                <w:sz w:val="18"/>
                <w:szCs w:val="18"/>
              </w:rPr>
              <w:t>Benefits</w:t>
            </w:r>
            <w:r w:rsidR="00A56A86">
              <w:rPr>
                <w:sz w:val="18"/>
                <w:szCs w:val="18"/>
              </w:rPr>
              <w:t>;</w:t>
            </w:r>
            <w:proofErr w:type="gramEnd"/>
          </w:p>
          <w:p w14:paraId="3C55F66C" w14:textId="7C935C92" w:rsidR="00D23E9B" w:rsidRPr="00122497" w:rsidRDefault="00D23E9B" w:rsidP="00D23E9B">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122497">
              <w:rPr>
                <w:sz w:val="18"/>
                <w:szCs w:val="18"/>
              </w:rPr>
              <w:t xml:space="preserve">Aboriginal and Torres Strait Islander </w:t>
            </w:r>
            <w:proofErr w:type="gramStart"/>
            <w:r w:rsidRPr="00122497">
              <w:rPr>
                <w:sz w:val="18"/>
                <w:szCs w:val="18"/>
              </w:rPr>
              <w:t>health</w:t>
            </w:r>
            <w:r w:rsidR="00A56A86">
              <w:rPr>
                <w:sz w:val="18"/>
                <w:szCs w:val="18"/>
              </w:rPr>
              <w:t>;</w:t>
            </w:r>
            <w:proofErr w:type="gramEnd"/>
          </w:p>
          <w:p w14:paraId="160C8C40" w14:textId="4F0F5BE1" w:rsidR="00DA28EF" w:rsidRDefault="00DA28EF" w:rsidP="00DA28EF">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r>
              <w:rPr>
                <w:sz w:val="18"/>
                <w:szCs w:val="18"/>
              </w:rPr>
              <w:t xml:space="preserve">Dental </w:t>
            </w:r>
            <w:r w:rsidR="00D23E9B">
              <w:rPr>
                <w:sz w:val="18"/>
                <w:szCs w:val="18"/>
              </w:rPr>
              <w:t>services</w:t>
            </w:r>
            <w:r>
              <w:rPr>
                <w:sz w:val="18"/>
                <w:szCs w:val="18"/>
              </w:rPr>
              <w:t xml:space="preserve"> </w:t>
            </w:r>
          </w:p>
        </w:tc>
      </w:tr>
      <w:tr w:rsidR="003A61F1" w14:paraId="6F9048D2" w14:textId="77777777" w:rsidTr="009A1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48C9BB5D" w14:textId="2965B5A6" w:rsidR="00C53591" w:rsidRDefault="00F6112E" w:rsidP="00BD3B6F">
            <w:pPr>
              <w:ind w:left="0"/>
              <w:rPr>
                <w:rStyle w:val="normaltextrun"/>
                <w:rFonts w:eastAsia="Times New Roman"/>
                <w:lang w:val="en-US"/>
              </w:rPr>
            </w:pPr>
            <w:r>
              <w:rPr>
                <w:rStyle w:val="normaltextrun"/>
                <w:rFonts w:eastAsia="Times New Roman"/>
                <w:lang w:val="en-US"/>
              </w:rPr>
              <w:t>M</w:t>
            </w:r>
            <w:proofErr w:type="spellStart"/>
            <w:r>
              <w:rPr>
                <w:rStyle w:val="normaltextrun"/>
                <w:rFonts w:eastAsia="Times New Roman"/>
              </w:rPr>
              <w:t>aterial</w:t>
            </w:r>
            <w:proofErr w:type="spellEnd"/>
            <w:r>
              <w:rPr>
                <w:rStyle w:val="normaltextrun"/>
                <w:rFonts w:eastAsia="Times New Roman"/>
              </w:rPr>
              <w:t xml:space="preserve"> resources: </w:t>
            </w:r>
            <w:r w:rsidRPr="00F6112E">
              <w:rPr>
                <w:rStyle w:val="normaltextrun"/>
                <w:rFonts w:eastAsia="Times New Roman"/>
                <w:lang w:val="en-US"/>
              </w:rPr>
              <w:t>Income and Wealth</w:t>
            </w:r>
          </w:p>
        </w:tc>
        <w:tc>
          <w:tcPr>
            <w:tcW w:w="1771" w:type="dxa"/>
          </w:tcPr>
          <w:p w14:paraId="1C67A448" w14:textId="1BA67303" w:rsidR="0092772E" w:rsidRDefault="0092772E" w:rsidP="0092772E">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Median household disposable </w:t>
            </w:r>
            <w:proofErr w:type="gramStart"/>
            <w:r>
              <w:rPr>
                <w:sz w:val="18"/>
                <w:szCs w:val="18"/>
              </w:rPr>
              <w:t>income</w:t>
            </w:r>
            <w:r w:rsidR="00A56A86">
              <w:rPr>
                <w:sz w:val="18"/>
                <w:szCs w:val="18"/>
              </w:rPr>
              <w:t>;</w:t>
            </w:r>
            <w:proofErr w:type="gramEnd"/>
          </w:p>
          <w:p w14:paraId="5611CA15" w14:textId="5B96FDF9" w:rsidR="0092772E" w:rsidRDefault="0092772E" w:rsidP="0092772E">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Median household net </w:t>
            </w:r>
            <w:proofErr w:type="gramStart"/>
            <w:r>
              <w:rPr>
                <w:sz w:val="18"/>
                <w:szCs w:val="18"/>
              </w:rPr>
              <w:t>wealth</w:t>
            </w:r>
            <w:r w:rsidR="00A56A86">
              <w:rPr>
                <w:sz w:val="18"/>
                <w:szCs w:val="18"/>
              </w:rPr>
              <w:t>;</w:t>
            </w:r>
            <w:proofErr w:type="gramEnd"/>
          </w:p>
          <w:p w14:paraId="7E25AFA1" w14:textId="3CB9EA7E" w:rsidR="00C53591" w:rsidRDefault="0048717E" w:rsidP="00DA28EF">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Pr>
                <w:sz w:val="18"/>
                <w:szCs w:val="18"/>
              </w:rPr>
              <w:t>National</w:t>
            </w:r>
            <w:r w:rsidRPr="0048717E">
              <w:rPr>
                <w:sz w:val="18"/>
                <w:szCs w:val="18"/>
              </w:rPr>
              <w:t xml:space="preserve"> stock of produced economic assets, per capita</w:t>
            </w:r>
          </w:p>
        </w:tc>
        <w:tc>
          <w:tcPr>
            <w:tcW w:w="1782" w:type="dxa"/>
          </w:tcPr>
          <w:p w14:paraId="35C63618" w14:textId="77777777" w:rsidR="00AA2442" w:rsidRPr="00154028" w:rsidRDefault="00AA2442" w:rsidP="00AA2442">
            <w:pPr>
              <w:pStyle w:val="Defaul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154028">
              <w:rPr>
                <w:b/>
                <w:bCs/>
                <w:color w:val="auto"/>
                <w:sz w:val="18"/>
                <w:szCs w:val="18"/>
              </w:rPr>
              <w:t>Poverty rate (&lt;50% of median income</w:t>
            </w:r>
            <w:proofErr w:type="gramStart"/>
            <w:r w:rsidRPr="00154028">
              <w:rPr>
                <w:b/>
                <w:bCs/>
                <w:color w:val="auto"/>
                <w:sz w:val="18"/>
                <w:szCs w:val="18"/>
              </w:rPr>
              <w:t>);</w:t>
            </w:r>
            <w:proofErr w:type="gramEnd"/>
          </w:p>
          <w:p w14:paraId="10161907" w14:textId="77777777" w:rsidR="00AA2442" w:rsidRPr="00154028" w:rsidRDefault="00AA2442" w:rsidP="00AA2442">
            <w:pPr>
              <w:pStyle w:val="Defaul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154028">
              <w:rPr>
                <w:b/>
                <w:bCs/>
                <w:color w:val="auto"/>
                <w:sz w:val="18"/>
                <w:szCs w:val="18"/>
              </w:rPr>
              <w:t xml:space="preserve">Material deprivation </w:t>
            </w:r>
            <w:proofErr w:type="gramStart"/>
            <w:r w:rsidRPr="00154028">
              <w:rPr>
                <w:b/>
                <w:bCs/>
                <w:color w:val="auto"/>
                <w:sz w:val="18"/>
                <w:szCs w:val="18"/>
              </w:rPr>
              <w:t>rate;</w:t>
            </w:r>
            <w:proofErr w:type="gramEnd"/>
          </w:p>
          <w:p w14:paraId="5F87EF4E" w14:textId="50D7D9C5" w:rsidR="00B17DAD" w:rsidRPr="00154028" w:rsidRDefault="00AA2442" w:rsidP="00AA2442">
            <w:pPr>
              <w:pStyle w:val="Defaul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154028">
              <w:rPr>
                <w:b/>
                <w:bCs/>
                <w:color w:val="auto"/>
                <w:sz w:val="18"/>
                <w:szCs w:val="18"/>
              </w:rPr>
              <w:t xml:space="preserve">Financial stress rate </w:t>
            </w:r>
            <w:r w:rsidR="00B17DAD" w:rsidRPr="00154028">
              <w:rPr>
                <w:b/>
                <w:bCs/>
                <w:color w:val="auto"/>
                <w:sz w:val="18"/>
                <w:szCs w:val="18"/>
              </w:rPr>
              <w:t xml:space="preserve">S80/S20 disposable income share </w:t>
            </w:r>
            <w:proofErr w:type="gramStart"/>
            <w:r w:rsidR="00B17DAD" w:rsidRPr="00154028">
              <w:rPr>
                <w:b/>
                <w:bCs/>
                <w:color w:val="auto"/>
                <w:sz w:val="18"/>
                <w:szCs w:val="18"/>
              </w:rPr>
              <w:t>ratio</w:t>
            </w:r>
            <w:r w:rsidR="00A56A86" w:rsidRPr="00154028">
              <w:rPr>
                <w:b/>
                <w:bCs/>
                <w:color w:val="auto"/>
                <w:sz w:val="18"/>
                <w:szCs w:val="18"/>
              </w:rPr>
              <w:t>;</w:t>
            </w:r>
            <w:proofErr w:type="gramEnd"/>
          </w:p>
          <w:p w14:paraId="06CFB352" w14:textId="06319B79" w:rsidR="00C53591" w:rsidRPr="00154028" w:rsidRDefault="00B17DAD" w:rsidP="00122497">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sidRPr="00154028">
              <w:rPr>
                <w:b/>
                <w:bCs/>
                <w:color w:val="auto"/>
                <w:sz w:val="18"/>
                <w:szCs w:val="18"/>
              </w:rPr>
              <w:t>S80/S20 net wealth share ratio</w:t>
            </w:r>
            <w:r w:rsidRPr="00154028">
              <w:rPr>
                <w:color w:val="auto"/>
                <w:sz w:val="18"/>
                <w:szCs w:val="18"/>
              </w:rPr>
              <w:t xml:space="preserve"> </w:t>
            </w:r>
          </w:p>
        </w:tc>
        <w:tc>
          <w:tcPr>
            <w:tcW w:w="1723" w:type="dxa"/>
          </w:tcPr>
          <w:p w14:paraId="340833BC" w14:textId="69678563" w:rsidR="00D16475" w:rsidRDefault="00D16475" w:rsidP="0048717E">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Interest payments as a % of </w:t>
            </w:r>
            <w:r w:rsidR="00AA2442">
              <w:rPr>
                <w:sz w:val="18"/>
                <w:szCs w:val="18"/>
              </w:rPr>
              <w:t xml:space="preserve">household </w:t>
            </w:r>
            <w:proofErr w:type="gramStart"/>
            <w:r>
              <w:rPr>
                <w:sz w:val="18"/>
                <w:szCs w:val="18"/>
              </w:rPr>
              <w:t>income</w:t>
            </w:r>
            <w:r w:rsidR="00A56A86">
              <w:rPr>
                <w:sz w:val="18"/>
                <w:szCs w:val="18"/>
              </w:rPr>
              <w:t>;</w:t>
            </w:r>
            <w:proofErr w:type="gramEnd"/>
          </w:p>
          <w:p w14:paraId="50695F7C" w14:textId="16D9F0EA" w:rsidR="00C53591" w:rsidRDefault="00DA28EF" w:rsidP="00DA28EF">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Financial Net worth of General </w:t>
            </w:r>
            <w:proofErr w:type="gramStart"/>
            <w:r>
              <w:rPr>
                <w:sz w:val="18"/>
                <w:szCs w:val="18"/>
              </w:rPr>
              <w:t>Government</w:t>
            </w:r>
            <w:r w:rsidR="00A56A86">
              <w:rPr>
                <w:sz w:val="18"/>
                <w:szCs w:val="18"/>
              </w:rPr>
              <w:t>;</w:t>
            </w:r>
            <w:proofErr w:type="gramEnd"/>
          </w:p>
          <w:p w14:paraId="691EFFC4" w14:textId="739C8975" w:rsidR="003A61F1" w:rsidRPr="003A61F1" w:rsidRDefault="003A61F1" w:rsidP="00DA28EF">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3A61F1">
              <w:rPr>
                <w:sz w:val="18"/>
                <w:szCs w:val="18"/>
              </w:rPr>
              <w:t xml:space="preserve">Public debt interest </w:t>
            </w:r>
          </w:p>
        </w:tc>
        <w:tc>
          <w:tcPr>
            <w:tcW w:w="1804" w:type="dxa"/>
          </w:tcPr>
          <w:p w14:paraId="6546FE22" w14:textId="0C8A32B6" w:rsidR="00DA28EF" w:rsidRDefault="00DA28EF" w:rsidP="00122497">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sidRPr="00DA28EF">
              <w:rPr>
                <w:sz w:val="18"/>
                <w:szCs w:val="18"/>
              </w:rPr>
              <w:t>Social security payments, Personal income tax, and their impact on income and income distribution</w:t>
            </w:r>
          </w:p>
        </w:tc>
      </w:tr>
      <w:tr w:rsidR="003A61F1" w14:paraId="3281ED3E" w14:textId="77777777" w:rsidTr="00FB18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251C59C5" w14:textId="77777777" w:rsidR="009D4A67" w:rsidRDefault="009D4A67" w:rsidP="00FB18AE">
            <w:pPr>
              <w:ind w:left="0"/>
              <w:rPr>
                <w:rStyle w:val="normaltextrun"/>
                <w:rFonts w:eastAsia="Times New Roman"/>
                <w:lang w:val="en-US"/>
              </w:rPr>
            </w:pPr>
            <w:r w:rsidRPr="00F6112E">
              <w:rPr>
                <w:rStyle w:val="normaltextrun"/>
                <w:rFonts w:eastAsia="Times New Roman"/>
                <w:lang w:val="en-US"/>
              </w:rPr>
              <w:t>Work and Job Quality</w:t>
            </w:r>
          </w:p>
        </w:tc>
        <w:tc>
          <w:tcPr>
            <w:tcW w:w="1771" w:type="dxa"/>
          </w:tcPr>
          <w:p w14:paraId="135356A0" w14:textId="7C51AE86" w:rsidR="00DA28EF" w:rsidRDefault="00DA28EF" w:rsidP="00DA28EF">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Employment </w:t>
            </w:r>
            <w:proofErr w:type="gramStart"/>
            <w:r>
              <w:rPr>
                <w:sz w:val="18"/>
                <w:szCs w:val="18"/>
              </w:rPr>
              <w:t>rate</w:t>
            </w:r>
            <w:r w:rsidR="00A56A86">
              <w:rPr>
                <w:sz w:val="18"/>
                <w:szCs w:val="18"/>
              </w:rPr>
              <w:t>;</w:t>
            </w:r>
            <w:proofErr w:type="gramEnd"/>
          </w:p>
          <w:p w14:paraId="1B10B59E" w14:textId="7B769A4D" w:rsidR="0092772E" w:rsidRDefault="0092772E" w:rsidP="0092772E">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Labour </w:t>
            </w:r>
            <w:r w:rsidR="00A56A86">
              <w:rPr>
                <w:sz w:val="18"/>
                <w:szCs w:val="18"/>
              </w:rPr>
              <w:t>u</w:t>
            </w:r>
            <w:r>
              <w:rPr>
                <w:sz w:val="18"/>
                <w:szCs w:val="18"/>
              </w:rPr>
              <w:t xml:space="preserve">nderutilisation </w:t>
            </w:r>
            <w:proofErr w:type="gramStart"/>
            <w:r>
              <w:rPr>
                <w:sz w:val="18"/>
                <w:szCs w:val="18"/>
              </w:rPr>
              <w:t>rate</w:t>
            </w:r>
            <w:r w:rsidR="00A56A86">
              <w:rPr>
                <w:sz w:val="18"/>
                <w:szCs w:val="18"/>
              </w:rPr>
              <w:t>;</w:t>
            </w:r>
            <w:proofErr w:type="gramEnd"/>
          </w:p>
          <w:p w14:paraId="4BA5EBD6" w14:textId="70DF123E" w:rsidR="00DA28EF" w:rsidRPr="00154028" w:rsidRDefault="00DA28EF" w:rsidP="0092772E">
            <w:pPr>
              <w:pStyle w:val="Default"/>
              <w:cnfStyle w:val="000000010000" w:firstRow="0" w:lastRow="0" w:firstColumn="0" w:lastColumn="0" w:oddVBand="0" w:evenVBand="0" w:oddHBand="0" w:evenHBand="1" w:firstRowFirstColumn="0" w:firstRowLastColumn="0" w:lastRowFirstColumn="0" w:lastRowLastColumn="0"/>
              <w:rPr>
                <w:b/>
                <w:bCs/>
                <w:sz w:val="18"/>
                <w:szCs w:val="18"/>
              </w:rPr>
            </w:pPr>
            <w:r w:rsidRPr="00154028">
              <w:rPr>
                <w:b/>
                <w:bCs/>
                <w:sz w:val="18"/>
                <w:szCs w:val="18"/>
              </w:rPr>
              <w:t>Gaps to full employment (unemployment, underemployment, and job vacancies</w:t>
            </w:r>
            <w:proofErr w:type="gramStart"/>
            <w:r w:rsidRPr="00154028">
              <w:rPr>
                <w:b/>
                <w:bCs/>
                <w:sz w:val="18"/>
                <w:szCs w:val="18"/>
              </w:rPr>
              <w:t>)</w:t>
            </w:r>
            <w:r w:rsidR="00A56A86" w:rsidRPr="00154028">
              <w:rPr>
                <w:b/>
                <w:bCs/>
                <w:sz w:val="18"/>
                <w:szCs w:val="18"/>
              </w:rPr>
              <w:t>;</w:t>
            </w:r>
            <w:proofErr w:type="gramEnd"/>
          </w:p>
          <w:p w14:paraId="3383449F" w14:textId="77777777" w:rsidR="009D4A67" w:rsidRDefault="00B102F4" w:rsidP="00B102F4">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Satisfaction with employment</w:t>
            </w:r>
          </w:p>
          <w:p w14:paraId="4BACAE09" w14:textId="7B4E37B0" w:rsidR="002256DE" w:rsidRDefault="002256DE" w:rsidP="00B102F4">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r>
              <w:rPr>
                <w:sz w:val="18"/>
                <w:szCs w:val="18"/>
              </w:rPr>
              <w:t>Unionisation rate</w:t>
            </w:r>
          </w:p>
        </w:tc>
        <w:tc>
          <w:tcPr>
            <w:tcW w:w="1782" w:type="dxa"/>
          </w:tcPr>
          <w:p w14:paraId="09A0D54A" w14:textId="7CAC8321" w:rsidR="00D16475" w:rsidRPr="00D16475" w:rsidRDefault="00D16475" w:rsidP="0048717E">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Profile of people reliant on unemployment </w:t>
            </w:r>
            <w:proofErr w:type="gramStart"/>
            <w:r>
              <w:rPr>
                <w:sz w:val="18"/>
                <w:szCs w:val="18"/>
              </w:rPr>
              <w:t>payments</w:t>
            </w:r>
            <w:r w:rsidR="00A56A86">
              <w:rPr>
                <w:sz w:val="18"/>
                <w:szCs w:val="18"/>
              </w:rPr>
              <w:t>;</w:t>
            </w:r>
            <w:proofErr w:type="gramEnd"/>
          </w:p>
          <w:p w14:paraId="188B8548" w14:textId="012F8539" w:rsidR="00B17DAD" w:rsidRPr="00154028" w:rsidRDefault="00DA28EF" w:rsidP="001E7BF0">
            <w:pPr>
              <w:spacing w:before="0" w:after="0"/>
              <w:ind w:left="0"/>
              <w:cnfStyle w:val="000000010000" w:firstRow="0" w:lastRow="0" w:firstColumn="0" w:lastColumn="0" w:oddVBand="0" w:evenVBand="0" w:oddHBand="0" w:evenHBand="1" w:firstRowFirstColumn="0" w:firstRowLastColumn="0" w:lastRowFirstColumn="0" w:lastRowLastColumn="0"/>
              <w:rPr>
                <w:rFonts w:ascii="RHWTS E+ Reckless Neue" w:hAnsi="RHWTS E+ Reckless Neue" w:cs="RHWTS E+ Reckless Neue"/>
                <w:b/>
                <w:bCs/>
                <w:color w:val="000000"/>
                <w:szCs w:val="18"/>
              </w:rPr>
            </w:pPr>
            <w:r w:rsidRPr="00154028">
              <w:rPr>
                <w:rFonts w:ascii="RHWTS E+ Reckless Neue" w:hAnsi="RHWTS E+ Reckless Neue" w:cs="RHWTS E+ Reckless Neue"/>
                <w:b/>
                <w:bCs/>
                <w:color w:val="000000"/>
                <w:szCs w:val="18"/>
              </w:rPr>
              <w:t xml:space="preserve">Gender wage </w:t>
            </w:r>
            <w:proofErr w:type="gramStart"/>
            <w:r w:rsidRPr="00154028">
              <w:rPr>
                <w:rFonts w:ascii="RHWTS E+ Reckless Neue" w:hAnsi="RHWTS E+ Reckless Neue" w:cs="RHWTS E+ Reckless Neue"/>
                <w:b/>
                <w:bCs/>
                <w:color w:val="000000"/>
                <w:szCs w:val="18"/>
              </w:rPr>
              <w:t>gap</w:t>
            </w:r>
            <w:r w:rsidR="00A56A86" w:rsidRPr="00154028">
              <w:rPr>
                <w:rFonts w:ascii="RHWTS E+ Reckless Neue" w:hAnsi="RHWTS E+ Reckless Neue" w:cs="RHWTS E+ Reckless Neue"/>
                <w:b/>
                <w:bCs/>
                <w:color w:val="000000"/>
                <w:szCs w:val="18"/>
              </w:rPr>
              <w:t>;</w:t>
            </w:r>
            <w:proofErr w:type="gramEnd"/>
          </w:p>
          <w:p w14:paraId="3A9D7672" w14:textId="4FC38671" w:rsidR="001E7BF0" w:rsidRPr="00DA28EF" w:rsidRDefault="001E7BF0" w:rsidP="00DA28EF">
            <w:pPr>
              <w:spacing w:before="0"/>
              <w:ind w:left="0"/>
              <w:cnfStyle w:val="000000010000" w:firstRow="0" w:lastRow="0" w:firstColumn="0" w:lastColumn="0" w:oddVBand="0" w:evenVBand="0" w:oddHBand="0" w:evenHBand="1" w:firstRowFirstColumn="0" w:firstRowLastColumn="0" w:lastRowFirstColumn="0" w:lastRowLastColumn="0"/>
              <w:rPr>
                <w:rFonts w:ascii="RHWTS E+ Reckless Neue" w:hAnsi="RHWTS E+ Reckless Neue" w:cs="RHWTS E+ Reckless Neue"/>
                <w:color w:val="000000"/>
                <w:szCs w:val="18"/>
              </w:rPr>
            </w:pPr>
            <w:r>
              <w:rPr>
                <w:rFonts w:ascii="RHWTS E+ Reckless Neue" w:hAnsi="RHWTS E+ Reckless Neue" w:cs="RHWTS E+ Reckless Neue"/>
                <w:color w:val="000000"/>
                <w:szCs w:val="18"/>
              </w:rPr>
              <w:t>Employment gaps for people with disability</w:t>
            </w:r>
          </w:p>
        </w:tc>
        <w:tc>
          <w:tcPr>
            <w:tcW w:w="1723" w:type="dxa"/>
          </w:tcPr>
          <w:p w14:paraId="67DD5027" w14:textId="1716957B" w:rsidR="001E7BF0" w:rsidRPr="00154028" w:rsidRDefault="001E7BF0" w:rsidP="001E7BF0">
            <w:pPr>
              <w:pStyle w:val="Default"/>
              <w:cnfStyle w:val="000000010000" w:firstRow="0" w:lastRow="0" w:firstColumn="0" w:lastColumn="0" w:oddVBand="0" w:evenVBand="0" w:oddHBand="0" w:evenHBand="1" w:firstRowFirstColumn="0" w:firstRowLastColumn="0" w:lastRowFirstColumn="0" w:lastRowLastColumn="0"/>
              <w:rPr>
                <w:b/>
                <w:bCs/>
                <w:sz w:val="18"/>
                <w:szCs w:val="18"/>
              </w:rPr>
            </w:pPr>
            <w:r w:rsidRPr="00154028">
              <w:rPr>
                <w:b/>
                <w:bCs/>
                <w:sz w:val="18"/>
                <w:szCs w:val="18"/>
              </w:rPr>
              <w:t>Long-term unemployment (incl. long-term reliance on unemployment payments</w:t>
            </w:r>
            <w:proofErr w:type="gramStart"/>
            <w:r w:rsidRPr="00154028">
              <w:rPr>
                <w:b/>
                <w:bCs/>
                <w:sz w:val="18"/>
                <w:szCs w:val="18"/>
              </w:rPr>
              <w:t>)</w:t>
            </w:r>
            <w:r w:rsidR="00A56A86" w:rsidRPr="00154028">
              <w:rPr>
                <w:b/>
                <w:bCs/>
                <w:sz w:val="18"/>
                <w:szCs w:val="18"/>
              </w:rPr>
              <w:t>;</w:t>
            </w:r>
            <w:proofErr w:type="gramEnd"/>
          </w:p>
          <w:p w14:paraId="45D5D1D3" w14:textId="13ED5D36" w:rsidR="009D4A67" w:rsidRPr="00DA28EF" w:rsidRDefault="00DA28EF" w:rsidP="00DA28EF">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154028">
              <w:rPr>
                <w:b/>
                <w:bCs/>
                <w:sz w:val="18"/>
                <w:szCs w:val="18"/>
              </w:rPr>
              <w:t>Insecure employment</w:t>
            </w:r>
          </w:p>
        </w:tc>
        <w:tc>
          <w:tcPr>
            <w:tcW w:w="1804" w:type="dxa"/>
          </w:tcPr>
          <w:p w14:paraId="5FB909CB" w14:textId="587144E2" w:rsidR="003A61F1" w:rsidRDefault="003A61F1" w:rsidP="00B102F4">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Labour market assistance to </w:t>
            </w:r>
            <w:proofErr w:type="gramStart"/>
            <w:r>
              <w:rPr>
                <w:sz w:val="18"/>
                <w:szCs w:val="18"/>
              </w:rPr>
              <w:t>jobseekers</w:t>
            </w:r>
            <w:r w:rsidR="00A56A86">
              <w:rPr>
                <w:sz w:val="18"/>
                <w:szCs w:val="18"/>
              </w:rPr>
              <w:t>;</w:t>
            </w:r>
            <w:proofErr w:type="gramEnd"/>
          </w:p>
          <w:p w14:paraId="36DF6066" w14:textId="6F08C010" w:rsidR="009D4A67" w:rsidRDefault="003A61F1" w:rsidP="00B102F4">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r>
              <w:rPr>
                <w:sz w:val="18"/>
                <w:szCs w:val="18"/>
              </w:rPr>
              <w:t xml:space="preserve">Industrial </w:t>
            </w:r>
            <w:r w:rsidR="00B102F4" w:rsidRPr="00B102F4">
              <w:rPr>
                <w:sz w:val="18"/>
                <w:szCs w:val="18"/>
              </w:rPr>
              <w:t xml:space="preserve">relations </w:t>
            </w:r>
          </w:p>
        </w:tc>
      </w:tr>
      <w:tr w:rsidR="001E7BF0" w14:paraId="3C6FAF3B" w14:textId="77777777" w:rsidTr="009A1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1726BD24" w14:textId="238C7897" w:rsidR="009A11D4" w:rsidRDefault="00F6112E" w:rsidP="00FB18AE">
            <w:pPr>
              <w:ind w:left="0"/>
              <w:rPr>
                <w:rStyle w:val="normaltextrun"/>
                <w:rFonts w:eastAsia="Times New Roman"/>
                <w:lang w:val="en-US"/>
              </w:rPr>
            </w:pPr>
            <w:r w:rsidRPr="00F6112E">
              <w:rPr>
                <w:rStyle w:val="normaltextrun"/>
                <w:rFonts w:eastAsia="Times New Roman"/>
                <w:lang w:val="en-US"/>
              </w:rPr>
              <w:t xml:space="preserve">Knowledge, </w:t>
            </w:r>
            <w:proofErr w:type="gramStart"/>
            <w:r w:rsidRPr="00F6112E">
              <w:rPr>
                <w:rStyle w:val="normaltextrun"/>
                <w:rFonts w:eastAsia="Times New Roman"/>
                <w:lang w:val="en-US"/>
              </w:rPr>
              <w:t>Skills</w:t>
            </w:r>
            <w:proofErr w:type="gramEnd"/>
            <w:r w:rsidRPr="00F6112E">
              <w:rPr>
                <w:rStyle w:val="normaltextrun"/>
                <w:rFonts w:eastAsia="Times New Roman"/>
                <w:lang w:val="en-US"/>
              </w:rPr>
              <w:t xml:space="preserve"> and Innovation</w:t>
            </w:r>
          </w:p>
        </w:tc>
        <w:tc>
          <w:tcPr>
            <w:tcW w:w="1771" w:type="dxa"/>
          </w:tcPr>
          <w:p w14:paraId="30514C53" w14:textId="0C6C7619" w:rsidR="009A11D4" w:rsidRDefault="00B17DAD" w:rsidP="00B17DAD">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B17DAD">
              <w:rPr>
                <w:sz w:val="18"/>
                <w:szCs w:val="18"/>
              </w:rPr>
              <w:t xml:space="preserve">Educational </w:t>
            </w:r>
            <w:proofErr w:type="gramStart"/>
            <w:r w:rsidRPr="00B17DAD">
              <w:rPr>
                <w:sz w:val="18"/>
                <w:szCs w:val="18"/>
              </w:rPr>
              <w:t>attainment</w:t>
            </w:r>
            <w:r w:rsidR="00A56A86">
              <w:rPr>
                <w:sz w:val="18"/>
                <w:szCs w:val="18"/>
              </w:rPr>
              <w:t>;</w:t>
            </w:r>
            <w:proofErr w:type="gramEnd"/>
          </w:p>
          <w:p w14:paraId="2261A774" w14:textId="3EBBB638" w:rsidR="00B17DAD" w:rsidRDefault="00B17DAD" w:rsidP="00B17DAD">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Students with Low Skills (in science, reading, maths</w:t>
            </w:r>
            <w:proofErr w:type="gramStart"/>
            <w:r>
              <w:rPr>
                <w:sz w:val="18"/>
                <w:szCs w:val="18"/>
              </w:rPr>
              <w:t>)</w:t>
            </w:r>
            <w:r w:rsidR="00A56A86">
              <w:rPr>
                <w:sz w:val="18"/>
                <w:szCs w:val="18"/>
              </w:rPr>
              <w:t>;</w:t>
            </w:r>
            <w:proofErr w:type="gramEnd"/>
          </w:p>
          <w:p w14:paraId="4432C7FF" w14:textId="64013929" w:rsidR="00B102F4" w:rsidRPr="00B17DAD" w:rsidRDefault="00B102F4" w:rsidP="00B17DAD">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Participation in education </w:t>
            </w:r>
            <w:r w:rsidR="00A56A86">
              <w:rPr>
                <w:sz w:val="18"/>
                <w:szCs w:val="18"/>
              </w:rPr>
              <w:t>and</w:t>
            </w:r>
            <w:r>
              <w:rPr>
                <w:sz w:val="18"/>
                <w:szCs w:val="18"/>
              </w:rPr>
              <w:t xml:space="preserve"> training among adults (lifelong learning)</w:t>
            </w:r>
          </w:p>
        </w:tc>
        <w:tc>
          <w:tcPr>
            <w:tcW w:w="1782" w:type="dxa"/>
          </w:tcPr>
          <w:p w14:paraId="5CD82CB4" w14:textId="1DFACE56" w:rsidR="009A11D4" w:rsidRDefault="00B17DAD" w:rsidP="00B17DAD">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B17DAD">
              <w:rPr>
                <w:sz w:val="18"/>
                <w:szCs w:val="18"/>
              </w:rPr>
              <w:t xml:space="preserve">Educational attainment among young </w:t>
            </w:r>
            <w:proofErr w:type="gramStart"/>
            <w:r w:rsidRPr="00B17DAD">
              <w:rPr>
                <w:sz w:val="18"/>
                <w:szCs w:val="18"/>
              </w:rPr>
              <w:t>adults</w:t>
            </w:r>
            <w:r w:rsidR="00A56A86">
              <w:rPr>
                <w:sz w:val="18"/>
                <w:szCs w:val="18"/>
              </w:rPr>
              <w:t>;</w:t>
            </w:r>
            <w:proofErr w:type="gramEnd"/>
          </w:p>
          <w:p w14:paraId="0B0BAE05" w14:textId="4F44D641" w:rsidR="00B17DAD" w:rsidRDefault="00B17DAD" w:rsidP="00B17DAD">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Gaps in </w:t>
            </w:r>
            <w:r w:rsidR="00A56A86">
              <w:rPr>
                <w:sz w:val="18"/>
                <w:szCs w:val="18"/>
              </w:rPr>
              <w:t>e</w:t>
            </w:r>
            <w:r w:rsidRPr="00B17DAD">
              <w:rPr>
                <w:sz w:val="18"/>
                <w:szCs w:val="18"/>
              </w:rPr>
              <w:t xml:space="preserve">ducational attainment </w:t>
            </w:r>
            <w:r>
              <w:rPr>
                <w:sz w:val="18"/>
                <w:szCs w:val="18"/>
              </w:rPr>
              <w:t xml:space="preserve">for First Nations </w:t>
            </w:r>
            <w:proofErr w:type="gramStart"/>
            <w:r>
              <w:rPr>
                <w:sz w:val="18"/>
                <w:szCs w:val="18"/>
              </w:rPr>
              <w:t>people</w:t>
            </w:r>
            <w:r w:rsidR="00A56A86">
              <w:rPr>
                <w:sz w:val="18"/>
                <w:szCs w:val="18"/>
              </w:rPr>
              <w:t>;</w:t>
            </w:r>
            <w:proofErr w:type="gramEnd"/>
          </w:p>
          <w:p w14:paraId="5091ED36" w14:textId="198E9B9C" w:rsidR="00B102F4" w:rsidRDefault="00B102F4" w:rsidP="00B17DAD">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Gaps in access to VET/higher education</w:t>
            </w:r>
          </w:p>
          <w:p w14:paraId="6B2F6B22" w14:textId="058F12FD" w:rsidR="00B17DAD" w:rsidRPr="00B17DAD" w:rsidRDefault="00B17DAD" w:rsidP="00B17DAD">
            <w:pPr>
              <w:pStyle w:val="Default"/>
              <w:cnfStyle w:val="000000100000" w:firstRow="0" w:lastRow="0" w:firstColumn="0" w:lastColumn="0" w:oddVBand="0" w:evenVBand="0" w:oddHBand="1" w:evenHBand="0" w:firstRowFirstColumn="0" w:firstRowLastColumn="0" w:lastRowFirstColumn="0" w:lastRowLastColumn="0"/>
              <w:rPr>
                <w:sz w:val="18"/>
                <w:szCs w:val="18"/>
              </w:rPr>
            </w:pPr>
          </w:p>
        </w:tc>
        <w:tc>
          <w:tcPr>
            <w:tcW w:w="1723" w:type="dxa"/>
          </w:tcPr>
          <w:p w14:paraId="152DEDF7" w14:textId="319F9622" w:rsidR="009A11D4" w:rsidRDefault="00DA28EF" w:rsidP="00DA28EF">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sidRPr="00DA28EF">
              <w:rPr>
                <w:sz w:val="18"/>
                <w:szCs w:val="18"/>
              </w:rPr>
              <w:t>Investment in public education</w:t>
            </w:r>
            <w:r>
              <w:rPr>
                <w:sz w:val="18"/>
                <w:szCs w:val="18"/>
              </w:rPr>
              <w:t xml:space="preserve"> (% of GDP)</w:t>
            </w:r>
          </w:p>
        </w:tc>
        <w:tc>
          <w:tcPr>
            <w:tcW w:w="1804" w:type="dxa"/>
          </w:tcPr>
          <w:p w14:paraId="0177BB10" w14:textId="3DB261B9" w:rsidR="009A11D4" w:rsidRPr="00B102F4" w:rsidRDefault="00B102F4" w:rsidP="00B102F4">
            <w:pPr>
              <w:pStyle w:val="Default"/>
              <w:cnfStyle w:val="000000100000" w:firstRow="0" w:lastRow="0" w:firstColumn="0" w:lastColumn="0" w:oddVBand="0" w:evenVBand="0" w:oddHBand="1" w:evenHBand="0" w:firstRowFirstColumn="0" w:firstRowLastColumn="0" w:lastRowFirstColumn="0" w:lastRowLastColumn="0"/>
              <w:rPr>
                <w:szCs w:val="18"/>
              </w:rPr>
            </w:pPr>
            <w:proofErr w:type="gramStart"/>
            <w:r w:rsidRPr="00B102F4">
              <w:rPr>
                <w:sz w:val="18"/>
                <w:szCs w:val="18"/>
              </w:rPr>
              <w:t>Schools</w:t>
            </w:r>
            <w:r w:rsidR="00150C6F">
              <w:rPr>
                <w:sz w:val="18"/>
                <w:szCs w:val="18"/>
              </w:rPr>
              <w:t>;</w:t>
            </w:r>
            <w:proofErr w:type="gramEnd"/>
          </w:p>
          <w:p w14:paraId="6C4920E6" w14:textId="0273F513" w:rsidR="00B102F4" w:rsidRPr="00B102F4" w:rsidRDefault="00B102F4" w:rsidP="00B102F4">
            <w:pPr>
              <w:pStyle w:val="Default"/>
              <w:cnfStyle w:val="000000100000" w:firstRow="0" w:lastRow="0" w:firstColumn="0" w:lastColumn="0" w:oddVBand="0" w:evenVBand="0" w:oddHBand="1" w:evenHBand="0" w:firstRowFirstColumn="0" w:firstRowLastColumn="0" w:lastRowFirstColumn="0" w:lastRowLastColumn="0"/>
              <w:rPr>
                <w:szCs w:val="18"/>
              </w:rPr>
            </w:pPr>
            <w:r w:rsidRPr="00B102F4">
              <w:rPr>
                <w:sz w:val="18"/>
                <w:szCs w:val="18"/>
              </w:rPr>
              <w:t xml:space="preserve">Vocational Education &amp; </w:t>
            </w:r>
            <w:proofErr w:type="gramStart"/>
            <w:r w:rsidRPr="00B102F4">
              <w:rPr>
                <w:sz w:val="18"/>
                <w:szCs w:val="18"/>
              </w:rPr>
              <w:t>Training</w:t>
            </w:r>
            <w:r w:rsidR="00150C6F">
              <w:rPr>
                <w:sz w:val="18"/>
                <w:szCs w:val="18"/>
              </w:rPr>
              <w:t>;</w:t>
            </w:r>
            <w:proofErr w:type="gramEnd"/>
          </w:p>
          <w:p w14:paraId="1E0EE4E4" w14:textId="40432E04" w:rsidR="00B102F4" w:rsidRPr="00B102F4" w:rsidRDefault="00B102F4" w:rsidP="00B102F4">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B102F4">
              <w:rPr>
                <w:sz w:val="18"/>
                <w:szCs w:val="18"/>
              </w:rPr>
              <w:t>Higher education</w:t>
            </w:r>
          </w:p>
        </w:tc>
      </w:tr>
      <w:tr w:rsidR="001E7BF0" w14:paraId="67CE0B87" w14:textId="77777777" w:rsidTr="009A1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23A25150" w14:textId="52B17ABB" w:rsidR="009A11D4" w:rsidRDefault="00F6112E" w:rsidP="00FB18AE">
            <w:pPr>
              <w:ind w:left="0"/>
              <w:rPr>
                <w:rStyle w:val="normaltextrun"/>
                <w:rFonts w:eastAsia="Times New Roman"/>
                <w:lang w:val="en-US"/>
              </w:rPr>
            </w:pPr>
            <w:r w:rsidRPr="00F6112E">
              <w:rPr>
                <w:rStyle w:val="normaltextrun"/>
                <w:rFonts w:eastAsia="Times New Roman"/>
                <w:lang w:val="en-US"/>
              </w:rPr>
              <w:t>Housing and the Built Environment</w:t>
            </w:r>
          </w:p>
        </w:tc>
        <w:tc>
          <w:tcPr>
            <w:tcW w:w="1771" w:type="dxa"/>
          </w:tcPr>
          <w:p w14:paraId="4A0A48C4" w14:textId="13F102D8" w:rsidR="0092772E" w:rsidRDefault="0092772E" w:rsidP="0092772E">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Housing </w:t>
            </w:r>
            <w:proofErr w:type="gramStart"/>
            <w:r>
              <w:rPr>
                <w:sz w:val="18"/>
                <w:szCs w:val="18"/>
              </w:rPr>
              <w:t>Affordability</w:t>
            </w:r>
            <w:r w:rsidR="00150C6F">
              <w:rPr>
                <w:sz w:val="18"/>
                <w:szCs w:val="18"/>
              </w:rPr>
              <w:t>;</w:t>
            </w:r>
            <w:proofErr w:type="gramEnd"/>
          </w:p>
          <w:p w14:paraId="362E8E5D" w14:textId="2006DB9B" w:rsidR="009A11D4" w:rsidRDefault="00BD14AC" w:rsidP="00BD14AC">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Housing quality (</w:t>
            </w:r>
            <w:proofErr w:type="gramStart"/>
            <w:r>
              <w:rPr>
                <w:sz w:val="18"/>
                <w:szCs w:val="18"/>
              </w:rPr>
              <w:t>e.g.</w:t>
            </w:r>
            <w:proofErr w:type="gramEnd"/>
            <w:r>
              <w:rPr>
                <w:sz w:val="18"/>
                <w:szCs w:val="18"/>
              </w:rPr>
              <w:t xml:space="preserve"> overcrowding)</w:t>
            </w:r>
            <w:r w:rsidR="00150C6F">
              <w:rPr>
                <w:sz w:val="18"/>
                <w:szCs w:val="18"/>
              </w:rPr>
              <w:t>;</w:t>
            </w:r>
          </w:p>
          <w:p w14:paraId="25162C9A" w14:textId="45BB5FF6" w:rsidR="002256DE" w:rsidRDefault="002256DE" w:rsidP="00BD14AC">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r>
              <w:rPr>
                <w:sz w:val="18"/>
                <w:szCs w:val="18"/>
              </w:rPr>
              <w:t>Rental vacancy rates</w:t>
            </w:r>
          </w:p>
        </w:tc>
        <w:tc>
          <w:tcPr>
            <w:tcW w:w="1782" w:type="dxa"/>
          </w:tcPr>
          <w:p w14:paraId="5EB9CECF" w14:textId="6F4537ED" w:rsidR="001E7BF0" w:rsidRPr="00154028" w:rsidRDefault="00BD14AC" w:rsidP="002256DE">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b/>
                <w:bCs/>
                <w:lang w:val="en-US"/>
              </w:rPr>
            </w:pPr>
            <w:r w:rsidRPr="00154028">
              <w:rPr>
                <w:b/>
                <w:bCs/>
                <w:sz w:val="18"/>
                <w:szCs w:val="18"/>
              </w:rPr>
              <w:t xml:space="preserve">Housing affordability by housing status, </w:t>
            </w:r>
            <w:proofErr w:type="gramStart"/>
            <w:r w:rsidRPr="00154028">
              <w:rPr>
                <w:b/>
                <w:bCs/>
                <w:sz w:val="18"/>
                <w:szCs w:val="18"/>
              </w:rPr>
              <w:t>income</w:t>
            </w:r>
            <w:proofErr w:type="gramEnd"/>
            <w:r w:rsidRPr="00154028">
              <w:rPr>
                <w:b/>
                <w:bCs/>
                <w:sz w:val="18"/>
                <w:szCs w:val="18"/>
              </w:rPr>
              <w:t xml:space="preserve"> and </w:t>
            </w:r>
            <w:r w:rsidR="002256DE" w:rsidRPr="00154028">
              <w:rPr>
                <w:b/>
                <w:bCs/>
                <w:sz w:val="18"/>
                <w:szCs w:val="18"/>
              </w:rPr>
              <w:t>location</w:t>
            </w:r>
            <w:r w:rsidRPr="00154028">
              <w:rPr>
                <w:b/>
                <w:bCs/>
                <w:sz w:val="18"/>
                <w:szCs w:val="18"/>
              </w:rPr>
              <w:t>.</w:t>
            </w:r>
          </w:p>
        </w:tc>
        <w:tc>
          <w:tcPr>
            <w:tcW w:w="1723" w:type="dxa"/>
          </w:tcPr>
          <w:p w14:paraId="2D40F5CC" w14:textId="4223998F" w:rsidR="009A11D4" w:rsidRPr="00154028" w:rsidRDefault="001E7BF0" w:rsidP="001E7BF0">
            <w:pPr>
              <w:pStyle w:val="Default"/>
              <w:cnfStyle w:val="000000010000" w:firstRow="0" w:lastRow="0" w:firstColumn="0" w:lastColumn="0" w:oddVBand="0" w:evenVBand="0" w:oddHBand="0" w:evenHBand="1" w:firstRowFirstColumn="0" w:firstRowLastColumn="0" w:lastRowFirstColumn="0" w:lastRowLastColumn="0"/>
              <w:rPr>
                <w:b/>
                <w:bCs/>
                <w:sz w:val="18"/>
                <w:szCs w:val="18"/>
              </w:rPr>
            </w:pPr>
            <w:proofErr w:type="gramStart"/>
            <w:r w:rsidRPr="00154028">
              <w:rPr>
                <w:b/>
                <w:bCs/>
                <w:sz w:val="18"/>
                <w:szCs w:val="18"/>
              </w:rPr>
              <w:t>Homelessness</w:t>
            </w:r>
            <w:r w:rsidR="00150C6F" w:rsidRPr="00154028">
              <w:rPr>
                <w:b/>
                <w:bCs/>
                <w:sz w:val="18"/>
                <w:szCs w:val="18"/>
              </w:rPr>
              <w:t>;</w:t>
            </w:r>
            <w:proofErr w:type="gramEnd"/>
          </w:p>
          <w:p w14:paraId="1D06522A" w14:textId="0922DD0E" w:rsidR="002256DE" w:rsidRPr="00154028" w:rsidRDefault="002256DE" w:rsidP="001E7BF0">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154028">
              <w:rPr>
                <w:sz w:val="18"/>
                <w:szCs w:val="18"/>
              </w:rPr>
              <w:t xml:space="preserve">Construction of </w:t>
            </w:r>
            <w:proofErr w:type="gramStart"/>
            <w:r w:rsidRPr="00154028">
              <w:rPr>
                <w:sz w:val="18"/>
                <w:szCs w:val="18"/>
              </w:rPr>
              <w:t>housing :</w:t>
            </w:r>
            <w:proofErr w:type="gramEnd"/>
            <w:r w:rsidRPr="00154028">
              <w:rPr>
                <w:sz w:val="18"/>
                <w:szCs w:val="18"/>
              </w:rPr>
              <w:t xml:space="preserve"> growth in population</w:t>
            </w:r>
            <w:r w:rsidR="00150C6F" w:rsidRPr="00154028">
              <w:rPr>
                <w:sz w:val="18"/>
                <w:szCs w:val="18"/>
              </w:rPr>
              <w:t>;</w:t>
            </w:r>
          </w:p>
          <w:p w14:paraId="193FC440" w14:textId="499FFBA2" w:rsidR="00122497" w:rsidRPr="00154028" w:rsidRDefault="00122497" w:rsidP="001E7BF0">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b/>
                <w:bCs/>
                <w:lang w:val="en-US"/>
              </w:rPr>
            </w:pPr>
            <w:r w:rsidRPr="00154028">
              <w:rPr>
                <w:rStyle w:val="normaltextrun"/>
                <w:rFonts w:eastAsia="Times New Roman"/>
                <w:b/>
                <w:bCs/>
                <w:sz w:val="18"/>
                <w:szCs w:val="18"/>
              </w:rPr>
              <w:lastRenderedPageBreak/>
              <w:t>Social housing as a % of all dwellings</w:t>
            </w:r>
          </w:p>
        </w:tc>
        <w:tc>
          <w:tcPr>
            <w:tcW w:w="1804" w:type="dxa"/>
          </w:tcPr>
          <w:p w14:paraId="5E983E28" w14:textId="6AC6CB07" w:rsidR="003A61F1" w:rsidRDefault="003A61F1" w:rsidP="003A61F1">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3A61F1">
              <w:rPr>
                <w:sz w:val="18"/>
                <w:szCs w:val="18"/>
              </w:rPr>
              <w:lastRenderedPageBreak/>
              <w:t xml:space="preserve">National Housing and Homelessness </w:t>
            </w:r>
            <w:proofErr w:type="gramStart"/>
            <w:r w:rsidRPr="003A61F1">
              <w:rPr>
                <w:sz w:val="18"/>
                <w:szCs w:val="18"/>
              </w:rPr>
              <w:t>Agreement</w:t>
            </w:r>
            <w:r w:rsidR="00150C6F">
              <w:rPr>
                <w:sz w:val="18"/>
                <w:szCs w:val="18"/>
              </w:rPr>
              <w:t>;</w:t>
            </w:r>
            <w:proofErr w:type="gramEnd"/>
          </w:p>
          <w:p w14:paraId="24538084" w14:textId="6767C1B4" w:rsidR="003A61F1" w:rsidRDefault="003A61F1" w:rsidP="003A61F1">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U</w:t>
            </w:r>
            <w:r w:rsidRPr="003A61F1">
              <w:rPr>
                <w:sz w:val="18"/>
                <w:szCs w:val="18"/>
              </w:rPr>
              <w:t xml:space="preserve">rban and regional </w:t>
            </w:r>
            <w:proofErr w:type="gramStart"/>
            <w:r w:rsidRPr="003A61F1">
              <w:rPr>
                <w:sz w:val="18"/>
                <w:szCs w:val="18"/>
              </w:rPr>
              <w:t>development</w:t>
            </w:r>
            <w:r w:rsidR="00150C6F">
              <w:rPr>
                <w:sz w:val="18"/>
                <w:szCs w:val="18"/>
              </w:rPr>
              <w:t>;</w:t>
            </w:r>
            <w:proofErr w:type="gramEnd"/>
          </w:p>
          <w:p w14:paraId="3E58980D" w14:textId="2D67FB5D" w:rsidR="003A61F1" w:rsidRPr="003A61F1" w:rsidRDefault="00150C6F" w:rsidP="003A61F1">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lastRenderedPageBreak/>
              <w:t>T</w:t>
            </w:r>
            <w:r w:rsidR="003A61F1" w:rsidRPr="003A61F1">
              <w:rPr>
                <w:sz w:val="18"/>
                <w:szCs w:val="18"/>
              </w:rPr>
              <w:t>ransport and communication</w:t>
            </w:r>
          </w:p>
        </w:tc>
      </w:tr>
      <w:tr w:rsidR="001E7BF0" w14:paraId="080048AD" w14:textId="77777777" w:rsidTr="009A1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669D2DF4" w14:textId="01E54B31" w:rsidR="009A11D4" w:rsidRDefault="00F6112E" w:rsidP="00FB18AE">
            <w:pPr>
              <w:ind w:left="0"/>
              <w:rPr>
                <w:rStyle w:val="normaltextrun"/>
                <w:rFonts w:eastAsia="Times New Roman"/>
                <w:lang w:val="en-US"/>
              </w:rPr>
            </w:pPr>
            <w:r>
              <w:rPr>
                <w:rStyle w:val="normaltextrun"/>
                <w:rFonts w:eastAsia="Times New Roman"/>
                <w:lang w:val="en-US"/>
              </w:rPr>
              <w:lastRenderedPageBreak/>
              <w:t>N</w:t>
            </w:r>
            <w:proofErr w:type="spellStart"/>
            <w:r>
              <w:rPr>
                <w:rStyle w:val="normaltextrun"/>
                <w:rFonts w:eastAsia="Times New Roman"/>
              </w:rPr>
              <w:t>atural</w:t>
            </w:r>
            <w:proofErr w:type="spellEnd"/>
            <w:r>
              <w:rPr>
                <w:rStyle w:val="normaltextrun"/>
                <w:rFonts w:eastAsia="Times New Roman"/>
              </w:rPr>
              <w:t xml:space="preserve"> </w:t>
            </w:r>
            <w:r w:rsidRPr="00F6112E">
              <w:rPr>
                <w:rStyle w:val="normaltextrun"/>
                <w:rFonts w:eastAsia="Times New Roman"/>
                <w:lang w:val="en-US"/>
              </w:rPr>
              <w:t>Environment, Climate and Biodiversity</w:t>
            </w:r>
          </w:p>
        </w:tc>
        <w:tc>
          <w:tcPr>
            <w:tcW w:w="1771" w:type="dxa"/>
          </w:tcPr>
          <w:p w14:paraId="7D301414" w14:textId="6DFFAABB" w:rsidR="0092772E" w:rsidRDefault="0048717E" w:rsidP="0048717E">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Material footprint per capita (</w:t>
            </w:r>
            <w:r w:rsidRPr="0048717E">
              <w:rPr>
                <w:sz w:val="18"/>
                <w:szCs w:val="18"/>
              </w:rPr>
              <w:t xml:space="preserve">Natural materials extracted to service </w:t>
            </w:r>
            <w:r>
              <w:rPr>
                <w:sz w:val="18"/>
                <w:szCs w:val="18"/>
              </w:rPr>
              <w:t>the</w:t>
            </w:r>
            <w:r w:rsidRPr="0048717E">
              <w:rPr>
                <w:sz w:val="18"/>
                <w:szCs w:val="18"/>
              </w:rPr>
              <w:t xml:space="preserve"> economy</w:t>
            </w:r>
            <w:proofErr w:type="gramStart"/>
            <w:r>
              <w:rPr>
                <w:sz w:val="18"/>
                <w:szCs w:val="18"/>
              </w:rPr>
              <w:t>)</w:t>
            </w:r>
            <w:r w:rsidR="00150C6F">
              <w:rPr>
                <w:sz w:val="18"/>
                <w:szCs w:val="18"/>
              </w:rPr>
              <w:t>;</w:t>
            </w:r>
            <w:proofErr w:type="gramEnd"/>
          </w:p>
          <w:p w14:paraId="36F8E9C5" w14:textId="387F3801" w:rsidR="00BD14AC" w:rsidRPr="00BD14AC" w:rsidRDefault="00BD14AC" w:rsidP="0048717E">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BD14AC">
              <w:rPr>
                <w:sz w:val="18"/>
                <w:szCs w:val="18"/>
              </w:rPr>
              <w:t>Energy efficiency of housing</w:t>
            </w:r>
          </w:p>
        </w:tc>
        <w:tc>
          <w:tcPr>
            <w:tcW w:w="1782" w:type="dxa"/>
          </w:tcPr>
          <w:p w14:paraId="378B1708" w14:textId="77777777" w:rsidR="00150C6F" w:rsidRPr="00154028" w:rsidRDefault="00BD14AC" w:rsidP="00150C6F">
            <w:pPr>
              <w:spacing w:after="0"/>
              <w:ind w:left="0"/>
              <w:cnfStyle w:val="000000100000" w:firstRow="0" w:lastRow="0" w:firstColumn="0" w:lastColumn="0" w:oddVBand="0" w:evenVBand="0" w:oddHBand="1" w:evenHBand="0" w:firstRowFirstColumn="0" w:firstRowLastColumn="0" w:lastRowFirstColumn="0" w:lastRowLastColumn="0"/>
              <w:rPr>
                <w:rFonts w:ascii="RHWTS E+ Reckless Neue" w:hAnsi="RHWTS E+ Reckless Neue" w:cs="RHWTS E+ Reckless Neue"/>
                <w:b/>
                <w:bCs/>
                <w:color w:val="000000"/>
                <w:szCs w:val="18"/>
              </w:rPr>
            </w:pPr>
            <w:r w:rsidRPr="00154028">
              <w:rPr>
                <w:rFonts w:ascii="RHWTS E+ Reckless Neue" w:hAnsi="RHWTS E+ Reckless Neue" w:cs="RHWTS E+ Reckless Neue"/>
                <w:b/>
                <w:bCs/>
                <w:color w:val="000000"/>
                <w:szCs w:val="18"/>
              </w:rPr>
              <w:t xml:space="preserve">Extreme weather events, by income and </w:t>
            </w:r>
            <w:proofErr w:type="gramStart"/>
            <w:r w:rsidRPr="00154028">
              <w:rPr>
                <w:rFonts w:ascii="RHWTS E+ Reckless Neue" w:hAnsi="RHWTS E+ Reckless Neue" w:cs="RHWTS E+ Reckless Neue"/>
                <w:b/>
                <w:bCs/>
                <w:color w:val="000000"/>
                <w:szCs w:val="18"/>
              </w:rPr>
              <w:t>location</w:t>
            </w:r>
            <w:r w:rsidR="00150C6F" w:rsidRPr="00154028">
              <w:rPr>
                <w:rFonts w:ascii="RHWTS E+ Reckless Neue" w:hAnsi="RHWTS E+ Reckless Neue" w:cs="RHWTS E+ Reckless Neue"/>
                <w:b/>
                <w:bCs/>
                <w:color w:val="000000"/>
                <w:szCs w:val="18"/>
              </w:rPr>
              <w:t>;</w:t>
            </w:r>
            <w:proofErr w:type="gramEnd"/>
          </w:p>
          <w:p w14:paraId="062CF546" w14:textId="0B117390" w:rsidR="009A11D4" w:rsidRPr="00154028" w:rsidRDefault="00BD14AC" w:rsidP="00150C6F">
            <w:pPr>
              <w:spacing w:before="0" w:after="0"/>
              <w:ind w:left="0"/>
              <w:cnfStyle w:val="000000100000" w:firstRow="0" w:lastRow="0" w:firstColumn="0" w:lastColumn="0" w:oddVBand="0" w:evenVBand="0" w:oddHBand="1" w:evenHBand="0" w:firstRowFirstColumn="0" w:firstRowLastColumn="0" w:lastRowFirstColumn="0" w:lastRowLastColumn="0"/>
              <w:rPr>
                <w:rStyle w:val="normaltextrun"/>
                <w:rFonts w:eastAsia="Times New Roman"/>
                <w:b/>
                <w:bCs/>
                <w:lang w:val="en-US"/>
              </w:rPr>
            </w:pPr>
            <w:r w:rsidRPr="00154028">
              <w:rPr>
                <w:rFonts w:ascii="RHWTS E+ Reckless Neue" w:hAnsi="RHWTS E+ Reckless Neue" w:cs="RHWTS E+ Reckless Neue"/>
                <w:b/>
                <w:bCs/>
                <w:color w:val="000000"/>
                <w:szCs w:val="18"/>
              </w:rPr>
              <w:t>Energy efficiency of housing, by income and location</w:t>
            </w:r>
          </w:p>
        </w:tc>
        <w:tc>
          <w:tcPr>
            <w:tcW w:w="1723" w:type="dxa"/>
          </w:tcPr>
          <w:p w14:paraId="6DF66028" w14:textId="675C1D37" w:rsidR="0048717E" w:rsidRPr="00154028" w:rsidRDefault="0048717E" w:rsidP="0048717E">
            <w:pPr>
              <w:pStyle w:val="Default"/>
              <w:cnfStyle w:val="000000100000" w:firstRow="0" w:lastRow="0" w:firstColumn="0" w:lastColumn="0" w:oddVBand="0" w:evenVBand="0" w:oddHBand="1" w:evenHBand="0" w:firstRowFirstColumn="0" w:firstRowLastColumn="0" w:lastRowFirstColumn="0" w:lastRowLastColumn="0"/>
              <w:rPr>
                <w:b/>
                <w:bCs/>
                <w:sz w:val="18"/>
                <w:szCs w:val="18"/>
              </w:rPr>
            </w:pPr>
            <w:r w:rsidRPr="00154028">
              <w:rPr>
                <w:b/>
                <w:bCs/>
                <w:sz w:val="18"/>
                <w:szCs w:val="18"/>
              </w:rPr>
              <w:t xml:space="preserve">Greenhouse </w:t>
            </w:r>
            <w:r w:rsidR="00150C6F" w:rsidRPr="00154028">
              <w:rPr>
                <w:b/>
                <w:bCs/>
                <w:sz w:val="18"/>
                <w:szCs w:val="18"/>
              </w:rPr>
              <w:t>g</w:t>
            </w:r>
            <w:r w:rsidRPr="00154028">
              <w:rPr>
                <w:b/>
                <w:bCs/>
                <w:sz w:val="18"/>
                <w:szCs w:val="18"/>
              </w:rPr>
              <w:t xml:space="preserve">as </w:t>
            </w:r>
            <w:r w:rsidR="00150C6F" w:rsidRPr="00154028">
              <w:rPr>
                <w:b/>
                <w:bCs/>
                <w:sz w:val="18"/>
                <w:szCs w:val="18"/>
              </w:rPr>
              <w:t>e</w:t>
            </w:r>
            <w:r w:rsidRPr="00154028">
              <w:rPr>
                <w:b/>
                <w:bCs/>
                <w:sz w:val="18"/>
                <w:szCs w:val="18"/>
              </w:rPr>
              <w:t xml:space="preserve">missions </w:t>
            </w:r>
            <w:proofErr w:type="gramStart"/>
            <w:r w:rsidR="00D16475" w:rsidRPr="00154028">
              <w:rPr>
                <w:b/>
                <w:bCs/>
                <w:sz w:val="18"/>
                <w:szCs w:val="18"/>
              </w:rPr>
              <w:t>per capita</w:t>
            </w:r>
            <w:r w:rsidR="00150C6F" w:rsidRPr="00154028">
              <w:rPr>
                <w:b/>
                <w:bCs/>
                <w:sz w:val="18"/>
                <w:szCs w:val="18"/>
              </w:rPr>
              <w:t>;</w:t>
            </w:r>
            <w:proofErr w:type="gramEnd"/>
          </w:p>
          <w:p w14:paraId="605598F1" w14:textId="53D9BF2A" w:rsidR="00122497" w:rsidRPr="00154028" w:rsidRDefault="00122497" w:rsidP="00122497">
            <w:pPr>
              <w:pStyle w:val="Default"/>
              <w:cnfStyle w:val="000000100000" w:firstRow="0" w:lastRow="0" w:firstColumn="0" w:lastColumn="0" w:oddVBand="0" w:evenVBand="0" w:oddHBand="1" w:evenHBand="0" w:firstRowFirstColumn="0" w:firstRowLastColumn="0" w:lastRowFirstColumn="0" w:lastRowLastColumn="0"/>
              <w:rPr>
                <w:b/>
                <w:bCs/>
                <w:sz w:val="18"/>
                <w:szCs w:val="18"/>
              </w:rPr>
            </w:pPr>
            <w:r w:rsidRPr="00154028">
              <w:rPr>
                <w:b/>
                <w:bCs/>
                <w:sz w:val="18"/>
                <w:szCs w:val="18"/>
              </w:rPr>
              <w:t xml:space="preserve">Extreme weather </w:t>
            </w:r>
            <w:proofErr w:type="gramStart"/>
            <w:r w:rsidRPr="00154028">
              <w:rPr>
                <w:b/>
                <w:bCs/>
                <w:sz w:val="18"/>
                <w:szCs w:val="18"/>
              </w:rPr>
              <w:t>events</w:t>
            </w:r>
            <w:r w:rsidR="00150C6F" w:rsidRPr="00154028">
              <w:rPr>
                <w:b/>
                <w:bCs/>
                <w:sz w:val="18"/>
                <w:szCs w:val="18"/>
              </w:rPr>
              <w:t>;</w:t>
            </w:r>
            <w:proofErr w:type="gramEnd"/>
          </w:p>
          <w:p w14:paraId="05CA3595" w14:textId="4ED9498A" w:rsidR="009A11D4" w:rsidRDefault="00D16475" w:rsidP="00122497">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Pr>
                <w:sz w:val="18"/>
                <w:szCs w:val="18"/>
              </w:rPr>
              <w:t>T</w:t>
            </w:r>
            <w:r w:rsidR="0048717E">
              <w:rPr>
                <w:sz w:val="18"/>
                <w:szCs w:val="18"/>
              </w:rPr>
              <w:t xml:space="preserve">hreatened species </w:t>
            </w:r>
          </w:p>
        </w:tc>
        <w:tc>
          <w:tcPr>
            <w:tcW w:w="1804" w:type="dxa"/>
          </w:tcPr>
          <w:p w14:paraId="1FCB692D" w14:textId="5469D096" w:rsidR="003A61F1" w:rsidRPr="003A61F1" w:rsidRDefault="003A61F1" w:rsidP="003A61F1">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3A61F1">
              <w:rPr>
                <w:sz w:val="18"/>
                <w:szCs w:val="18"/>
              </w:rPr>
              <w:t xml:space="preserve">Renewable </w:t>
            </w:r>
            <w:proofErr w:type="gramStart"/>
            <w:r w:rsidR="00150C6F">
              <w:rPr>
                <w:sz w:val="18"/>
                <w:szCs w:val="18"/>
              </w:rPr>
              <w:t>e</w:t>
            </w:r>
            <w:r w:rsidRPr="003A61F1">
              <w:rPr>
                <w:sz w:val="18"/>
                <w:szCs w:val="18"/>
              </w:rPr>
              <w:t>nergy</w:t>
            </w:r>
            <w:r w:rsidR="00150C6F">
              <w:rPr>
                <w:sz w:val="18"/>
                <w:szCs w:val="18"/>
              </w:rPr>
              <w:t>;</w:t>
            </w:r>
            <w:proofErr w:type="gramEnd"/>
          </w:p>
          <w:p w14:paraId="42F28E36" w14:textId="4BAC5B4F" w:rsidR="003A61F1" w:rsidRPr="003A61F1" w:rsidRDefault="003A61F1" w:rsidP="003A61F1">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3A61F1">
              <w:rPr>
                <w:sz w:val="18"/>
                <w:szCs w:val="18"/>
              </w:rPr>
              <w:t xml:space="preserve">Natural disaster </w:t>
            </w:r>
            <w:proofErr w:type="gramStart"/>
            <w:r w:rsidRPr="003A61F1">
              <w:rPr>
                <w:sz w:val="18"/>
                <w:szCs w:val="18"/>
              </w:rPr>
              <w:t>relief</w:t>
            </w:r>
            <w:r w:rsidR="00150C6F">
              <w:rPr>
                <w:sz w:val="18"/>
                <w:szCs w:val="18"/>
              </w:rPr>
              <w:t>;</w:t>
            </w:r>
            <w:proofErr w:type="gramEnd"/>
          </w:p>
          <w:p w14:paraId="39763C9E" w14:textId="0CF16C68" w:rsidR="009A11D4" w:rsidRDefault="003A61F1" w:rsidP="003A61F1">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sidRPr="003A61F1">
              <w:rPr>
                <w:sz w:val="18"/>
                <w:szCs w:val="18"/>
              </w:rPr>
              <w:t>Environment protection</w:t>
            </w:r>
          </w:p>
        </w:tc>
      </w:tr>
      <w:tr w:rsidR="001E7BF0" w14:paraId="3803F752" w14:textId="77777777" w:rsidTr="009A1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0D46A4C4" w14:textId="66AA5D2F" w:rsidR="00C53591" w:rsidRDefault="00F6112E" w:rsidP="00BD3B6F">
            <w:pPr>
              <w:ind w:left="0"/>
              <w:rPr>
                <w:rStyle w:val="normaltextrun"/>
                <w:rFonts w:eastAsia="Times New Roman"/>
                <w:lang w:val="en-US"/>
              </w:rPr>
            </w:pPr>
            <w:r w:rsidRPr="00F6112E">
              <w:rPr>
                <w:rStyle w:val="normaltextrun"/>
                <w:rFonts w:eastAsia="Times New Roman"/>
                <w:lang w:val="en-US"/>
              </w:rPr>
              <w:t>Safety and Security</w:t>
            </w:r>
          </w:p>
        </w:tc>
        <w:tc>
          <w:tcPr>
            <w:tcW w:w="1771" w:type="dxa"/>
          </w:tcPr>
          <w:p w14:paraId="730D5F3E" w14:textId="2B99645C" w:rsidR="0092772E" w:rsidRDefault="0092772E" w:rsidP="0092772E">
            <w:pPr>
              <w:pStyle w:val="Default"/>
              <w:cnfStyle w:val="000000010000" w:firstRow="0" w:lastRow="0" w:firstColumn="0" w:lastColumn="0" w:oddVBand="0" w:evenVBand="0" w:oddHBand="0" w:evenHBand="1" w:firstRowFirstColumn="0" w:firstRowLastColumn="0" w:lastRowFirstColumn="0" w:lastRowLastColumn="0"/>
              <w:rPr>
                <w:sz w:val="18"/>
                <w:szCs w:val="18"/>
              </w:rPr>
            </w:pPr>
            <w:proofErr w:type="gramStart"/>
            <w:r>
              <w:rPr>
                <w:sz w:val="18"/>
                <w:szCs w:val="18"/>
              </w:rPr>
              <w:t>Homicides</w:t>
            </w:r>
            <w:r w:rsidR="00150C6F">
              <w:rPr>
                <w:sz w:val="18"/>
                <w:szCs w:val="18"/>
              </w:rPr>
              <w:t>;</w:t>
            </w:r>
            <w:proofErr w:type="gramEnd"/>
          </w:p>
          <w:p w14:paraId="3F2633B2" w14:textId="36ABDB8A" w:rsidR="00C53591" w:rsidRDefault="001E7BF0" w:rsidP="001E7BF0">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Incidence of domestic </w:t>
            </w:r>
            <w:proofErr w:type="gramStart"/>
            <w:r>
              <w:rPr>
                <w:sz w:val="18"/>
                <w:szCs w:val="18"/>
              </w:rPr>
              <w:t>violence</w:t>
            </w:r>
            <w:r w:rsidR="00150C6F">
              <w:rPr>
                <w:sz w:val="18"/>
                <w:szCs w:val="18"/>
              </w:rPr>
              <w:t>;</w:t>
            </w:r>
            <w:proofErr w:type="gramEnd"/>
          </w:p>
          <w:p w14:paraId="6A2BAC12" w14:textId="791C6336" w:rsidR="001E7BF0" w:rsidRPr="00BD14AC" w:rsidRDefault="001E7BF0" w:rsidP="001E7BF0">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1E7BF0">
              <w:rPr>
                <w:sz w:val="18"/>
                <w:szCs w:val="18"/>
              </w:rPr>
              <w:t>Access to insurance</w:t>
            </w:r>
          </w:p>
        </w:tc>
        <w:tc>
          <w:tcPr>
            <w:tcW w:w="1782" w:type="dxa"/>
          </w:tcPr>
          <w:p w14:paraId="1147350B" w14:textId="7A1206DC" w:rsidR="001E7BF0" w:rsidRDefault="0092772E" w:rsidP="0092772E">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Gender Gap in Feeling </w:t>
            </w:r>
            <w:proofErr w:type="gramStart"/>
            <w:r>
              <w:rPr>
                <w:sz w:val="18"/>
                <w:szCs w:val="18"/>
              </w:rPr>
              <w:t>Safe</w:t>
            </w:r>
            <w:r w:rsidR="00150C6F">
              <w:rPr>
                <w:sz w:val="18"/>
                <w:szCs w:val="18"/>
              </w:rPr>
              <w:t>;</w:t>
            </w:r>
            <w:proofErr w:type="gramEnd"/>
          </w:p>
          <w:p w14:paraId="28752993" w14:textId="106AEB48" w:rsidR="00C53591" w:rsidRPr="001E7BF0" w:rsidRDefault="001E7BF0" w:rsidP="001E7BF0">
            <w:pPr>
              <w:pStyle w:val="Default"/>
              <w:cnfStyle w:val="000000010000" w:firstRow="0" w:lastRow="0" w:firstColumn="0" w:lastColumn="0" w:oddVBand="0" w:evenVBand="0" w:oddHBand="0" w:evenHBand="1" w:firstRowFirstColumn="0" w:firstRowLastColumn="0" w:lastRowFirstColumn="0" w:lastRowLastColumn="0"/>
              <w:rPr>
                <w:rStyle w:val="normaltextrun"/>
                <w:sz w:val="18"/>
                <w:szCs w:val="18"/>
              </w:rPr>
            </w:pPr>
            <w:r>
              <w:rPr>
                <w:sz w:val="18"/>
                <w:szCs w:val="18"/>
              </w:rPr>
              <w:t>Regional gaps in feeing safe</w:t>
            </w:r>
          </w:p>
        </w:tc>
        <w:tc>
          <w:tcPr>
            <w:tcW w:w="1723" w:type="dxa"/>
          </w:tcPr>
          <w:p w14:paraId="54CDED37" w14:textId="209E1BF0" w:rsidR="00C53591" w:rsidRPr="00154028" w:rsidRDefault="00122497" w:rsidP="00122497">
            <w:pPr>
              <w:pStyle w:val="Default"/>
              <w:cnfStyle w:val="000000010000" w:firstRow="0" w:lastRow="0" w:firstColumn="0" w:lastColumn="0" w:oddVBand="0" w:evenVBand="0" w:oddHBand="0" w:evenHBand="1" w:firstRowFirstColumn="0" w:firstRowLastColumn="0" w:lastRowFirstColumn="0" w:lastRowLastColumn="0"/>
              <w:rPr>
                <w:b/>
                <w:bCs/>
                <w:szCs w:val="18"/>
              </w:rPr>
            </w:pPr>
            <w:r w:rsidRPr="00154028">
              <w:rPr>
                <w:b/>
                <w:bCs/>
                <w:sz w:val="18"/>
                <w:szCs w:val="18"/>
              </w:rPr>
              <w:t xml:space="preserve">Incarceration rates (and deaths in custody) of First Nations </w:t>
            </w:r>
            <w:proofErr w:type="gramStart"/>
            <w:r w:rsidRPr="00154028">
              <w:rPr>
                <w:b/>
                <w:bCs/>
                <w:sz w:val="18"/>
                <w:szCs w:val="18"/>
              </w:rPr>
              <w:t>people</w:t>
            </w:r>
            <w:r w:rsidR="00150C6F" w:rsidRPr="00154028">
              <w:rPr>
                <w:b/>
                <w:bCs/>
                <w:sz w:val="18"/>
                <w:szCs w:val="18"/>
              </w:rPr>
              <w:t>;</w:t>
            </w:r>
            <w:proofErr w:type="gramEnd"/>
          </w:p>
          <w:p w14:paraId="5E59C01F" w14:textId="28AB202D" w:rsidR="00122497" w:rsidRPr="00154028" w:rsidRDefault="00122497" w:rsidP="00122497">
            <w:pPr>
              <w:pStyle w:val="Default"/>
              <w:cnfStyle w:val="000000010000" w:firstRow="0" w:lastRow="0" w:firstColumn="0" w:lastColumn="0" w:oddVBand="0" w:evenVBand="0" w:oddHBand="0" w:evenHBand="1" w:firstRowFirstColumn="0" w:firstRowLastColumn="0" w:lastRowFirstColumn="0" w:lastRowLastColumn="0"/>
              <w:rPr>
                <w:b/>
                <w:bCs/>
                <w:szCs w:val="18"/>
              </w:rPr>
            </w:pPr>
            <w:r w:rsidRPr="00154028">
              <w:rPr>
                <w:b/>
                <w:bCs/>
                <w:sz w:val="18"/>
                <w:szCs w:val="18"/>
              </w:rPr>
              <w:t>Incarceration rates of young people</w:t>
            </w:r>
          </w:p>
          <w:p w14:paraId="31C8A99F" w14:textId="382A961F" w:rsidR="00122497" w:rsidRDefault="00122497" w:rsidP="00BD3B6F">
            <w:pPr>
              <w:ind w:left="0"/>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p>
        </w:tc>
        <w:tc>
          <w:tcPr>
            <w:tcW w:w="1804" w:type="dxa"/>
          </w:tcPr>
          <w:p w14:paraId="48778FB1" w14:textId="6CA27CF5" w:rsidR="00C53591" w:rsidRDefault="001E7BF0" w:rsidP="001E7BF0">
            <w:pPr>
              <w:pStyle w:val="Default"/>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1E7BF0">
              <w:rPr>
                <w:sz w:val="18"/>
                <w:szCs w:val="18"/>
              </w:rPr>
              <w:t>Defence</w:t>
            </w:r>
            <w:r w:rsidR="00150C6F">
              <w:rPr>
                <w:sz w:val="18"/>
                <w:szCs w:val="18"/>
              </w:rPr>
              <w:t>;</w:t>
            </w:r>
            <w:proofErr w:type="gramEnd"/>
          </w:p>
          <w:p w14:paraId="3E2FCC18" w14:textId="77777777" w:rsidR="00D23E9B" w:rsidRPr="003A61F1" w:rsidRDefault="00D23E9B" w:rsidP="00D23E9B">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3A61F1">
              <w:rPr>
                <w:sz w:val="18"/>
                <w:szCs w:val="18"/>
              </w:rPr>
              <w:t xml:space="preserve">Courts and legal services </w:t>
            </w:r>
          </w:p>
          <w:p w14:paraId="7A1FFB98" w14:textId="1448D09B" w:rsidR="00D23E9B" w:rsidRDefault="00D23E9B" w:rsidP="001E7BF0">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p>
        </w:tc>
      </w:tr>
      <w:tr w:rsidR="003A61F1" w14:paraId="62504B86" w14:textId="77777777" w:rsidTr="00FB1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2A91BAF7" w14:textId="66A079ED" w:rsidR="00F6112E" w:rsidRDefault="00F6112E" w:rsidP="00FB18AE">
            <w:pPr>
              <w:ind w:left="0"/>
              <w:rPr>
                <w:rStyle w:val="normaltextrun"/>
                <w:rFonts w:eastAsia="Times New Roman"/>
                <w:lang w:val="en-US"/>
              </w:rPr>
            </w:pPr>
            <w:r w:rsidRPr="00F6112E">
              <w:rPr>
                <w:rStyle w:val="normaltextrun"/>
                <w:rFonts w:eastAsia="Times New Roman"/>
                <w:lang w:val="en-US"/>
              </w:rPr>
              <w:t>Time Use</w:t>
            </w:r>
          </w:p>
        </w:tc>
        <w:tc>
          <w:tcPr>
            <w:tcW w:w="1771" w:type="dxa"/>
          </w:tcPr>
          <w:p w14:paraId="02B2F512" w14:textId="30A0BABE" w:rsidR="00B17DAD" w:rsidRDefault="00B17DAD" w:rsidP="00B17DAD">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Time </w:t>
            </w:r>
            <w:proofErr w:type="gramStart"/>
            <w:r>
              <w:rPr>
                <w:sz w:val="18"/>
                <w:szCs w:val="18"/>
              </w:rPr>
              <w:t xml:space="preserve">Off </w:t>
            </w:r>
            <w:r w:rsidR="00150C6F">
              <w:rPr>
                <w:sz w:val="18"/>
                <w:szCs w:val="18"/>
              </w:rPr>
              <w:t>;</w:t>
            </w:r>
            <w:proofErr w:type="gramEnd"/>
          </w:p>
          <w:p w14:paraId="1D483D5C" w14:textId="2128C8B1" w:rsidR="00F6112E" w:rsidRDefault="001E7BF0" w:rsidP="001E7BF0">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Time</w:t>
            </w:r>
            <w:r w:rsidR="0048717E" w:rsidRPr="0048717E">
              <w:rPr>
                <w:sz w:val="18"/>
                <w:szCs w:val="18"/>
              </w:rPr>
              <w:t xml:space="preserve"> spent interacting with friends and </w:t>
            </w:r>
            <w:proofErr w:type="gramStart"/>
            <w:r w:rsidR="0048717E" w:rsidRPr="0048717E">
              <w:rPr>
                <w:sz w:val="18"/>
                <w:szCs w:val="18"/>
              </w:rPr>
              <w:t xml:space="preserve">family </w:t>
            </w:r>
            <w:r w:rsidR="00150C6F">
              <w:rPr>
                <w:sz w:val="18"/>
                <w:szCs w:val="18"/>
              </w:rPr>
              <w:t>;</w:t>
            </w:r>
            <w:proofErr w:type="gramEnd"/>
          </w:p>
          <w:p w14:paraId="33BE6F7F" w14:textId="65B8FC59" w:rsidR="002256DE" w:rsidRDefault="002256DE" w:rsidP="002256DE">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Pr>
                <w:sz w:val="18"/>
                <w:szCs w:val="18"/>
              </w:rPr>
              <w:t xml:space="preserve">Time spent caring for a family </w:t>
            </w:r>
            <w:proofErr w:type="gramStart"/>
            <w:r>
              <w:rPr>
                <w:sz w:val="18"/>
                <w:szCs w:val="18"/>
              </w:rPr>
              <w:t>members</w:t>
            </w:r>
            <w:proofErr w:type="gramEnd"/>
          </w:p>
        </w:tc>
        <w:tc>
          <w:tcPr>
            <w:tcW w:w="1782" w:type="dxa"/>
          </w:tcPr>
          <w:p w14:paraId="2BC825D7" w14:textId="1778AC7C" w:rsidR="00F6112E" w:rsidRDefault="0092772E" w:rsidP="001E7BF0">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sidRPr="001E7BF0">
              <w:rPr>
                <w:sz w:val="18"/>
                <w:szCs w:val="18"/>
              </w:rPr>
              <w:t xml:space="preserve">Gender division of </w:t>
            </w:r>
            <w:r w:rsidR="001E7BF0">
              <w:rPr>
                <w:sz w:val="18"/>
                <w:szCs w:val="18"/>
              </w:rPr>
              <w:t>unpaid</w:t>
            </w:r>
            <w:r w:rsidRPr="001E7BF0">
              <w:rPr>
                <w:sz w:val="18"/>
                <w:szCs w:val="18"/>
              </w:rPr>
              <w:t xml:space="preserve"> labour</w:t>
            </w:r>
          </w:p>
        </w:tc>
        <w:tc>
          <w:tcPr>
            <w:tcW w:w="1723" w:type="dxa"/>
          </w:tcPr>
          <w:p w14:paraId="4D427BA9" w14:textId="77777777" w:rsidR="002256DE" w:rsidRDefault="002256DE" w:rsidP="002256DE">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Long hours in paid work </w:t>
            </w:r>
          </w:p>
          <w:p w14:paraId="3860869E" w14:textId="77777777" w:rsidR="00F6112E" w:rsidRDefault="00F6112E" w:rsidP="00FB18AE">
            <w:pPr>
              <w:ind w:left="0"/>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p>
        </w:tc>
        <w:tc>
          <w:tcPr>
            <w:tcW w:w="1804" w:type="dxa"/>
          </w:tcPr>
          <w:p w14:paraId="6A19293F" w14:textId="77777777" w:rsidR="00F6112E" w:rsidRDefault="00F6112E" w:rsidP="00FB18AE">
            <w:pPr>
              <w:ind w:left="0"/>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p>
        </w:tc>
      </w:tr>
      <w:tr w:rsidR="001E7BF0" w14:paraId="7FE91D8C" w14:textId="77777777" w:rsidTr="009A1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0B33DD6F" w14:textId="04330845" w:rsidR="00C53591" w:rsidRDefault="00F6112E" w:rsidP="00BD3B6F">
            <w:pPr>
              <w:ind w:left="0"/>
              <w:rPr>
                <w:rStyle w:val="normaltextrun"/>
                <w:rFonts w:eastAsia="Times New Roman"/>
                <w:lang w:val="en-US"/>
              </w:rPr>
            </w:pPr>
            <w:r>
              <w:rPr>
                <w:rStyle w:val="normaltextrun"/>
                <w:rFonts w:eastAsia="Times New Roman"/>
                <w:lang w:val="en-US"/>
              </w:rPr>
              <w:t xml:space="preserve">Social connections, </w:t>
            </w:r>
            <w:r w:rsidRPr="00F6112E">
              <w:rPr>
                <w:rStyle w:val="normaltextrun"/>
                <w:rFonts w:eastAsia="Times New Roman"/>
                <w:lang w:val="en-US"/>
              </w:rPr>
              <w:t xml:space="preserve">Community and </w:t>
            </w:r>
            <w:r>
              <w:rPr>
                <w:rStyle w:val="normaltextrun"/>
                <w:rFonts w:eastAsia="Times New Roman"/>
                <w:lang w:val="en-US"/>
              </w:rPr>
              <w:t>C</w:t>
            </w:r>
            <w:r>
              <w:rPr>
                <w:rStyle w:val="normaltextrun"/>
                <w:rFonts w:eastAsia="Times New Roman"/>
              </w:rPr>
              <w:t>are</w:t>
            </w:r>
          </w:p>
        </w:tc>
        <w:tc>
          <w:tcPr>
            <w:tcW w:w="1771" w:type="dxa"/>
          </w:tcPr>
          <w:p w14:paraId="5FC29A3A" w14:textId="5BFAC718" w:rsidR="0048717E" w:rsidRDefault="001E7BF0" w:rsidP="00122497">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r>
              <w:rPr>
                <w:sz w:val="18"/>
                <w:szCs w:val="18"/>
              </w:rPr>
              <w:t>H</w:t>
            </w:r>
            <w:r w:rsidR="0048717E" w:rsidRPr="001E7BF0">
              <w:rPr>
                <w:sz w:val="18"/>
                <w:szCs w:val="18"/>
              </w:rPr>
              <w:t>aving friends or relatives that can assist when needed</w:t>
            </w:r>
          </w:p>
        </w:tc>
        <w:tc>
          <w:tcPr>
            <w:tcW w:w="1782" w:type="dxa"/>
          </w:tcPr>
          <w:p w14:paraId="47A39809" w14:textId="71221C7F" w:rsidR="00C53591" w:rsidRPr="00154028" w:rsidRDefault="001E7BF0" w:rsidP="001E7BF0">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b/>
                <w:bCs/>
                <w:lang w:val="en-US"/>
              </w:rPr>
            </w:pPr>
            <w:r w:rsidRPr="00154028">
              <w:rPr>
                <w:b/>
                <w:bCs/>
                <w:sz w:val="18"/>
                <w:szCs w:val="18"/>
              </w:rPr>
              <w:t>Access to care services</w:t>
            </w:r>
          </w:p>
        </w:tc>
        <w:tc>
          <w:tcPr>
            <w:tcW w:w="1723" w:type="dxa"/>
          </w:tcPr>
          <w:p w14:paraId="6A0C5980" w14:textId="77777777" w:rsidR="00C53591" w:rsidRDefault="00C53591" w:rsidP="00BD3B6F">
            <w:pPr>
              <w:ind w:left="0"/>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p>
        </w:tc>
        <w:tc>
          <w:tcPr>
            <w:tcW w:w="1804" w:type="dxa"/>
          </w:tcPr>
          <w:p w14:paraId="48B2E77C" w14:textId="2A5EE081" w:rsidR="00122497" w:rsidRDefault="001E7BF0" w:rsidP="001E7BF0">
            <w:pPr>
              <w:pStyle w:val="Default"/>
              <w:cnfStyle w:val="000000010000" w:firstRow="0" w:lastRow="0" w:firstColumn="0" w:lastColumn="0" w:oddVBand="0" w:evenVBand="0" w:oddHBand="0" w:evenHBand="1" w:firstRowFirstColumn="0" w:firstRowLastColumn="0" w:lastRowFirstColumn="0" w:lastRowLastColumn="0"/>
              <w:rPr>
                <w:sz w:val="18"/>
                <w:szCs w:val="18"/>
              </w:rPr>
            </w:pPr>
            <w:r w:rsidRPr="001E7BF0">
              <w:rPr>
                <w:sz w:val="18"/>
                <w:szCs w:val="18"/>
              </w:rPr>
              <w:t xml:space="preserve">Child </w:t>
            </w:r>
            <w:proofErr w:type="gramStart"/>
            <w:r w:rsidRPr="001E7BF0">
              <w:rPr>
                <w:sz w:val="18"/>
                <w:szCs w:val="18"/>
              </w:rPr>
              <w:t>care</w:t>
            </w:r>
            <w:r w:rsidR="00150C6F">
              <w:rPr>
                <w:sz w:val="18"/>
                <w:szCs w:val="18"/>
              </w:rPr>
              <w:t>;</w:t>
            </w:r>
            <w:proofErr w:type="gramEnd"/>
          </w:p>
          <w:p w14:paraId="1F9D25E9" w14:textId="2CAFBF62" w:rsidR="00122497" w:rsidRDefault="00122497" w:rsidP="001E7BF0">
            <w:pPr>
              <w:pStyle w:val="Defaul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A</w:t>
            </w:r>
            <w:r w:rsidR="001E7BF0" w:rsidRPr="001E7BF0">
              <w:rPr>
                <w:sz w:val="18"/>
                <w:szCs w:val="18"/>
              </w:rPr>
              <w:t xml:space="preserve">ged </w:t>
            </w:r>
            <w:proofErr w:type="gramStart"/>
            <w:r w:rsidR="001E7BF0" w:rsidRPr="001E7BF0">
              <w:rPr>
                <w:sz w:val="18"/>
                <w:szCs w:val="18"/>
              </w:rPr>
              <w:t>care</w:t>
            </w:r>
            <w:r w:rsidR="00150C6F">
              <w:rPr>
                <w:sz w:val="18"/>
                <w:szCs w:val="18"/>
              </w:rPr>
              <w:t>;</w:t>
            </w:r>
            <w:proofErr w:type="gramEnd"/>
          </w:p>
          <w:p w14:paraId="76D2613B" w14:textId="7DA6C685" w:rsidR="00C53591" w:rsidRDefault="00BD14AC" w:rsidP="001E7BF0">
            <w:pPr>
              <w:pStyle w:val="Default"/>
              <w:cnfStyle w:val="000000010000" w:firstRow="0" w:lastRow="0" w:firstColumn="0" w:lastColumn="0" w:oddVBand="0" w:evenVBand="0" w:oddHBand="0" w:evenHBand="1" w:firstRowFirstColumn="0" w:firstRowLastColumn="0" w:lastRowFirstColumn="0" w:lastRowLastColumn="0"/>
              <w:rPr>
                <w:rStyle w:val="normaltextrun"/>
                <w:rFonts w:eastAsia="Times New Roman"/>
                <w:lang w:val="en-US"/>
              </w:rPr>
            </w:pPr>
            <w:r>
              <w:rPr>
                <w:sz w:val="18"/>
                <w:szCs w:val="18"/>
              </w:rPr>
              <w:t>NDIS</w:t>
            </w:r>
          </w:p>
        </w:tc>
      </w:tr>
      <w:tr w:rsidR="001E7BF0" w14:paraId="751F0B98" w14:textId="77777777" w:rsidTr="009A1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2D1F93A6" w14:textId="0EDC7F2A" w:rsidR="00C53591" w:rsidRDefault="00F6112E" w:rsidP="00BD3B6F">
            <w:pPr>
              <w:ind w:left="0"/>
              <w:rPr>
                <w:rStyle w:val="normaltextrun"/>
                <w:rFonts w:eastAsia="Times New Roman"/>
                <w:lang w:val="en-US"/>
              </w:rPr>
            </w:pPr>
            <w:r w:rsidRPr="00F6112E">
              <w:rPr>
                <w:rStyle w:val="normaltextrun"/>
                <w:rFonts w:eastAsia="Times New Roman"/>
                <w:lang w:val="en-US"/>
              </w:rPr>
              <w:t>Civic Engagement, Trust</w:t>
            </w:r>
            <w:r w:rsidR="003A61F1">
              <w:rPr>
                <w:rStyle w:val="normaltextrun"/>
                <w:rFonts w:eastAsia="Times New Roman"/>
                <w:lang w:val="en-US"/>
              </w:rPr>
              <w:t>,</w:t>
            </w:r>
            <w:r w:rsidR="003A61F1">
              <w:rPr>
                <w:rStyle w:val="normaltextrun"/>
                <w:rFonts w:eastAsia="Times New Roman"/>
              </w:rPr>
              <w:t xml:space="preserve"> Diversity</w:t>
            </w:r>
            <w:r w:rsidRPr="00F6112E">
              <w:rPr>
                <w:rStyle w:val="normaltextrun"/>
                <w:rFonts w:eastAsia="Times New Roman"/>
                <w:lang w:val="en-US"/>
              </w:rPr>
              <w:t xml:space="preserve"> and Cultural Expression</w:t>
            </w:r>
          </w:p>
        </w:tc>
        <w:tc>
          <w:tcPr>
            <w:tcW w:w="1771" w:type="dxa"/>
          </w:tcPr>
          <w:p w14:paraId="71AF1AD0" w14:textId="5F1BB7C0" w:rsidR="00B17DAD" w:rsidRDefault="00B17DAD" w:rsidP="00B17DAD">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Voter </w:t>
            </w:r>
            <w:proofErr w:type="gramStart"/>
            <w:r w:rsidR="001E7BF0">
              <w:rPr>
                <w:sz w:val="18"/>
                <w:szCs w:val="18"/>
              </w:rPr>
              <w:t>t</w:t>
            </w:r>
            <w:r>
              <w:rPr>
                <w:sz w:val="18"/>
                <w:szCs w:val="18"/>
              </w:rPr>
              <w:t>urnout</w:t>
            </w:r>
            <w:r w:rsidR="00150C6F">
              <w:rPr>
                <w:sz w:val="18"/>
                <w:szCs w:val="18"/>
              </w:rPr>
              <w:t>;</w:t>
            </w:r>
            <w:proofErr w:type="gramEnd"/>
          </w:p>
          <w:p w14:paraId="10545FB6" w14:textId="5543874C" w:rsidR="0092772E" w:rsidRDefault="0092772E" w:rsidP="0092772E">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Having a say in </w:t>
            </w:r>
            <w:proofErr w:type="gramStart"/>
            <w:r>
              <w:rPr>
                <w:sz w:val="18"/>
                <w:szCs w:val="18"/>
              </w:rPr>
              <w:t>government</w:t>
            </w:r>
            <w:r w:rsidR="00150C6F">
              <w:rPr>
                <w:sz w:val="18"/>
                <w:szCs w:val="18"/>
              </w:rPr>
              <w:t>;</w:t>
            </w:r>
            <w:proofErr w:type="gramEnd"/>
          </w:p>
          <w:p w14:paraId="2F7010A9" w14:textId="265C4E4D" w:rsidR="00C53591" w:rsidRDefault="001E7BF0" w:rsidP="001E7BF0">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Pr>
                <w:sz w:val="18"/>
                <w:szCs w:val="18"/>
              </w:rPr>
              <w:t>C</w:t>
            </w:r>
            <w:r w:rsidR="0048717E" w:rsidRPr="001E7BF0">
              <w:rPr>
                <w:sz w:val="18"/>
                <w:szCs w:val="18"/>
              </w:rPr>
              <w:t>onfidence in national government</w:t>
            </w:r>
          </w:p>
        </w:tc>
        <w:tc>
          <w:tcPr>
            <w:tcW w:w="1782" w:type="dxa"/>
          </w:tcPr>
          <w:p w14:paraId="793BF690" w14:textId="3EB4C3C8" w:rsidR="00C53591" w:rsidRPr="002256DE" w:rsidRDefault="0092772E" w:rsidP="00122497">
            <w:pPr>
              <w:pStyle w:val="Default"/>
              <w:cnfStyle w:val="000000100000" w:firstRow="0" w:lastRow="0" w:firstColumn="0" w:lastColumn="0" w:oddVBand="0" w:evenVBand="0" w:oddHBand="1" w:evenHBand="0" w:firstRowFirstColumn="0" w:firstRowLastColumn="0" w:lastRowFirstColumn="0" w:lastRowLastColumn="0"/>
              <w:rPr>
                <w:rStyle w:val="normaltextrun"/>
                <w:sz w:val="18"/>
                <w:szCs w:val="18"/>
              </w:rPr>
            </w:pPr>
            <w:r>
              <w:rPr>
                <w:sz w:val="18"/>
                <w:szCs w:val="18"/>
              </w:rPr>
              <w:t xml:space="preserve">Gender </w:t>
            </w:r>
            <w:r w:rsidR="001E7BF0">
              <w:rPr>
                <w:sz w:val="18"/>
                <w:szCs w:val="18"/>
              </w:rPr>
              <w:t>p</w:t>
            </w:r>
            <w:r>
              <w:rPr>
                <w:sz w:val="18"/>
                <w:szCs w:val="18"/>
              </w:rPr>
              <w:t xml:space="preserve">arity in </w:t>
            </w:r>
            <w:r w:rsidR="001E7BF0">
              <w:rPr>
                <w:sz w:val="18"/>
                <w:szCs w:val="18"/>
              </w:rPr>
              <w:t>p</w:t>
            </w:r>
            <w:r>
              <w:rPr>
                <w:sz w:val="18"/>
                <w:szCs w:val="18"/>
              </w:rPr>
              <w:t xml:space="preserve">olitics </w:t>
            </w:r>
          </w:p>
        </w:tc>
        <w:tc>
          <w:tcPr>
            <w:tcW w:w="1723" w:type="dxa"/>
          </w:tcPr>
          <w:p w14:paraId="340BC5D6" w14:textId="1AAA63BA" w:rsidR="0092772E" w:rsidRDefault="00BD14AC" w:rsidP="0092772E">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Low confidence in democratic forms of </w:t>
            </w:r>
            <w:proofErr w:type="gramStart"/>
            <w:r>
              <w:rPr>
                <w:sz w:val="18"/>
                <w:szCs w:val="18"/>
              </w:rPr>
              <w:t>government</w:t>
            </w:r>
            <w:r w:rsidR="00150C6F">
              <w:rPr>
                <w:sz w:val="18"/>
                <w:szCs w:val="18"/>
              </w:rPr>
              <w:t>;</w:t>
            </w:r>
            <w:proofErr w:type="gramEnd"/>
          </w:p>
          <w:p w14:paraId="0C6EE3FB" w14:textId="37C794E4" w:rsidR="00C53591" w:rsidRDefault="003A61F1" w:rsidP="00122497">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sidRPr="002256DE">
              <w:rPr>
                <w:sz w:val="18"/>
                <w:szCs w:val="18"/>
              </w:rPr>
              <w:t>Persons who experienced</w:t>
            </w:r>
            <w:r>
              <w:rPr>
                <w:sz w:val="18"/>
                <w:szCs w:val="18"/>
              </w:rPr>
              <w:t xml:space="preserve"> </w:t>
            </w:r>
            <w:r w:rsidRPr="002256DE">
              <w:rPr>
                <w:sz w:val="18"/>
                <w:szCs w:val="18"/>
              </w:rPr>
              <w:t>discrimination</w:t>
            </w:r>
          </w:p>
        </w:tc>
        <w:tc>
          <w:tcPr>
            <w:tcW w:w="1804" w:type="dxa"/>
          </w:tcPr>
          <w:p w14:paraId="411DC4EE" w14:textId="15C08661" w:rsidR="00C53591" w:rsidRPr="00122497" w:rsidRDefault="003A61F1" w:rsidP="00122497">
            <w:pPr>
              <w:pStyle w:val="Default"/>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122497">
              <w:rPr>
                <w:sz w:val="18"/>
                <w:szCs w:val="18"/>
              </w:rPr>
              <w:t>Broadcasting</w:t>
            </w:r>
            <w:r w:rsidR="00150C6F">
              <w:rPr>
                <w:sz w:val="18"/>
                <w:szCs w:val="18"/>
              </w:rPr>
              <w:t>;</w:t>
            </w:r>
            <w:proofErr w:type="gramEnd"/>
          </w:p>
          <w:p w14:paraId="12531629" w14:textId="2F6587A8" w:rsidR="003A61F1" w:rsidRPr="00122497" w:rsidRDefault="003A61F1" w:rsidP="003A61F1">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122497">
              <w:rPr>
                <w:sz w:val="18"/>
                <w:szCs w:val="18"/>
              </w:rPr>
              <w:t xml:space="preserve">Arts and cultural </w:t>
            </w:r>
            <w:proofErr w:type="gramStart"/>
            <w:r w:rsidRPr="00122497">
              <w:rPr>
                <w:sz w:val="18"/>
                <w:szCs w:val="18"/>
              </w:rPr>
              <w:t>heritage</w:t>
            </w:r>
            <w:r w:rsidR="00150C6F">
              <w:rPr>
                <w:sz w:val="18"/>
                <w:szCs w:val="18"/>
              </w:rPr>
              <w:t>;</w:t>
            </w:r>
            <w:proofErr w:type="gramEnd"/>
          </w:p>
          <w:p w14:paraId="79123E8A" w14:textId="6511F3E6" w:rsidR="003A61F1" w:rsidRPr="00122497" w:rsidRDefault="003A61F1" w:rsidP="003A61F1">
            <w:pPr>
              <w:pStyle w:val="Default"/>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122497">
              <w:rPr>
                <w:sz w:val="18"/>
                <w:szCs w:val="18"/>
              </w:rPr>
              <w:t>Citizenship</w:t>
            </w:r>
            <w:r w:rsidR="00150C6F">
              <w:rPr>
                <w:sz w:val="18"/>
                <w:szCs w:val="18"/>
              </w:rPr>
              <w:t>;</w:t>
            </w:r>
            <w:proofErr w:type="gramEnd"/>
          </w:p>
          <w:p w14:paraId="06B40FEB" w14:textId="6A91C3B2" w:rsidR="003A61F1" w:rsidRPr="00122497" w:rsidRDefault="003A61F1" w:rsidP="003A61F1">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122497">
              <w:rPr>
                <w:sz w:val="18"/>
                <w:szCs w:val="18"/>
              </w:rPr>
              <w:t>Migration</w:t>
            </w:r>
            <w:r w:rsidR="00150C6F">
              <w:rPr>
                <w:sz w:val="18"/>
                <w:szCs w:val="18"/>
              </w:rPr>
              <w:t xml:space="preserve">, </w:t>
            </w:r>
          </w:p>
          <w:p w14:paraId="152CDCCB" w14:textId="2157FB08" w:rsidR="003A61F1" w:rsidRDefault="00150C6F" w:rsidP="00122497">
            <w:pPr>
              <w:pStyle w:val="Default"/>
              <w:cnfStyle w:val="000000100000" w:firstRow="0" w:lastRow="0" w:firstColumn="0" w:lastColumn="0" w:oddVBand="0" w:evenVBand="0" w:oddHBand="1" w:evenHBand="0" w:firstRowFirstColumn="0" w:firstRowLastColumn="0" w:lastRowFirstColumn="0" w:lastRowLastColumn="0"/>
              <w:rPr>
                <w:rStyle w:val="normaltextrun"/>
                <w:rFonts w:eastAsia="Times New Roman"/>
                <w:lang w:val="en-US"/>
              </w:rPr>
            </w:pPr>
            <w:r>
              <w:rPr>
                <w:sz w:val="18"/>
                <w:szCs w:val="18"/>
              </w:rPr>
              <w:t>r</w:t>
            </w:r>
            <w:r w:rsidR="003A61F1" w:rsidRPr="00122497">
              <w:rPr>
                <w:sz w:val="18"/>
                <w:szCs w:val="18"/>
              </w:rPr>
              <w:t>efugee and humanitarian assistance</w:t>
            </w:r>
          </w:p>
        </w:tc>
      </w:tr>
    </w:tbl>
    <w:p w14:paraId="7A0A158B" w14:textId="790FBB19" w:rsidR="002256DE" w:rsidRPr="00122497" w:rsidRDefault="002256DE" w:rsidP="002256DE">
      <w:pPr>
        <w:spacing w:before="0" w:after="0"/>
        <w:rPr>
          <w:rStyle w:val="normaltextrun"/>
          <w:rFonts w:eastAsia="Times New Roman"/>
          <w:sz w:val="18"/>
          <w:szCs w:val="18"/>
          <w:lang w:val="en-US"/>
        </w:rPr>
      </w:pPr>
      <w:r w:rsidRPr="00122497">
        <w:rPr>
          <w:rStyle w:val="normaltextrun"/>
          <w:rFonts w:eastAsia="Times New Roman"/>
          <w:sz w:val="18"/>
          <w:szCs w:val="18"/>
          <w:lang w:val="en-US"/>
        </w:rPr>
        <w:t>Sources: Irish Government (202</w:t>
      </w:r>
      <w:r w:rsidR="00D23E9B" w:rsidRPr="00122497">
        <w:rPr>
          <w:rStyle w:val="normaltextrun"/>
          <w:rFonts w:eastAsia="Times New Roman"/>
          <w:sz w:val="18"/>
          <w:szCs w:val="18"/>
          <w:lang w:val="en-US"/>
        </w:rPr>
        <w:t>2</w:t>
      </w:r>
      <w:r w:rsidRPr="00122497">
        <w:rPr>
          <w:rStyle w:val="normaltextrun"/>
          <w:rFonts w:eastAsia="Times New Roman"/>
          <w:sz w:val="18"/>
          <w:szCs w:val="18"/>
          <w:lang w:val="en-US"/>
        </w:rPr>
        <w:t xml:space="preserve">), </w:t>
      </w:r>
      <w:r w:rsidRPr="00122497">
        <w:rPr>
          <w:rStyle w:val="normaltextrun"/>
          <w:rFonts w:eastAsia="Times New Roman"/>
          <w:i/>
          <w:iCs/>
          <w:sz w:val="18"/>
          <w:szCs w:val="18"/>
          <w:lang w:val="en-US"/>
        </w:rPr>
        <w:t>Understanding Life in Ireland - The Well-being Dashboard</w:t>
      </w:r>
      <w:r w:rsidRPr="00122497">
        <w:rPr>
          <w:rStyle w:val="normaltextrun"/>
          <w:rFonts w:eastAsia="Times New Roman"/>
          <w:sz w:val="18"/>
          <w:szCs w:val="18"/>
          <w:lang w:val="en-US"/>
        </w:rPr>
        <w:t xml:space="preserve"> 2022</w:t>
      </w:r>
      <w:r w:rsidR="00D23E9B" w:rsidRPr="00122497">
        <w:rPr>
          <w:rStyle w:val="normaltextrun"/>
          <w:rFonts w:eastAsia="Times New Roman"/>
          <w:sz w:val="18"/>
          <w:szCs w:val="18"/>
          <w:lang w:val="en-US"/>
        </w:rPr>
        <w:t xml:space="preserve">; OECD (2020), </w:t>
      </w:r>
      <w:r w:rsidR="00D23E9B" w:rsidRPr="00122497">
        <w:rPr>
          <w:rStyle w:val="normaltextrun"/>
          <w:rFonts w:eastAsia="Times New Roman"/>
          <w:i/>
          <w:iCs/>
          <w:sz w:val="18"/>
          <w:szCs w:val="18"/>
          <w:lang w:val="en-US"/>
        </w:rPr>
        <w:t xml:space="preserve">How’s </w:t>
      </w:r>
      <w:proofErr w:type="gramStart"/>
      <w:r w:rsidR="00D23E9B" w:rsidRPr="00122497">
        <w:rPr>
          <w:rStyle w:val="normaltextrun"/>
          <w:rFonts w:eastAsia="Times New Roman"/>
          <w:i/>
          <w:iCs/>
          <w:sz w:val="18"/>
          <w:szCs w:val="18"/>
          <w:lang w:val="en-US"/>
        </w:rPr>
        <w:t>Life?;</w:t>
      </w:r>
      <w:proofErr w:type="gramEnd"/>
      <w:r w:rsidR="00D23E9B" w:rsidRPr="00122497">
        <w:rPr>
          <w:rStyle w:val="normaltextrun"/>
          <w:rFonts w:eastAsia="Times New Roman"/>
          <w:i/>
          <w:iCs/>
          <w:sz w:val="18"/>
          <w:szCs w:val="18"/>
          <w:lang w:val="en-US"/>
        </w:rPr>
        <w:t xml:space="preserve"> </w:t>
      </w:r>
      <w:r w:rsidR="00D23E9B" w:rsidRPr="00122497">
        <w:rPr>
          <w:rStyle w:val="normaltextrun"/>
          <w:rFonts w:eastAsia="Times New Roman"/>
          <w:sz w:val="18"/>
          <w:szCs w:val="18"/>
          <w:lang w:val="en-US"/>
        </w:rPr>
        <w:t>Chalmers &amp; Gallagher (2022),</w:t>
      </w:r>
      <w:r w:rsidR="00D23E9B" w:rsidRPr="00122497">
        <w:rPr>
          <w:rStyle w:val="normaltextrun"/>
          <w:rFonts w:eastAsia="Times New Roman"/>
          <w:i/>
          <w:iCs/>
          <w:sz w:val="18"/>
          <w:szCs w:val="18"/>
          <w:lang w:val="en-US"/>
        </w:rPr>
        <w:t xml:space="preserve"> Budget Statement 4 2022-23.</w:t>
      </w:r>
    </w:p>
    <w:p w14:paraId="1D13BB2E" w14:textId="0240733B" w:rsidR="00D23E9B" w:rsidRPr="00122497" w:rsidRDefault="00D23E9B" w:rsidP="001E7BF0">
      <w:pPr>
        <w:spacing w:before="0" w:after="0"/>
        <w:rPr>
          <w:rStyle w:val="normaltextrun"/>
          <w:rFonts w:eastAsia="Times New Roman"/>
          <w:sz w:val="18"/>
          <w:szCs w:val="18"/>
          <w:lang w:val="en-US"/>
        </w:rPr>
      </w:pPr>
      <w:r w:rsidRPr="00122497">
        <w:rPr>
          <w:rStyle w:val="normaltextrun"/>
          <w:rFonts w:eastAsia="Times New Roman"/>
          <w:sz w:val="18"/>
          <w:szCs w:val="18"/>
          <w:lang w:val="en-US"/>
        </w:rPr>
        <w:t>Notes:</w:t>
      </w:r>
    </w:p>
    <w:p w14:paraId="5AA693D6" w14:textId="78366A34" w:rsidR="00C53591" w:rsidRDefault="0092772E" w:rsidP="001E7BF0">
      <w:pPr>
        <w:spacing w:before="0" w:after="0"/>
        <w:rPr>
          <w:rStyle w:val="normaltextrun"/>
          <w:rFonts w:eastAsia="Times New Roman"/>
          <w:sz w:val="18"/>
          <w:szCs w:val="18"/>
          <w:lang w:val="en-US"/>
        </w:rPr>
      </w:pPr>
      <w:r w:rsidRPr="0092772E">
        <w:rPr>
          <w:rStyle w:val="normaltextrun"/>
          <w:rFonts w:eastAsia="Times New Roman"/>
          <w:sz w:val="18"/>
          <w:szCs w:val="18"/>
          <w:lang w:val="en-US"/>
        </w:rPr>
        <w:t xml:space="preserve">* </w:t>
      </w:r>
      <w:r w:rsidR="00D23E9B">
        <w:rPr>
          <w:rStyle w:val="normaltextrun"/>
          <w:rFonts w:eastAsia="Times New Roman"/>
          <w:sz w:val="18"/>
          <w:szCs w:val="18"/>
          <w:lang w:val="en-US"/>
        </w:rPr>
        <w:t>Includes s</w:t>
      </w:r>
      <w:r w:rsidR="00DA28EF">
        <w:rPr>
          <w:rStyle w:val="normaltextrun"/>
          <w:rFonts w:eastAsia="Times New Roman"/>
          <w:sz w:val="18"/>
          <w:szCs w:val="18"/>
          <w:lang w:val="en-US"/>
        </w:rPr>
        <w:t xml:space="preserve">ustainability </w:t>
      </w:r>
      <w:r w:rsidRPr="0092772E">
        <w:rPr>
          <w:rStyle w:val="normaltextrun"/>
          <w:rFonts w:eastAsia="Times New Roman"/>
          <w:sz w:val="18"/>
          <w:szCs w:val="18"/>
          <w:lang w:val="en-US"/>
        </w:rPr>
        <w:t xml:space="preserve">of institutions supporting wellbeing in each domain </w:t>
      </w:r>
      <w:r w:rsidR="00D23E9B">
        <w:rPr>
          <w:rStyle w:val="normaltextrun"/>
          <w:rFonts w:eastAsia="Times New Roman"/>
          <w:sz w:val="18"/>
          <w:szCs w:val="18"/>
          <w:lang w:val="en-US"/>
        </w:rPr>
        <w:t>and indicators of vulnerability among groups in the population.</w:t>
      </w:r>
    </w:p>
    <w:p w14:paraId="7DA641C2" w14:textId="7631A5FD" w:rsidR="00C53591" w:rsidRDefault="00DA28EF" w:rsidP="009321C8">
      <w:pPr>
        <w:spacing w:before="0" w:after="0"/>
        <w:rPr>
          <w:rStyle w:val="normaltextrun"/>
          <w:rFonts w:eastAsia="Times New Roman"/>
          <w:sz w:val="18"/>
          <w:szCs w:val="18"/>
          <w:lang w:val="en-US"/>
        </w:rPr>
      </w:pPr>
      <w:r>
        <w:rPr>
          <w:rStyle w:val="normaltextrun"/>
          <w:rFonts w:eastAsia="Times New Roman"/>
          <w:sz w:val="18"/>
          <w:szCs w:val="18"/>
          <w:lang w:val="en-US"/>
        </w:rPr>
        <w:t xml:space="preserve"># </w:t>
      </w:r>
      <w:proofErr w:type="gramStart"/>
      <w:r>
        <w:rPr>
          <w:rStyle w:val="normaltextrun"/>
          <w:rFonts w:eastAsia="Times New Roman"/>
          <w:sz w:val="18"/>
          <w:szCs w:val="18"/>
          <w:lang w:val="en-US"/>
        </w:rPr>
        <w:t>including</w:t>
      </w:r>
      <w:proofErr w:type="gramEnd"/>
      <w:r>
        <w:rPr>
          <w:rStyle w:val="normaltextrun"/>
          <w:rFonts w:eastAsia="Times New Roman"/>
          <w:sz w:val="18"/>
          <w:szCs w:val="18"/>
          <w:lang w:val="en-US"/>
        </w:rPr>
        <w:t xml:space="preserve"> overall expenditure, its distribution across the population, accessibility of programs, and indicators of effectiveness.</w:t>
      </w:r>
    </w:p>
    <w:p w14:paraId="69B9D56A" w14:textId="03E50E06" w:rsidR="003B18BF" w:rsidRDefault="003B18BF">
      <w:pPr>
        <w:spacing w:before="0" w:after="20" w:line="240" w:lineRule="auto"/>
        <w:ind w:left="0"/>
        <w:jc w:val="both"/>
        <w:rPr>
          <w:rStyle w:val="normaltextrun"/>
          <w:rFonts w:eastAsia="Times New Roman"/>
          <w:sz w:val="18"/>
          <w:szCs w:val="18"/>
          <w:lang w:val="en-US"/>
        </w:rPr>
      </w:pPr>
      <w:r>
        <w:rPr>
          <w:rStyle w:val="normaltextrun"/>
          <w:rFonts w:eastAsia="Times New Roman"/>
          <w:sz w:val="18"/>
          <w:szCs w:val="18"/>
          <w:lang w:val="en-US"/>
        </w:rPr>
        <w:br w:type="page"/>
      </w:r>
    </w:p>
    <w:p w14:paraId="05579CED" w14:textId="77777777" w:rsidR="009321C8" w:rsidRPr="009321C8" w:rsidRDefault="009321C8" w:rsidP="009321C8">
      <w:pPr>
        <w:spacing w:before="0" w:after="0"/>
        <w:rPr>
          <w:rStyle w:val="normaltextrun"/>
          <w:rFonts w:eastAsia="Times New Roman"/>
          <w:sz w:val="18"/>
          <w:szCs w:val="18"/>
          <w:lang w:val="en-US"/>
        </w:rPr>
      </w:pPr>
    </w:p>
    <w:p w14:paraId="52240742" w14:textId="68082A52" w:rsidR="002E57F8" w:rsidRPr="009321C8" w:rsidRDefault="00CB47E0" w:rsidP="009321C8">
      <w:pPr>
        <w:pStyle w:val="Heading4"/>
        <w:rPr>
          <w:rStyle w:val="normaltextrun"/>
        </w:rPr>
      </w:pPr>
      <w:r>
        <w:rPr>
          <w:rStyle w:val="normaltextrun"/>
        </w:rPr>
        <w:t>Priorities and staging</w:t>
      </w:r>
    </w:p>
    <w:p w14:paraId="5105C40C" w14:textId="60C556BA" w:rsidR="00882405" w:rsidRPr="00AC45A4" w:rsidRDefault="00616B16" w:rsidP="00AC45A4">
      <w:pPr>
        <w:pStyle w:val="ListParagraph"/>
        <w:numPr>
          <w:ilvl w:val="0"/>
          <w:numId w:val="8"/>
        </w:numPr>
        <w:rPr>
          <w:b/>
          <w:bCs/>
          <w:lang w:val="en-US"/>
        </w:rPr>
      </w:pPr>
      <w:r>
        <w:rPr>
          <w:b/>
          <w:bCs/>
          <w:lang w:val="en-US"/>
        </w:rPr>
        <w:t>H</w:t>
      </w:r>
      <w:r w:rsidR="00882405" w:rsidRPr="00AC45A4">
        <w:rPr>
          <w:b/>
          <w:bCs/>
          <w:lang w:val="en-US"/>
        </w:rPr>
        <w:t xml:space="preserve">eadline poverty </w:t>
      </w:r>
      <w:r>
        <w:rPr>
          <w:b/>
          <w:bCs/>
          <w:lang w:val="en-US"/>
        </w:rPr>
        <w:t xml:space="preserve">and inequality </w:t>
      </w:r>
      <w:r w:rsidR="00882405" w:rsidRPr="00AC45A4">
        <w:rPr>
          <w:b/>
          <w:bCs/>
          <w:lang w:val="en-US"/>
        </w:rPr>
        <w:t>measure</w:t>
      </w:r>
      <w:r>
        <w:rPr>
          <w:b/>
          <w:bCs/>
          <w:lang w:val="en-US"/>
        </w:rPr>
        <w:t>s</w:t>
      </w:r>
      <w:r w:rsidR="00882405" w:rsidRPr="00AC45A4">
        <w:rPr>
          <w:b/>
          <w:bCs/>
          <w:lang w:val="en-US"/>
        </w:rPr>
        <w:t xml:space="preserve"> </w:t>
      </w:r>
      <w:r w:rsidR="00AC45A4">
        <w:rPr>
          <w:b/>
          <w:bCs/>
          <w:lang w:val="en-US"/>
        </w:rPr>
        <w:t>should</w:t>
      </w:r>
      <w:r w:rsidR="00882405" w:rsidRPr="00AC45A4">
        <w:rPr>
          <w:b/>
          <w:bCs/>
          <w:lang w:val="en-US"/>
        </w:rPr>
        <w:t xml:space="preserve"> be included in the Australian Wellbeing Framework</w:t>
      </w:r>
    </w:p>
    <w:p w14:paraId="332273B5" w14:textId="1E34013B" w:rsidR="00121EC2" w:rsidRDefault="00B20947" w:rsidP="00121EC2">
      <w:r>
        <w:rPr>
          <w:lang w:val="en-US"/>
        </w:rPr>
        <w:t xml:space="preserve">In the staging of the development of the wellbeing framework, </w:t>
      </w:r>
      <w:proofErr w:type="gramStart"/>
      <w:r w:rsidR="005D680B">
        <w:rPr>
          <w:lang w:val="en-US"/>
        </w:rPr>
        <w:t xml:space="preserve">a </w:t>
      </w:r>
      <w:r w:rsidRPr="00616B16">
        <w:rPr>
          <w:lang w:val="en-US"/>
        </w:rPr>
        <w:t>first priority</w:t>
      </w:r>
      <w:proofErr w:type="gramEnd"/>
      <w:r w:rsidRPr="00616B16">
        <w:rPr>
          <w:lang w:val="en-US"/>
        </w:rPr>
        <w:t xml:space="preserve"> should be given to goals and indicators which play a direct</w:t>
      </w:r>
      <w:r>
        <w:rPr>
          <w:lang w:val="en-US"/>
        </w:rPr>
        <w:t xml:space="preserve"> and important role in the wellbeing of those most disadvantage and which are not currently a focus for Government action, official measurement or reporting. </w:t>
      </w:r>
      <w:r w:rsidR="00121EC2">
        <w:rPr>
          <w:lang w:val="en-US"/>
        </w:rPr>
        <w:t xml:space="preserve">On these </w:t>
      </w:r>
      <w:r w:rsidR="00121EC2">
        <w:rPr>
          <w:lang w:val="en-US"/>
        </w:rPr>
        <w:lastRenderedPageBreak/>
        <w:t xml:space="preserve">criteria, </w:t>
      </w:r>
      <w:r w:rsidR="00121EC2" w:rsidRPr="00121EC2">
        <w:t xml:space="preserve">we </w:t>
      </w:r>
      <w:r w:rsidRPr="00121EC2">
        <w:t xml:space="preserve">believe that there is a strong case for a poverty headline goal and </w:t>
      </w:r>
      <w:r w:rsidR="005D680B">
        <w:t xml:space="preserve">inequality </w:t>
      </w:r>
      <w:r w:rsidRPr="00121EC2">
        <w:t>indicator</w:t>
      </w:r>
      <w:r w:rsidR="00616B16">
        <w:t>s</w:t>
      </w:r>
      <w:r w:rsidRPr="00121EC2">
        <w:t xml:space="preserve"> to be </w:t>
      </w:r>
      <w:r w:rsidR="00121EC2" w:rsidRPr="00121EC2">
        <w:t>prioritized, noting:</w:t>
      </w:r>
    </w:p>
    <w:p w14:paraId="63565275" w14:textId="0D09DC29" w:rsidR="00121EC2" w:rsidRPr="00D64176" w:rsidRDefault="00121EC2" w:rsidP="00D64176">
      <w:pPr>
        <w:pStyle w:val="ListParagraph"/>
        <w:numPr>
          <w:ilvl w:val="0"/>
          <w:numId w:val="16"/>
        </w:numPr>
        <w:rPr>
          <w:lang w:val="en-US"/>
        </w:rPr>
      </w:pPr>
      <w:r w:rsidRPr="00D64176">
        <w:rPr>
          <w:lang w:val="en-US"/>
        </w:rPr>
        <w:t xml:space="preserve">the key role that poverty plays as a social determinant of health and </w:t>
      </w:r>
      <w:proofErr w:type="gramStart"/>
      <w:r w:rsidRPr="00D64176">
        <w:rPr>
          <w:lang w:val="en-US"/>
        </w:rPr>
        <w:t>wellbeing;</w:t>
      </w:r>
      <w:proofErr w:type="gramEnd"/>
    </w:p>
    <w:p w14:paraId="32002C6A" w14:textId="1A2D5160" w:rsidR="00D5650A" w:rsidRDefault="00121EC2" w:rsidP="00D64176">
      <w:pPr>
        <w:pStyle w:val="ListParagraph"/>
        <w:numPr>
          <w:ilvl w:val="0"/>
          <w:numId w:val="16"/>
        </w:numPr>
        <w:rPr>
          <w:lang w:val="en-US"/>
        </w:rPr>
      </w:pPr>
      <w:r w:rsidRPr="00D5650A">
        <w:rPr>
          <w:lang w:val="en-US"/>
        </w:rPr>
        <w:t>the absence of a</w:t>
      </w:r>
      <w:r w:rsidR="00D5650A">
        <w:rPr>
          <w:lang w:val="en-US"/>
        </w:rPr>
        <w:t xml:space="preserve"> national </w:t>
      </w:r>
      <w:r w:rsidRPr="00D5650A">
        <w:rPr>
          <w:lang w:val="en-US"/>
        </w:rPr>
        <w:t xml:space="preserve">official definition of </w:t>
      </w:r>
      <w:proofErr w:type="gramStart"/>
      <w:r w:rsidRPr="00D5650A">
        <w:rPr>
          <w:lang w:val="en-US"/>
        </w:rPr>
        <w:t>poverty;</w:t>
      </w:r>
      <w:proofErr w:type="gramEnd"/>
    </w:p>
    <w:p w14:paraId="57978333" w14:textId="7841D209" w:rsidR="00D5650A" w:rsidRPr="00D5650A" w:rsidRDefault="00D5650A" w:rsidP="00D64176">
      <w:pPr>
        <w:pStyle w:val="List3"/>
        <w:numPr>
          <w:ilvl w:val="0"/>
          <w:numId w:val="16"/>
        </w:numPr>
        <w:rPr>
          <w:lang w:val="en-US"/>
        </w:rPr>
      </w:pPr>
      <w:r>
        <w:rPr>
          <w:lang w:val="en-US"/>
        </w:rPr>
        <w:t xml:space="preserve">the </w:t>
      </w:r>
      <w:r w:rsidR="00D64176">
        <w:rPr>
          <w:lang w:val="en-US"/>
        </w:rPr>
        <w:t>lack</w:t>
      </w:r>
      <w:r>
        <w:rPr>
          <w:lang w:val="en-US"/>
        </w:rPr>
        <w:t xml:space="preserve"> of official </w:t>
      </w:r>
      <w:r w:rsidR="00D64176">
        <w:rPr>
          <w:lang w:val="en-US"/>
        </w:rPr>
        <w:t xml:space="preserve">poverty measurement and </w:t>
      </w:r>
      <w:proofErr w:type="gramStart"/>
      <w:r w:rsidR="00D64176">
        <w:rPr>
          <w:lang w:val="en-US"/>
        </w:rPr>
        <w:t>reporting;</w:t>
      </w:r>
      <w:proofErr w:type="gramEnd"/>
      <w:r w:rsidR="00D64176">
        <w:rPr>
          <w:lang w:val="en-US"/>
        </w:rPr>
        <w:t xml:space="preserve"> </w:t>
      </w:r>
    </w:p>
    <w:p w14:paraId="4E4FC9FD" w14:textId="57E2D3C2" w:rsidR="00121EC2" w:rsidRPr="00D5650A" w:rsidRDefault="00121EC2" w:rsidP="00D64176">
      <w:pPr>
        <w:pStyle w:val="ListParagraph"/>
        <w:numPr>
          <w:ilvl w:val="0"/>
          <w:numId w:val="16"/>
        </w:numPr>
        <w:rPr>
          <w:lang w:val="en-US"/>
        </w:rPr>
      </w:pPr>
      <w:r w:rsidRPr="00D5650A">
        <w:rPr>
          <w:lang w:val="en-US"/>
        </w:rPr>
        <w:t xml:space="preserve">the existing Government commitment to halve poverty </w:t>
      </w:r>
      <w:r w:rsidR="005D680B">
        <w:rPr>
          <w:lang w:val="en-US"/>
        </w:rPr>
        <w:t xml:space="preserve">and </w:t>
      </w:r>
      <w:r w:rsidR="003B18BF">
        <w:rPr>
          <w:lang w:val="en-US"/>
        </w:rPr>
        <w:t>reduce</w:t>
      </w:r>
      <w:r w:rsidR="003B18BF">
        <w:rPr>
          <w:lang w:val="en-US"/>
        </w:rPr>
        <w:t xml:space="preserve"> </w:t>
      </w:r>
      <w:r w:rsidR="005D680B">
        <w:rPr>
          <w:lang w:val="en-US"/>
        </w:rPr>
        <w:t xml:space="preserve">inequality </w:t>
      </w:r>
      <w:r w:rsidRPr="00D5650A">
        <w:rPr>
          <w:lang w:val="en-US"/>
        </w:rPr>
        <w:t xml:space="preserve">by </w:t>
      </w:r>
      <w:proofErr w:type="gramStart"/>
      <w:r w:rsidRPr="00D5650A">
        <w:rPr>
          <w:lang w:val="en-US"/>
        </w:rPr>
        <w:t>2030;</w:t>
      </w:r>
      <w:proofErr w:type="gramEnd"/>
    </w:p>
    <w:p w14:paraId="7E4CFD13" w14:textId="4188A80C" w:rsidR="00214C51" w:rsidRPr="00214C51" w:rsidRDefault="00D5650A" w:rsidP="00214C51">
      <w:pPr>
        <w:pStyle w:val="List3"/>
        <w:numPr>
          <w:ilvl w:val="0"/>
          <w:numId w:val="16"/>
        </w:numPr>
        <w:rPr>
          <w:lang w:val="en-US"/>
        </w:rPr>
      </w:pPr>
      <w:r w:rsidRPr="00214C51">
        <w:rPr>
          <w:lang w:val="en-US"/>
        </w:rPr>
        <w:t xml:space="preserve">the </w:t>
      </w:r>
      <w:r w:rsidR="00D64176" w:rsidRPr="00214C51">
        <w:rPr>
          <w:lang w:val="en-US"/>
        </w:rPr>
        <w:t xml:space="preserve">inclusion by comparative countries of poverty as a wellbeing indicator, including </w:t>
      </w:r>
      <w:r w:rsidR="00214C51" w:rsidRPr="00214C51">
        <w:rPr>
          <w:lang w:val="en-US"/>
        </w:rPr>
        <w:t xml:space="preserve">Scotland, Italy, </w:t>
      </w:r>
      <w:proofErr w:type="gramStart"/>
      <w:r w:rsidR="00214C51" w:rsidRPr="00214C51">
        <w:rPr>
          <w:lang w:val="en-US"/>
        </w:rPr>
        <w:t>Germany</w:t>
      </w:r>
      <w:proofErr w:type="gramEnd"/>
      <w:r w:rsidR="00214C51" w:rsidRPr="00214C51">
        <w:rPr>
          <w:lang w:val="en-US"/>
        </w:rPr>
        <w:t xml:space="preserve"> and New Zealand (while Canada </w:t>
      </w:r>
      <w:r w:rsidR="00214C51">
        <w:t>is still developing its Wellbeing Framework but</w:t>
      </w:r>
      <w:r w:rsidR="00214C51" w:rsidRPr="00FC66A2">
        <w:t xml:space="preserve"> has a Poverty Reduction Strategy and</w:t>
      </w:r>
      <w:r w:rsidR="00214C51">
        <w:t xml:space="preserve"> has</w:t>
      </w:r>
      <w:r w:rsidR="00214C51" w:rsidRPr="00FC66A2">
        <w:t xml:space="preserve"> set targets to reduce poverty by 20% by 2020 and 50% by 2030 (from a 2015 base)</w:t>
      </w:r>
      <w:r w:rsidR="00154028">
        <w:t xml:space="preserve"> and </w:t>
      </w:r>
      <w:r w:rsidR="00214C51" w:rsidRPr="00FC66A2">
        <w:t>publicly reports on progress against poverty through an online official Poverty Dashboard</w:t>
      </w:r>
      <w:r w:rsidR="00154028">
        <w:t>)</w:t>
      </w:r>
      <w:r w:rsidR="00214C51" w:rsidRPr="00FC66A2">
        <w:t>.</w:t>
      </w:r>
      <w:r w:rsidR="00214C51">
        <w:t xml:space="preserve"> </w:t>
      </w:r>
    </w:p>
    <w:p w14:paraId="730A89A3" w14:textId="764F2FF1" w:rsidR="00214C51" w:rsidRDefault="00214C51" w:rsidP="00214C51">
      <w:pPr>
        <w:pStyle w:val="List3"/>
        <w:ind w:left="0" w:firstLine="0"/>
      </w:pPr>
    </w:p>
    <w:p w14:paraId="2C908DCC" w14:textId="7B0ADA23" w:rsidR="008B178E" w:rsidRDefault="00214C51" w:rsidP="00154028">
      <w:r>
        <w:t xml:space="preserve">In 2019, the OECD reviewed its own </w:t>
      </w:r>
      <w:r w:rsidRPr="00B90F5B">
        <w:t xml:space="preserve">wellbeing </w:t>
      </w:r>
      <w:r w:rsidRPr="00B90F5B">
        <w:rPr>
          <w:shd w:val="clear" w:color="auto" w:fill="F8F8F8"/>
        </w:rPr>
        <w:t xml:space="preserve">indicators and recommended the addition of </w:t>
      </w:r>
      <w:r w:rsidR="00154028">
        <w:rPr>
          <w:shd w:val="clear" w:color="auto" w:fill="F8F8F8"/>
        </w:rPr>
        <w:t>additional indicators</w:t>
      </w:r>
      <w:r w:rsidRPr="00B90F5B">
        <w:rPr>
          <w:shd w:val="clear" w:color="auto" w:fill="F8F8F8"/>
        </w:rPr>
        <w:t xml:space="preserve"> to better capture poverty, among other issues</w:t>
      </w:r>
      <w:r w:rsidR="00154028">
        <w:rPr>
          <w:shd w:val="clear" w:color="auto" w:fill="F8F8F8"/>
        </w:rPr>
        <w:t xml:space="preserve">, including </w:t>
      </w:r>
      <w:r w:rsidRPr="00B90F5B">
        <w:t>income poverty, financial insecurity, inability to make ends meet and housing cost overburden.</w:t>
      </w:r>
      <w:r w:rsidRPr="00B90F5B">
        <w:rPr>
          <w:rStyle w:val="FootnoteReference"/>
        </w:rPr>
        <w:footnoteReference w:id="6"/>
      </w:r>
      <w:r w:rsidRPr="00B90F5B">
        <w:t xml:space="preserve"> </w:t>
      </w:r>
      <w:r w:rsidR="00154028">
        <w:t>Usefully</w:t>
      </w:r>
      <w:r w:rsidRPr="00B90F5B">
        <w:t>, the OECD has definitions for the poverty rate and relative income poverty, and tracks poverty through its dedicated statistical Income Distribution Database.</w:t>
      </w:r>
      <w:r w:rsidRPr="00B90F5B">
        <w:rPr>
          <w:rStyle w:val="FootnoteReference"/>
        </w:rPr>
        <w:footnoteReference w:id="7"/>
      </w:r>
      <w:r>
        <w:t xml:space="preserve"> </w:t>
      </w:r>
    </w:p>
    <w:p w14:paraId="6A5F6EBE" w14:textId="33E293C4" w:rsidR="001761D3" w:rsidRDefault="002F340B" w:rsidP="00154028">
      <w:r>
        <w:t>Through the Poverty and Inequality Partnership, ACOSS, UNSW and partners</w:t>
      </w:r>
      <w:r w:rsidR="001761D3">
        <w:t xml:space="preserve"> </w:t>
      </w:r>
      <w:r>
        <w:t>have</w:t>
      </w:r>
      <w:r w:rsidR="001761D3">
        <w:t xml:space="preserve"> developed a significant body of research measuring the level and depth of poverty </w:t>
      </w:r>
      <w:r w:rsidR="005D680B">
        <w:t xml:space="preserve">and inequality </w:t>
      </w:r>
      <w:r w:rsidR="001761D3">
        <w:t>in Australia, using a relative poverty line, after-housing costs</w:t>
      </w:r>
      <w:r w:rsidR="001629F4">
        <w:t xml:space="preserve"> and income and wealth inequality </w:t>
      </w:r>
      <w:r w:rsidR="00CB6D13">
        <w:t>indicators</w:t>
      </w:r>
      <w:r w:rsidR="001761D3">
        <w:t xml:space="preserve">. We refer Treasury to this body of work, including the international comparisons contained within </w:t>
      </w:r>
      <w:r>
        <w:t xml:space="preserve">our </w:t>
      </w:r>
      <w:r>
        <w:rPr>
          <w:i/>
          <w:iCs/>
        </w:rPr>
        <w:t xml:space="preserve">Poverty in Australia </w:t>
      </w:r>
      <w:r w:rsidR="005D680B">
        <w:rPr>
          <w:i/>
          <w:iCs/>
        </w:rPr>
        <w:t xml:space="preserve">and Inequality in Australia </w:t>
      </w:r>
      <w:r>
        <w:t>report series.</w:t>
      </w:r>
      <w:r>
        <w:rPr>
          <w:rStyle w:val="FootnoteReference"/>
        </w:rPr>
        <w:footnoteReference w:id="8"/>
      </w:r>
      <w:r>
        <w:t xml:space="preserve"> </w:t>
      </w:r>
    </w:p>
    <w:p w14:paraId="67933A2B" w14:textId="1B33B4AA" w:rsidR="00616B16" w:rsidRDefault="005D680B" w:rsidP="00154028">
      <w:r>
        <w:t>The</w:t>
      </w:r>
      <w:r w:rsidR="00616B16">
        <w:t xml:space="preserve"> distributional impacts of government policy and programs would be powerfully illustrated by adopting poverty and inequality indicators, with a focus on the intersectionality of income, wealth, gender, </w:t>
      </w:r>
      <w:proofErr w:type="gramStart"/>
      <w:r w:rsidR="00616B16">
        <w:t>age</w:t>
      </w:r>
      <w:proofErr w:type="gramEnd"/>
      <w:r w:rsidR="00616B16">
        <w:t xml:space="preserve"> and other key attributes associated with poverty and inequality.  </w:t>
      </w:r>
    </w:p>
    <w:p w14:paraId="2917D241" w14:textId="603BB888" w:rsidR="00616B16" w:rsidRPr="002F340B" w:rsidRDefault="00616B16" w:rsidP="003B18BF">
      <w:pPr>
        <w:pStyle w:val="ListParagraph"/>
        <w:numPr>
          <w:ilvl w:val="0"/>
          <w:numId w:val="0"/>
        </w:numPr>
        <w:ind w:left="530"/>
      </w:pPr>
    </w:p>
    <w:p w14:paraId="12CC74F9" w14:textId="39A9E815" w:rsidR="00A92E5F" w:rsidRPr="00B07C04" w:rsidRDefault="00A92E5F" w:rsidP="00261645">
      <w:pPr>
        <w:pStyle w:val="Heading4"/>
      </w:pPr>
      <w:r w:rsidRPr="00B07C04">
        <w:t xml:space="preserve">Contact </w:t>
      </w:r>
    </w:p>
    <w:p w14:paraId="48B02C6E" w14:textId="3DB55785" w:rsidR="00A92E5F" w:rsidRDefault="00912C09" w:rsidP="00F22ED9">
      <w:pPr>
        <w:pStyle w:val="Footer"/>
        <w:spacing w:before="0" w:after="0"/>
      </w:pPr>
      <w:r>
        <w:t>Jacqu</w:t>
      </w:r>
      <w:r w:rsidR="00082082">
        <w:t>eline</w:t>
      </w:r>
      <w:r>
        <w:t xml:space="preserve"> </w:t>
      </w:r>
      <w:r w:rsidR="003331CA">
        <w:t>Phillips</w:t>
      </w:r>
    </w:p>
    <w:p w14:paraId="57FD3868" w14:textId="3540578E" w:rsidR="003331CA" w:rsidRDefault="003331CA" w:rsidP="003331CA">
      <w:pPr>
        <w:rPr>
          <w:lang w:val="en-US"/>
        </w:rPr>
      </w:pPr>
      <w:r>
        <w:rPr>
          <w:lang w:val="en-US"/>
        </w:rPr>
        <w:t xml:space="preserve">Deputy CEO/ Director of Policy </w:t>
      </w:r>
      <w:r w:rsidR="00082082">
        <w:rPr>
          <w:lang w:val="en-US"/>
        </w:rPr>
        <w:t>(job-share)</w:t>
      </w:r>
    </w:p>
    <w:p w14:paraId="44712BF7" w14:textId="79DE2160" w:rsidR="00A92E5F" w:rsidRPr="00B07C04" w:rsidRDefault="003B18BF" w:rsidP="003331CA">
      <w:hyperlink r:id="rId10" w:history="1">
        <w:r w:rsidR="003331CA" w:rsidRPr="003331CA">
          <w:rPr>
            <w:rStyle w:val="Hyperlink"/>
          </w:rPr>
          <w:t>jacqui@acoss.org.au</w:t>
        </w:r>
      </w:hyperlink>
      <w:r w:rsidR="003331CA">
        <w:t xml:space="preserve"> </w:t>
      </w:r>
      <w:r w:rsidR="00A92E5F" w:rsidRPr="00B07C04">
        <w:rPr>
          <w:color w:val="F8E27E"/>
        </w:rPr>
        <w:t>|</w:t>
      </w:r>
      <w:r w:rsidR="00A92E5F" w:rsidRPr="00B07C04">
        <w:t xml:space="preserve"> </w:t>
      </w:r>
      <w:r w:rsidR="003331CA">
        <w:rPr>
          <w:rFonts w:ascii="Palatino Linotype" w:hAnsi="Palatino Linotype"/>
          <w:color w:val="000000"/>
          <w:lang w:val="en-US"/>
        </w:rPr>
        <w:t>02 9310 6200</w:t>
      </w:r>
    </w:p>
    <w:p w14:paraId="44B0876F" w14:textId="77777777" w:rsidR="00A92E5F" w:rsidRPr="00B07C04" w:rsidRDefault="00A92E5F" w:rsidP="00261645">
      <w:pPr>
        <w:pStyle w:val="List3"/>
      </w:pPr>
    </w:p>
    <w:sectPr w:rsidR="00A92E5F" w:rsidRPr="00B07C04" w:rsidSect="00062B49">
      <w:headerReference w:type="default" r:id="rId11"/>
      <w:footerReference w:type="default" r:id="rId12"/>
      <w:headerReference w:type="first" r:id="rId13"/>
      <w:footerReference w:type="first" r:id="rId14"/>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7C3D" w14:textId="77777777" w:rsidR="00D164BD" w:rsidRDefault="00D164BD" w:rsidP="00261645">
      <w:r>
        <w:separator/>
      </w:r>
    </w:p>
  </w:endnote>
  <w:endnote w:type="continuationSeparator" w:id="0">
    <w:p w14:paraId="59F7A555" w14:textId="77777777" w:rsidR="00D164BD" w:rsidRDefault="00D164BD"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HWTS E+ Reckless Neue">
    <w:altName w:val="Cambria"/>
    <w:panose1 w:val="00000000000000000000"/>
    <w:charset w:val="00"/>
    <w:family w:val="roman"/>
    <w:notTrueType/>
    <w:pitch w:val="default"/>
    <w:sig w:usb0="00000003" w:usb1="00000000" w:usb2="00000000" w:usb3="00000000" w:csb0="00000001" w:csb1="00000000"/>
  </w:font>
  <w:font w:name="JPEISU+Poppins-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7E03DAEE" w14:textId="77777777" w:rsidR="001A479C" w:rsidRPr="009064BC" w:rsidRDefault="001A479C" w:rsidP="00A04ECE">
        <w:pPr>
          <w:pStyle w:val="Footer"/>
          <w:spacing w:before="360" w:after="0"/>
          <w:ind w:right="-454"/>
          <w:jc w:val="cen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E64743" w:rsidRPr="00E64743">
          <w:rPr>
            <w:rFonts w:eastAsiaTheme="majorEastAsia" w:cstheme="majorBidi"/>
            <w:noProof/>
          </w:rPr>
          <w:t>3</w:t>
        </w:r>
        <w:r w:rsidRPr="00C10CA9">
          <w:rPr>
            <w:rFonts w:eastAsiaTheme="majorEastAsia" w:cstheme="majorBidi"/>
          </w:rPr>
          <w:fldChar w:fldCharType="end"/>
        </w:r>
      </w:p>
    </w:sdtContent>
  </w:sdt>
  <w:p w14:paraId="74F2C6EE" w14:textId="77777777" w:rsidR="00B16A1F" w:rsidRPr="00B16A1F" w:rsidRDefault="00C10CA9" w:rsidP="00C10CA9">
    <w:pPr>
      <w:pStyle w:val="Footer"/>
      <w:tabs>
        <w:tab w:val="clear" w:pos="4680"/>
        <w:tab w:val="clear" w:pos="9360"/>
        <w:tab w:val="left" w:pos="327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9C93" w14:textId="77777777" w:rsidR="00BC67E3" w:rsidRPr="004032F1" w:rsidRDefault="00BC67E3" w:rsidP="00A04ECE">
    <w:pPr>
      <w:pStyle w:val="Footer"/>
      <w:jc w:val="center"/>
      <w:rPr>
        <w:sz w:val="18"/>
        <w:szCs w:val="18"/>
      </w:rPr>
    </w:pPr>
    <w:r w:rsidRPr="004032F1">
      <w:rPr>
        <w:sz w:val="18"/>
        <w:szCs w:val="18"/>
      </w:rPr>
      <w:t>© ACOSS 2020, Locked Bag 4777 Strawberry Hills NSW 2012</w:t>
    </w:r>
    <w:r w:rsidRPr="004032F1">
      <w:rPr>
        <w:sz w:val="18"/>
        <w:szCs w:val="18"/>
      </w:rPr>
      <w:br/>
      <w:t xml:space="preserve">Ph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14:paraId="27E07318" w14:textId="77777777" w:rsidR="00CD2D26" w:rsidRPr="001A479C" w:rsidRDefault="00CD2D26" w:rsidP="00A04ECE">
    <w:pPr>
      <w:pStyle w:val="Footer"/>
      <w:spacing w:before="0" w:after="0"/>
      <w:ind w:left="0" w:right="-45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27DA" w14:textId="77777777" w:rsidR="00D164BD" w:rsidRDefault="00D164BD" w:rsidP="00261645">
      <w:r>
        <w:separator/>
      </w:r>
    </w:p>
  </w:footnote>
  <w:footnote w:type="continuationSeparator" w:id="0">
    <w:p w14:paraId="4F62659A" w14:textId="77777777" w:rsidR="00D164BD" w:rsidRDefault="00D164BD" w:rsidP="00261645">
      <w:r>
        <w:continuationSeparator/>
      </w:r>
    </w:p>
  </w:footnote>
  <w:footnote w:id="1">
    <w:p w14:paraId="79EAA937" w14:textId="75E4F1A7" w:rsidR="00522005" w:rsidRDefault="00522005">
      <w:pPr>
        <w:pStyle w:val="FootnoteText"/>
      </w:pPr>
      <w:r>
        <w:rPr>
          <w:rStyle w:val="FootnoteReference"/>
        </w:rPr>
        <w:footnoteRef/>
      </w:r>
      <w:r>
        <w:t xml:space="preserve"> </w:t>
      </w:r>
      <w:hyperlink r:id="rId1" w:history="1">
        <w:r w:rsidRPr="008D3F6C">
          <w:rPr>
            <w:rStyle w:val="Hyperlink"/>
          </w:rPr>
          <w:t>https://vcoss.org.au/health-and-wellbeing/2022/09/voices-of-victoria/</w:t>
        </w:r>
      </w:hyperlink>
      <w:r>
        <w:t xml:space="preserve"> </w:t>
      </w:r>
    </w:p>
  </w:footnote>
  <w:footnote w:id="2">
    <w:p w14:paraId="5A4D35F6" w14:textId="77777777" w:rsidR="00DE4114" w:rsidRDefault="00DE4114" w:rsidP="00DE4114">
      <w:r>
        <w:rPr>
          <w:rStyle w:val="FootnoteReference"/>
        </w:rPr>
        <w:footnoteRef/>
      </w:r>
      <w:r>
        <w:t xml:space="preserve"> </w:t>
      </w:r>
      <w:r w:rsidRPr="00BD3B6F">
        <w:rPr>
          <w:sz w:val="16"/>
          <w:szCs w:val="16"/>
          <w:lang w:eastAsia="en-AU"/>
        </w:rPr>
        <w:t>Report on Government Services 2022. Part A, Section 1: Released On 25 January 2022. https://www.pc.gov.au/ongoing/report-on-government-services/2022/approach/performance-measurement</w:t>
      </w:r>
    </w:p>
  </w:footnote>
  <w:footnote w:id="3">
    <w:p w14:paraId="38E05639" w14:textId="0E1CD719" w:rsidR="00DE4114" w:rsidRDefault="00DE4114">
      <w:pPr>
        <w:pStyle w:val="FootnoteText"/>
      </w:pPr>
      <w:r>
        <w:rPr>
          <w:rStyle w:val="FootnoteReference"/>
        </w:rPr>
        <w:footnoteRef/>
      </w:r>
      <w:r>
        <w:t xml:space="preserve"> </w:t>
      </w:r>
      <w:hyperlink r:id="rId2" w:history="1">
        <w:r w:rsidR="00122497" w:rsidRPr="00D36406">
          <w:rPr>
            <w:rStyle w:val="Hyperlink"/>
          </w:rPr>
          <w:t>https://www.closingthegap.gov.au/national-agreement/targets</w:t>
        </w:r>
      </w:hyperlink>
      <w:r w:rsidR="00122497">
        <w:t xml:space="preserve"> </w:t>
      </w:r>
    </w:p>
  </w:footnote>
  <w:footnote w:id="4">
    <w:p w14:paraId="1670BABA" w14:textId="00099628" w:rsidR="00165E48" w:rsidRDefault="00165E48">
      <w:pPr>
        <w:pStyle w:val="FootnoteText"/>
      </w:pPr>
      <w:r>
        <w:rPr>
          <w:rStyle w:val="FootnoteReference"/>
        </w:rPr>
        <w:footnoteRef/>
      </w:r>
      <w:r>
        <w:t xml:space="preserve"> This includes the OECDs wellbeing dashboard. See OECD 2019, </w:t>
      </w:r>
      <w:hyperlink r:id="rId3" w:history="1">
        <w:r w:rsidRPr="00165E48">
          <w:rPr>
            <w:rStyle w:val="Hyperlink"/>
            <w:i/>
            <w:iCs/>
          </w:rPr>
          <w:t>The future of the OECD Well-being Dashboard: Discussion paper.</w:t>
        </w:r>
      </w:hyperlink>
    </w:p>
  </w:footnote>
  <w:footnote w:id="5">
    <w:p w14:paraId="3815A7ED" w14:textId="77777777" w:rsidR="00150C6F" w:rsidRDefault="00150C6F" w:rsidP="00150C6F">
      <w:pPr>
        <w:pStyle w:val="FootnoteText"/>
      </w:pPr>
      <w:r>
        <w:rPr>
          <w:rStyle w:val="FootnoteReference"/>
        </w:rPr>
        <w:footnoteRef/>
      </w:r>
      <w:r>
        <w:t xml:space="preserve"> Sustainability is a dimension of the Irish and Canadian wellbeing frameworks.</w:t>
      </w:r>
    </w:p>
  </w:footnote>
  <w:footnote w:id="6">
    <w:p w14:paraId="07072CA8" w14:textId="77777777" w:rsidR="00214C51" w:rsidRDefault="00214C51" w:rsidP="00214C51">
      <w:pPr>
        <w:pStyle w:val="FootnoteText"/>
      </w:pPr>
      <w:r>
        <w:rPr>
          <w:rStyle w:val="FootnoteReference"/>
        </w:rPr>
        <w:footnoteRef/>
      </w:r>
      <w:r>
        <w:t xml:space="preserve"> Exton, C, Fleischer L, 2019, The future of the OECD Well-being Dashboard: discussion paper. </w:t>
      </w:r>
      <w:r w:rsidRPr="00363B4A">
        <w:t>https://www.oecd.org/statistics/The-Future-of-the-OECD-Well-being-Dashboard.pdf</w:t>
      </w:r>
    </w:p>
  </w:footnote>
  <w:footnote w:id="7">
    <w:p w14:paraId="3948CC2C" w14:textId="77777777" w:rsidR="00214C51" w:rsidRDefault="00214C51" w:rsidP="00214C51">
      <w:pPr>
        <w:pStyle w:val="FootnoteText"/>
      </w:pPr>
      <w:r>
        <w:rPr>
          <w:rStyle w:val="FootnoteReference"/>
        </w:rPr>
        <w:footnoteRef/>
      </w:r>
      <w:r>
        <w:t xml:space="preserve"> “Poverty rate” defined as the</w:t>
      </w:r>
      <w:r w:rsidRPr="00E05418">
        <w:t xml:space="preserve"> ratio of the number of people in a given age group whose income falls below the poverty line; taken as half the median household income of the total population</w:t>
      </w:r>
      <w:r>
        <w:t xml:space="preserve">; “relative income poverty” </w:t>
      </w:r>
      <w:r w:rsidRPr="005E65AA">
        <w:t>defined as a disposable income below half the national median</w:t>
      </w:r>
      <w:r>
        <w:t xml:space="preserve">. See OECD Data, Poverty rate. </w:t>
      </w:r>
      <w:r w:rsidRPr="00E05418">
        <w:t>https://data.oecd.org/inequality/poverty-rate.htm</w:t>
      </w:r>
    </w:p>
  </w:footnote>
  <w:footnote w:id="8">
    <w:p w14:paraId="608C233B" w14:textId="653659FD" w:rsidR="002F340B" w:rsidRPr="002F340B" w:rsidRDefault="002F340B">
      <w:pPr>
        <w:pStyle w:val="FootnoteText"/>
        <w:rPr>
          <w:lang w:val="en-US"/>
        </w:rPr>
      </w:pPr>
      <w:r>
        <w:rPr>
          <w:rStyle w:val="FootnoteReference"/>
        </w:rPr>
        <w:footnoteRef/>
      </w:r>
      <w:r>
        <w:t xml:space="preserve"> </w:t>
      </w:r>
      <w:r>
        <w:rPr>
          <w:lang w:val="en-US"/>
        </w:rPr>
        <w:t xml:space="preserve">See </w:t>
      </w:r>
      <w:hyperlink r:id="rId4" w:history="1">
        <w:r w:rsidRPr="000C6511">
          <w:rPr>
            <w:rStyle w:val="Hyperlink"/>
            <w:lang w:val="en-US"/>
          </w:rPr>
          <w:t>https://povertyandinequality.acoss.org.au/</w:t>
        </w:r>
      </w:hyperlink>
      <w:r>
        <w:rPr>
          <w:lang w:val="en-US"/>
        </w:rPr>
        <w:t xml:space="preserve"> for key reports and all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1FBD" w14:textId="77777777" w:rsidR="0030414A" w:rsidRDefault="00EE2EBE" w:rsidP="001804FE">
    <w:pPr>
      <w:pStyle w:val="Header"/>
      <w:tabs>
        <w:tab w:val="clear" w:pos="4680"/>
        <w:tab w:val="clear" w:pos="9360"/>
        <w:tab w:val="right" w:pos="9027"/>
      </w:tabs>
    </w:pPr>
    <w:r>
      <w:rPr>
        <w:noProof/>
        <w:lang w:eastAsia="en-AU"/>
      </w:rPr>
      <w:drawing>
        <wp:anchor distT="0" distB="0" distL="114300" distR="114300" simplePos="0" relativeHeight="251661312" behindDoc="1" locked="0" layoutInCell="1" allowOverlap="1" wp14:anchorId="5EF9170B" wp14:editId="14F5F48A">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4F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3C00" w14:textId="77777777" w:rsidR="00A04ECE" w:rsidRPr="00A04ECE" w:rsidRDefault="00A04ECE" w:rsidP="00A04ECE">
    <w:pPr>
      <w:pStyle w:val="Header"/>
      <w:jc w:val="right"/>
    </w:pPr>
    <w:r>
      <w:rPr>
        <w:noProof/>
        <w:lang w:eastAsia="en-AU"/>
      </w:rPr>
      <w:drawing>
        <wp:anchor distT="0" distB="0" distL="114300" distR="114300" simplePos="0" relativeHeight="251662336" behindDoc="0" locked="0" layoutInCell="1" allowOverlap="1" wp14:anchorId="3AB3090E" wp14:editId="016F3D66">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9778C"/>
    <w:multiLevelType w:val="hybridMultilevel"/>
    <w:tmpl w:val="D18CA97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0739391E"/>
    <w:multiLevelType w:val="hybridMultilevel"/>
    <w:tmpl w:val="58006AAA"/>
    <w:lvl w:ilvl="0" w:tplc="696E0C8A">
      <w:start w:val="1"/>
      <w:numFmt w:val="decimal"/>
      <w:lvlText w:val="%1."/>
      <w:lvlJc w:val="left"/>
      <w:pPr>
        <w:ind w:left="530" w:hanging="360"/>
      </w:pPr>
      <w:rPr>
        <w:rFonts w:hint="default"/>
        <w:b/>
        <w:color w:val="auto"/>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15:restartNumberingAfterBreak="0">
    <w:nsid w:val="2538194A"/>
    <w:multiLevelType w:val="hybridMultilevel"/>
    <w:tmpl w:val="19ECE21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 w15:restartNumberingAfterBreak="0">
    <w:nsid w:val="495463E9"/>
    <w:multiLevelType w:val="hybridMultilevel"/>
    <w:tmpl w:val="71CCFF7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4A1F5C4B"/>
    <w:multiLevelType w:val="hybridMultilevel"/>
    <w:tmpl w:val="AA14705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BBD4938"/>
    <w:multiLevelType w:val="hybridMultilevel"/>
    <w:tmpl w:val="F188A3E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D54464A"/>
    <w:multiLevelType w:val="hybridMultilevel"/>
    <w:tmpl w:val="8C2AD104"/>
    <w:lvl w:ilvl="0" w:tplc="04090001">
      <w:start w:val="1"/>
      <w:numFmt w:val="bullet"/>
      <w:lvlText w:val=""/>
      <w:lvlJc w:val="left"/>
      <w:pPr>
        <w:ind w:left="530" w:hanging="360"/>
      </w:pPr>
      <w:rPr>
        <w:rFonts w:ascii="Symbol" w:hAnsi="Symbol" w:hint="default"/>
        <w:b/>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9" w15:restartNumberingAfterBreak="0">
    <w:nsid w:val="51AB5508"/>
    <w:multiLevelType w:val="hybridMultilevel"/>
    <w:tmpl w:val="C31A52EC"/>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0" w15:restartNumberingAfterBreak="0">
    <w:nsid w:val="52B6482A"/>
    <w:multiLevelType w:val="hybridMultilevel"/>
    <w:tmpl w:val="505663B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5D2D49D0"/>
    <w:multiLevelType w:val="hybridMultilevel"/>
    <w:tmpl w:val="3D6A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26063"/>
    <w:multiLevelType w:val="hybridMultilevel"/>
    <w:tmpl w:val="9614F060"/>
    <w:lvl w:ilvl="0" w:tplc="8F82003E">
      <w:start w:val="1"/>
      <w:numFmt w:val="decimal"/>
      <w:pStyle w:val="List2"/>
      <w:lvlText w:val="%1."/>
      <w:lvlJc w:val="left"/>
      <w:pPr>
        <w:ind w:left="1003" w:hanging="360"/>
      </w:pPr>
      <w:rPr>
        <w:rFonts w:ascii="Palatino Linotype" w:hAnsi="Palatino Linotype" w:hint="default"/>
        <w:b w:val="0"/>
        <w:i w:val="0"/>
        <w:caps w:val="0"/>
        <w:strike w:val="0"/>
        <w:dstrike w:val="0"/>
        <w:vanish w:val="0"/>
        <w:color w:val="143156"/>
        <w:spacing w:val="22"/>
        <w:kern w:val="16"/>
        <w:position w:val="0"/>
        <w:sz w:val="24"/>
        <w:vertAlign w:val="baseline"/>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3" w15:restartNumberingAfterBreak="0">
    <w:nsid w:val="66175E2D"/>
    <w:multiLevelType w:val="hybridMultilevel"/>
    <w:tmpl w:val="15140F2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4" w15:restartNumberingAfterBreak="0">
    <w:nsid w:val="6B206E7F"/>
    <w:multiLevelType w:val="hybridMultilevel"/>
    <w:tmpl w:val="A958241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5" w15:restartNumberingAfterBreak="0">
    <w:nsid w:val="7D5A2FD0"/>
    <w:multiLevelType w:val="hybridMultilevel"/>
    <w:tmpl w:val="E3AE2A32"/>
    <w:lvl w:ilvl="0" w:tplc="9326A3A2">
      <w:start w:val="1"/>
      <w:numFmt w:val="decimal"/>
      <w:pStyle w:val="ListParagraph"/>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6" w15:restartNumberingAfterBreak="0">
    <w:nsid w:val="7D5B6A80"/>
    <w:multiLevelType w:val="hybridMultilevel"/>
    <w:tmpl w:val="FB267622"/>
    <w:lvl w:ilvl="0" w:tplc="0C090001">
      <w:start w:val="1"/>
      <w:numFmt w:val="bullet"/>
      <w:lvlText w:val=""/>
      <w:lvlJc w:val="left"/>
      <w:pPr>
        <w:ind w:left="972" w:hanging="360"/>
      </w:pPr>
      <w:rPr>
        <w:rFonts w:ascii="Symbol" w:hAnsi="Symbol"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17" w15:restartNumberingAfterBreak="0">
    <w:nsid w:val="7F5D5B0D"/>
    <w:multiLevelType w:val="hybridMultilevel"/>
    <w:tmpl w:val="D520BAB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 w:numId="3">
    <w:abstractNumId w:val="12"/>
  </w:num>
  <w:num w:numId="4">
    <w:abstractNumId w:val="15"/>
  </w:num>
  <w:num w:numId="5">
    <w:abstractNumId w:val="10"/>
  </w:num>
  <w:num w:numId="6">
    <w:abstractNumId w:val="2"/>
  </w:num>
  <w:num w:numId="7">
    <w:abstractNumId w:val="5"/>
  </w:num>
  <w:num w:numId="8">
    <w:abstractNumId w:val="3"/>
  </w:num>
  <w:num w:numId="9">
    <w:abstractNumId w:val="16"/>
  </w:num>
  <w:num w:numId="10">
    <w:abstractNumId w:val="13"/>
  </w:num>
  <w:num w:numId="11">
    <w:abstractNumId w:val="4"/>
  </w:num>
  <w:num w:numId="12">
    <w:abstractNumId w:val="11"/>
  </w:num>
  <w:num w:numId="13">
    <w:abstractNumId w:val="7"/>
  </w:num>
  <w:num w:numId="14">
    <w:abstractNumId w:val="17"/>
  </w:num>
  <w:num w:numId="15">
    <w:abstractNumId w:val="14"/>
  </w:num>
  <w:num w:numId="16">
    <w:abstractNumId w:val="9"/>
  </w:num>
  <w:num w:numId="17">
    <w:abstractNumId w:val="8"/>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BD"/>
    <w:rsid w:val="00014990"/>
    <w:rsid w:val="00043D48"/>
    <w:rsid w:val="00045515"/>
    <w:rsid w:val="00050924"/>
    <w:rsid w:val="00062B49"/>
    <w:rsid w:val="0007077A"/>
    <w:rsid w:val="00082082"/>
    <w:rsid w:val="0008250F"/>
    <w:rsid w:val="00085F3F"/>
    <w:rsid w:val="000B6CF1"/>
    <w:rsid w:val="000C705E"/>
    <w:rsid w:val="000E434A"/>
    <w:rsid w:val="000F5816"/>
    <w:rsid w:val="00110AB3"/>
    <w:rsid w:val="00117E38"/>
    <w:rsid w:val="00121EC2"/>
    <w:rsid w:val="00122497"/>
    <w:rsid w:val="001240A1"/>
    <w:rsid w:val="001368D9"/>
    <w:rsid w:val="0014482B"/>
    <w:rsid w:val="00150BC0"/>
    <w:rsid w:val="00150C6F"/>
    <w:rsid w:val="00150C96"/>
    <w:rsid w:val="00154028"/>
    <w:rsid w:val="0016003F"/>
    <w:rsid w:val="001629F4"/>
    <w:rsid w:val="00165E48"/>
    <w:rsid w:val="001732D9"/>
    <w:rsid w:val="001761D3"/>
    <w:rsid w:val="001804FE"/>
    <w:rsid w:val="00185C9E"/>
    <w:rsid w:val="001A479C"/>
    <w:rsid w:val="001B3240"/>
    <w:rsid w:val="001C08B2"/>
    <w:rsid w:val="001E599C"/>
    <w:rsid w:val="001E7BF0"/>
    <w:rsid w:val="00214C51"/>
    <w:rsid w:val="00217492"/>
    <w:rsid w:val="00221DC0"/>
    <w:rsid w:val="002256DE"/>
    <w:rsid w:val="00232CDA"/>
    <w:rsid w:val="00233AB0"/>
    <w:rsid w:val="00235DBF"/>
    <w:rsid w:val="002465B8"/>
    <w:rsid w:val="00246866"/>
    <w:rsid w:val="002500F1"/>
    <w:rsid w:val="00261645"/>
    <w:rsid w:val="00264FDB"/>
    <w:rsid w:val="0027582B"/>
    <w:rsid w:val="00277516"/>
    <w:rsid w:val="00280DA9"/>
    <w:rsid w:val="0028790A"/>
    <w:rsid w:val="002B1B7C"/>
    <w:rsid w:val="002B1FCD"/>
    <w:rsid w:val="002B61D2"/>
    <w:rsid w:val="002B7A2E"/>
    <w:rsid w:val="002C5C18"/>
    <w:rsid w:val="002C7E17"/>
    <w:rsid w:val="002E57F8"/>
    <w:rsid w:val="002F340B"/>
    <w:rsid w:val="0030414A"/>
    <w:rsid w:val="003331CA"/>
    <w:rsid w:val="00336A0E"/>
    <w:rsid w:val="00363B4A"/>
    <w:rsid w:val="00365DA5"/>
    <w:rsid w:val="00373416"/>
    <w:rsid w:val="00385963"/>
    <w:rsid w:val="003A61F1"/>
    <w:rsid w:val="003B18BF"/>
    <w:rsid w:val="003C0E1D"/>
    <w:rsid w:val="003C20BF"/>
    <w:rsid w:val="003E3246"/>
    <w:rsid w:val="00402BF8"/>
    <w:rsid w:val="004032F1"/>
    <w:rsid w:val="004059B7"/>
    <w:rsid w:val="00406077"/>
    <w:rsid w:val="004238CE"/>
    <w:rsid w:val="00444C39"/>
    <w:rsid w:val="004770C1"/>
    <w:rsid w:val="0048353B"/>
    <w:rsid w:val="0048511A"/>
    <w:rsid w:val="0048717E"/>
    <w:rsid w:val="00496BC2"/>
    <w:rsid w:val="004C2521"/>
    <w:rsid w:val="004D09F6"/>
    <w:rsid w:val="004F7F29"/>
    <w:rsid w:val="0050124F"/>
    <w:rsid w:val="00503630"/>
    <w:rsid w:val="00513FD3"/>
    <w:rsid w:val="005141AE"/>
    <w:rsid w:val="005211A4"/>
    <w:rsid w:val="00522005"/>
    <w:rsid w:val="00523AA4"/>
    <w:rsid w:val="005257DC"/>
    <w:rsid w:val="00537255"/>
    <w:rsid w:val="00537B3E"/>
    <w:rsid w:val="005552F5"/>
    <w:rsid w:val="0055754C"/>
    <w:rsid w:val="00565F46"/>
    <w:rsid w:val="0057603E"/>
    <w:rsid w:val="00584CEF"/>
    <w:rsid w:val="005A5567"/>
    <w:rsid w:val="005C19C7"/>
    <w:rsid w:val="005C3062"/>
    <w:rsid w:val="005D680B"/>
    <w:rsid w:val="005E65AA"/>
    <w:rsid w:val="005F0A29"/>
    <w:rsid w:val="005F5817"/>
    <w:rsid w:val="00616B16"/>
    <w:rsid w:val="00620742"/>
    <w:rsid w:val="00620C79"/>
    <w:rsid w:val="0062430B"/>
    <w:rsid w:val="00633AAA"/>
    <w:rsid w:val="00634DCF"/>
    <w:rsid w:val="00635C65"/>
    <w:rsid w:val="006376A5"/>
    <w:rsid w:val="00640AF3"/>
    <w:rsid w:val="00641F22"/>
    <w:rsid w:val="00693175"/>
    <w:rsid w:val="00694329"/>
    <w:rsid w:val="00696783"/>
    <w:rsid w:val="006A4C0D"/>
    <w:rsid w:val="006C0627"/>
    <w:rsid w:val="006D0EE0"/>
    <w:rsid w:val="006D55FE"/>
    <w:rsid w:val="006E522C"/>
    <w:rsid w:val="00706761"/>
    <w:rsid w:val="00715004"/>
    <w:rsid w:val="007157D8"/>
    <w:rsid w:val="00717E4F"/>
    <w:rsid w:val="0072102B"/>
    <w:rsid w:val="00732EEC"/>
    <w:rsid w:val="00733ECE"/>
    <w:rsid w:val="00760814"/>
    <w:rsid w:val="007610E2"/>
    <w:rsid w:val="007648F3"/>
    <w:rsid w:val="00766760"/>
    <w:rsid w:val="00772C62"/>
    <w:rsid w:val="007744D2"/>
    <w:rsid w:val="00775CF3"/>
    <w:rsid w:val="00784EF2"/>
    <w:rsid w:val="007B0D82"/>
    <w:rsid w:val="007C61BA"/>
    <w:rsid w:val="007E0C74"/>
    <w:rsid w:val="00817E80"/>
    <w:rsid w:val="0083568D"/>
    <w:rsid w:val="0085068E"/>
    <w:rsid w:val="008546EB"/>
    <w:rsid w:val="008674D6"/>
    <w:rsid w:val="00872E7B"/>
    <w:rsid w:val="00882405"/>
    <w:rsid w:val="008A43DD"/>
    <w:rsid w:val="008B178E"/>
    <w:rsid w:val="008C2929"/>
    <w:rsid w:val="008C4F4D"/>
    <w:rsid w:val="008D102D"/>
    <w:rsid w:val="009009EA"/>
    <w:rsid w:val="00900F5F"/>
    <w:rsid w:val="009064BC"/>
    <w:rsid w:val="00907B76"/>
    <w:rsid w:val="00910E71"/>
    <w:rsid w:val="00912C09"/>
    <w:rsid w:val="00913222"/>
    <w:rsid w:val="0092772E"/>
    <w:rsid w:val="009321C8"/>
    <w:rsid w:val="00937A7C"/>
    <w:rsid w:val="00944264"/>
    <w:rsid w:val="00952E81"/>
    <w:rsid w:val="0099144D"/>
    <w:rsid w:val="009A11D4"/>
    <w:rsid w:val="009B0AA7"/>
    <w:rsid w:val="009B4D1F"/>
    <w:rsid w:val="009B5CD9"/>
    <w:rsid w:val="009D4A67"/>
    <w:rsid w:val="009D633F"/>
    <w:rsid w:val="009E18D1"/>
    <w:rsid w:val="00A04125"/>
    <w:rsid w:val="00A04ECE"/>
    <w:rsid w:val="00A17B9C"/>
    <w:rsid w:val="00A3237A"/>
    <w:rsid w:val="00A40896"/>
    <w:rsid w:val="00A42DCE"/>
    <w:rsid w:val="00A456C5"/>
    <w:rsid w:val="00A56A86"/>
    <w:rsid w:val="00A712C3"/>
    <w:rsid w:val="00A76F5B"/>
    <w:rsid w:val="00A80B3F"/>
    <w:rsid w:val="00A92E5F"/>
    <w:rsid w:val="00A969A0"/>
    <w:rsid w:val="00AA2442"/>
    <w:rsid w:val="00AB4860"/>
    <w:rsid w:val="00AB6AB4"/>
    <w:rsid w:val="00AC45A4"/>
    <w:rsid w:val="00AD5024"/>
    <w:rsid w:val="00AD58CE"/>
    <w:rsid w:val="00AE370F"/>
    <w:rsid w:val="00AF088F"/>
    <w:rsid w:val="00AF1F42"/>
    <w:rsid w:val="00B07C04"/>
    <w:rsid w:val="00B102F4"/>
    <w:rsid w:val="00B16A1F"/>
    <w:rsid w:val="00B17DAD"/>
    <w:rsid w:val="00B20947"/>
    <w:rsid w:val="00B33590"/>
    <w:rsid w:val="00B33A20"/>
    <w:rsid w:val="00B55A4B"/>
    <w:rsid w:val="00B55EF3"/>
    <w:rsid w:val="00B810D4"/>
    <w:rsid w:val="00B90F5B"/>
    <w:rsid w:val="00B95E8A"/>
    <w:rsid w:val="00BA2401"/>
    <w:rsid w:val="00BA2E57"/>
    <w:rsid w:val="00BA7F33"/>
    <w:rsid w:val="00BC67E3"/>
    <w:rsid w:val="00BD14AC"/>
    <w:rsid w:val="00BD3B6F"/>
    <w:rsid w:val="00BE45E1"/>
    <w:rsid w:val="00BE4E07"/>
    <w:rsid w:val="00C0614D"/>
    <w:rsid w:val="00C10CA9"/>
    <w:rsid w:val="00C5273E"/>
    <w:rsid w:val="00C53591"/>
    <w:rsid w:val="00C54434"/>
    <w:rsid w:val="00C7222D"/>
    <w:rsid w:val="00C74807"/>
    <w:rsid w:val="00C80365"/>
    <w:rsid w:val="00C80DE2"/>
    <w:rsid w:val="00C8598A"/>
    <w:rsid w:val="00C95E83"/>
    <w:rsid w:val="00CA48DA"/>
    <w:rsid w:val="00CA7CEE"/>
    <w:rsid w:val="00CB47E0"/>
    <w:rsid w:val="00CB6D13"/>
    <w:rsid w:val="00CD205D"/>
    <w:rsid w:val="00CD2D26"/>
    <w:rsid w:val="00D0401B"/>
    <w:rsid w:val="00D04061"/>
    <w:rsid w:val="00D072DA"/>
    <w:rsid w:val="00D07BA9"/>
    <w:rsid w:val="00D16475"/>
    <w:rsid w:val="00D164BD"/>
    <w:rsid w:val="00D225F5"/>
    <w:rsid w:val="00D239AA"/>
    <w:rsid w:val="00D23E9B"/>
    <w:rsid w:val="00D24891"/>
    <w:rsid w:val="00D55DC7"/>
    <w:rsid w:val="00D5650A"/>
    <w:rsid w:val="00D64176"/>
    <w:rsid w:val="00D70DCC"/>
    <w:rsid w:val="00D7257A"/>
    <w:rsid w:val="00D74A7F"/>
    <w:rsid w:val="00D9067F"/>
    <w:rsid w:val="00DA28EF"/>
    <w:rsid w:val="00DB06D7"/>
    <w:rsid w:val="00DC1978"/>
    <w:rsid w:val="00DD65B3"/>
    <w:rsid w:val="00DE33F1"/>
    <w:rsid w:val="00DE4114"/>
    <w:rsid w:val="00DF4949"/>
    <w:rsid w:val="00DF515C"/>
    <w:rsid w:val="00DF7E40"/>
    <w:rsid w:val="00E05418"/>
    <w:rsid w:val="00E10BE8"/>
    <w:rsid w:val="00E10E0F"/>
    <w:rsid w:val="00E15A68"/>
    <w:rsid w:val="00E32F4C"/>
    <w:rsid w:val="00E40F99"/>
    <w:rsid w:val="00E414C1"/>
    <w:rsid w:val="00E64743"/>
    <w:rsid w:val="00E74AE5"/>
    <w:rsid w:val="00E913A9"/>
    <w:rsid w:val="00E9513F"/>
    <w:rsid w:val="00EA0B1A"/>
    <w:rsid w:val="00EA2464"/>
    <w:rsid w:val="00EA3456"/>
    <w:rsid w:val="00EA7045"/>
    <w:rsid w:val="00EA707C"/>
    <w:rsid w:val="00EB2EF8"/>
    <w:rsid w:val="00EB62D1"/>
    <w:rsid w:val="00ED1681"/>
    <w:rsid w:val="00EE17C1"/>
    <w:rsid w:val="00EE2EBE"/>
    <w:rsid w:val="00EE7C1A"/>
    <w:rsid w:val="00EF1FAE"/>
    <w:rsid w:val="00F03650"/>
    <w:rsid w:val="00F22ED9"/>
    <w:rsid w:val="00F2323F"/>
    <w:rsid w:val="00F33090"/>
    <w:rsid w:val="00F45A09"/>
    <w:rsid w:val="00F52EFD"/>
    <w:rsid w:val="00F6112E"/>
    <w:rsid w:val="00F65830"/>
    <w:rsid w:val="00F7307D"/>
    <w:rsid w:val="00F865B8"/>
    <w:rsid w:val="00FA298E"/>
    <w:rsid w:val="00FA4D3B"/>
    <w:rsid w:val="00FB5BE9"/>
    <w:rsid w:val="00FC2CD4"/>
    <w:rsid w:val="00FC3C9E"/>
    <w:rsid w:val="00FC66A2"/>
    <w:rsid w:val="00FC7822"/>
    <w:rsid w:val="00FD4311"/>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8A0F9"/>
  <w15:chartTrackingRefBased/>
  <w15:docId w15:val="{D4F71C88-21A5-45D8-AF0F-8B24832C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45"/>
    <w:pPr>
      <w:spacing w:before="120" w:after="120" w:line="259" w:lineRule="auto"/>
      <w:ind w:left="170"/>
      <w:jc w:val="left"/>
    </w:pPr>
    <w:rPr>
      <w:rFonts w:ascii="Verdana" w:hAnsi="Verdana"/>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uiPriority w:val="34"/>
    <w:qFormat/>
    <w:rsid w:val="00565F46"/>
    <w:pPr>
      <w:keepNext/>
      <w:numPr>
        <w:numId w:val="4"/>
      </w:numPr>
    </w:p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40AF3"/>
    <w:pPr>
      <w:keepNext/>
      <w:spacing w:before="240"/>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640AF3"/>
    <w:rPr>
      <w:rFonts w:ascii="Verdana" w:hAnsi="Verdana"/>
      <w:b/>
      <w:noProof/>
      <w:color w:val="CE2028"/>
    </w:rPr>
  </w:style>
  <w:style w:type="character" w:customStyle="1" w:styleId="SummaryChar">
    <w:name w:val="Summary Char"/>
    <w:basedOn w:val="RecommendationChar"/>
    <w:link w:val="Summary"/>
    <w:rsid w:val="00EE17C1"/>
    <w:rPr>
      <w:rFonts w:ascii="Verdana" w:hAnsi="Verdana"/>
      <w:b/>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aliases w:val="List Paragraph 2"/>
    <w:basedOn w:val="List"/>
    <w:next w:val="List3"/>
    <w:uiPriority w:val="99"/>
    <w:unhideWhenUsed/>
    <w:qFormat/>
    <w:rsid w:val="00DF4949"/>
    <w:pPr>
      <w:numPr>
        <w:numId w:val="3"/>
      </w:numPr>
    </w:pPr>
    <w:rPr>
      <w:b/>
    </w:r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233AB0"/>
    <w:pPr>
      <w:spacing w:line="240" w:lineRule="auto"/>
    </w:pPr>
    <w:rPr>
      <w:b/>
      <w:bCs/>
      <w:sz w:val="20"/>
    </w:rPr>
  </w:style>
  <w:style w:type="character" w:customStyle="1" w:styleId="CommentSubjectChar">
    <w:name w:val="Comment Subject Char"/>
    <w:basedOn w:val="CommentTextChar"/>
    <w:link w:val="CommentSubject"/>
    <w:uiPriority w:val="99"/>
    <w:semiHidden/>
    <w:rsid w:val="00233AB0"/>
    <w:rPr>
      <w:rFonts w:ascii="Verdana" w:hAnsi="Verdana"/>
      <w:b/>
      <w:bCs/>
      <w:color w:val="000000" w:themeColor="text1"/>
      <w:sz w:val="20"/>
      <w:szCs w:val="20"/>
      <w:lang w:val="en-AU"/>
    </w:rPr>
  </w:style>
  <w:style w:type="paragraph" w:customStyle="1" w:styleId="pf0">
    <w:name w:val="pf0"/>
    <w:basedOn w:val="Normal"/>
    <w:rsid w:val="00233AB0"/>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customStyle="1" w:styleId="cf01">
    <w:name w:val="cf01"/>
    <w:basedOn w:val="DefaultParagraphFont"/>
    <w:rsid w:val="00233AB0"/>
    <w:rPr>
      <w:rFonts w:ascii="Segoe UI" w:hAnsi="Segoe UI" w:cs="Segoe UI" w:hint="default"/>
      <w:sz w:val="18"/>
      <w:szCs w:val="18"/>
    </w:rPr>
  </w:style>
  <w:style w:type="character" w:customStyle="1" w:styleId="cf11">
    <w:name w:val="cf11"/>
    <w:basedOn w:val="DefaultParagraphFont"/>
    <w:rsid w:val="00233AB0"/>
    <w:rPr>
      <w:rFonts w:ascii="Segoe UI" w:hAnsi="Segoe UI" w:cs="Segoe UI" w:hint="default"/>
      <w:color w:val="313131"/>
      <w:sz w:val="18"/>
      <w:szCs w:val="18"/>
      <w:shd w:val="clear" w:color="auto" w:fill="FFFFFF"/>
    </w:rPr>
  </w:style>
  <w:style w:type="paragraph" w:customStyle="1" w:styleId="paragraph">
    <w:name w:val="paragraph"/>
    <w:basedOn w:val="Normal"/>
    <w:rsid w:val="00772C62"/>
    <w:pPr>
      <w:spacing w:before="100" w:beforeAutospacing="1" w:after="100" w:afterAutospacing="1" w:line="240" w:lineRule="auto"/>
      <w:ind w:left="0"/>
    </w:pPr>
    <w:rPr>
      <w:rFonts w:ascii="Calibri" w:hAnsi="Calibri" w:cs="Calibri"/>
      <w:lang w:eastAsia="en-AU"/>
    </w:rPr>
  </w:style>
  <w:style w:type="character" w:customStyle="1" w:styleId="normaltextrun">
    <w:name w:val="normaltextrun"/>
    <w:basedOn w:val="DefaultParagraphFont"/>
    <w:rsid w:val="00772C62"/>
  </w:style>
  <w:style w:type="character" w:customStyle="1" w:styleId="eop">
    <w:name w:val="eop"/>
    <w:basedOn w:val="DefaultParagraphFont"/>
    <w:rsid w:val="00772C62"/>
  </w:style>
  <w:style w:type="character" w:styleId="UnresolvedMention">
    <w:name w:val="Unresolved Mention"/>
    <w:basedOn w:val="DefaultParagraphFont"/>
    <w:uiPriority w:val="99"/>
    <w:semiHidden/>
    <w:unhideWhenUsed/>
    <w:rsid w:val="00772C62"/>
    <w:rPr>
      <w:color w:val="605E5C"/>
      <w:shd w:val="clear" w:color="auto" w:fill="E1DFDD"/>
    </w:rPr>
  </w:style>
  <w:style w:type="paragraph" w:styleId="NormalWeb">
    <w:name w:val="Normal (Web)"/>
    <w:basedOn w:val="Normal"/>
    <w:uiPriority w:val="99"/>
    <w:semiHidden/>
    <w:unhideWhenUsed/>
    <w:rsid w:val="0055754C"/>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14990"/>
    <w:rPr>
      <w:color w:val="954F72" w:themeColor="followedHyperlink"/>
      <w:u w:val="single"/>
    </w:rPr>
  </w:style>
  <w:style w:type="paragraph" w:customStyle="1" w:styleId="smallcaps">
    <w:name w:val="smallcaps"/>
    <w:basedOn w:val="Normal"/>
    <w:rsid w:val="00BD3B6F"/>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paragraph" w:customStyle="1" w:styleId="Default">
    <w:name w:val="Default"/>
    <w:rsid w:val="0048353B"/>
    <w:pPr>
      <w:autoSpaceDE w:val="0"/>
      <w:autoSpaceDN w:val="0"/>
      <w:adjustRightInd w:val="0"/>
      <w:spacing w:after="0"/>
      <w:jc w:val="left"/>
    </w:pPr>
    <w:rPr>
      <w:rFonts w:ascii="RHWTS E+ Reckless Neue" w:hAnsi="RHWTS E+ Reckless Neue" w:cs="RHWTS E+ Reckless Neue"/>
      <w:color w:val="000000"/>
      <w:sz w:val="24"/>
      <w:szCs w:val="24"/>
      <w:lang w:val="en-AU"/>
    </w:rPr>
  </w:style>
  <w:style w:type="paragraph" w:customStyle="1" w:styleId="Footnote">
    <w:name w:val="Footnote"/>
    <w:basedOn w:val="Normal"/>
    <w:qFormat/>
    <w:rsid w:val="0048353B"/>
    <w:pPr>
      <w:spacing w:before="0" w:after="0" w:line="240" w:lineRule="auto"/>
      <w:ind w:left="0"/>
    </w:pPr>
    <w:rPr>
      <w:sz w:val="16"/>
    </w:rPr>
  </w:style>
  <w:style w:type="character" w:customStyle="1" w:styleId="A1">
    <w:name w:val="A1"/>
    <w:uiPriority w:val="99"/>
    <w:rsid w:val="003C20BF"/>
    <w:rPr>
      <w:rFonts w:cs="JPEISU+Poppins-Regular"/>
      <w:color w:val="104E43"/>
      <w:sz w:val="19"/>
      <w:szCs w:val="19"/>
    </w:rPr>
  </w:style>
  <w:style w:type="character" w:customStyle="1" w:styleId="cf21">
    <w:name w:val="cf21"/>
    <w:basedOn w:val="DefaultParagraphFont"/>
    <w:rsid w:val="002B7A2E"/>
    <w:rPr>
      <w:rFonts w:ascii="Segoe UI" w:hAnsi="Segoe UI" w:cs="Segoe UI" w:hint="default"/>
      <w:sz w:val="18"/>
      <w:szCs w:val="18"/>
    </w:rPr>
  </w:style>
  <w:style w:type="character" w:customStyle="1" w:styleId="cf31">
    <w:name w:val="cf31"/>
    <w:basedOn w:val="DefaultParagraphFont"/>
    <w:rsid w:val="002B7A2E"/>
    <w:rPr>
      <w:rFonts w:ascii="Segoe UI" w:hAnsi="Segoe UI" w:cs="Segoe UI" w:hint="default"/>
      <w:sz w:val="18"/>
      <w:szCs w:val="18"/>
      <w:shd w:val="clear" w:color="auto" w:fill="FFFFFF"/>
    </w:rPr>
  </w:style>
  <w:style w:type="paragraph" w:styleId="Revision">
    <w:name w:val="Revision"/>
    <w:hidden/>
    <w:uiPriority w:val="99"/>
    <w:semiHidden/>
    <w:rsid w:val="00732EEC"/>
    <w:pPr>
      <w:spacing w:after="0"/>
      <w:jc w:val="left"/>
    </w:pPr>
    <w:rPr>
      <w:rFonts w:ascii="Verdana" w:hAnsi="Verdan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626351174">
      <w:bodyDiv w:val="1"/>
      <w:marLeft w:val="0"/>
      <w:marRight w:val="0"/>
      <w:marTop w:val="0"/>
      <w:marBottom w:val="0"/>
      <w:divBdr>
        <w:top w:val="none" w:sz="0" w:space="0" w:color="auto"/>
        <w:left w:val="none" w:sz="0" w:space="0" w:color="auto"/>
        <w:bottom w:val="none" w:sz="0" w:space="0" w:color="auto"/>
        <w:right w:val="none" w:sz="0" w:space="0" w:color="auto"/>
      </w:divBdr>
    </w:div>
    <w:div w:id="636493419">
      <w:bodyDiv w:val="1"/>
      <w:marLeft w:val="0"/>
      <w:marRight w:val="0"/>
      <w:marTop w:val="0"/>
      <w:marBottom w:val="0"/>
      <w:divBdr>
        <w:top w:val="none" w:sz="0" w:space="0" w:color="auto"/>
        <w:left w:val="none" w:sz="0" w:space="0" w:color="auto"/>
        <w:bottom w:val="none" w:sz="0" w:space="0" w:color="auto"/>
        <w:right w:val="none" w:sz="0" w:space="0" w:color="auto"/>
      </w:divBdr>
    </w:div>
    <w:div w:id="691033032">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819922650">
      <w:bodyDiv w:val="1"/>
      <w:marLeft w:val="0"/>
      <w:marRight w:val="0"/>
      <w:marTop w:val="0"/>
      <w:marBottom w:val="0"/>
      <w:divBdr>
        <w:top w:val="none" w:sz="0" w:space="0" w:color="auto"/>
        <w:left w:val="none" w:sz="0" w:space="0" w:color="auto"/>
        <w:bottom w:val="none" w:sz="0" w:space="0" w:color="auto"/>
        <w:right w:val="none" w:sz="0" w:space="0" w:color="auto"/>
      </w:divBdr>
    </w:div>
    <w:div w:id="960572095">
      <w:bodyDiv w:val="1"/>
      <w:marLeft w:val="0"/>
      <w:marRight w:val="0"/>
      <w:marTop w:val="0"/>
      <w:marBottom w:val="0"/>
      <w:divBdr>
        <w:top w:val="none" w:sz="0" w:space="0" w:color="auto"/>
        <w:left w:val="none" w:sz="0" w:space="0" w:color="auto"/>
        <w:bottom w:val="none" w:sz="0" w:space="0" w:color="auto"/>
        <w:right w:val="none" w:sz="0" w:space="0" w:color="auto"/>
      </w:divBdr>
    </w:div>
    <w:div w:id="974290111">
      <w:bodyDiv w:val="1"/>
      <w:marLeft w:val="0"/>
      <w:marRight w:val="0"/>
      <w:marTop w:val="0"/>
      <w:marBottom w:val="0"/>
      <w:divBdr>
        <w:top w:val="none" w:sz="0" w:space="0" w:color="auto"/>
        <w:left w:val="none" w:sz="0" w:space="0" w:color="auto"/>
        <w:bottom w:val="none" w:sz="0" w:space="0" w:color="auto"/>
        <w:right w:val="none" w:sz="0" w:space="0" w:color="auto"/>
      </w:divBdr>
    </w:div>
    <w:div w:id="1000692549">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197935638">
      <w:bodyDiv w:val="1"/>
      <w:marLeft w:val="0"/>
      <w:marRight w:val="0"/>
      <w:marTop w:val="0"/>
      <w:marBottom w:val="0"/>
      <w:divBdr>
        <w:top w:val="none" w:sz="0" w:space="0" w:color="auto"/>
        <w:left w:val="none" w:sz="0" w:space="0" w:color="auto"/>
        <w:bottom w:val="none" w:sz="0" w:space="0" w:color="auto"/>
        <w:right w:val="none" w:sz="0" w:space="0" w:color="auto"/>
      </w:divBdr>
    </w:div>
    <w:div w:id="1317758488">
      <w:bodyDiv w:val="1"/>
      <w:marLeft w:val="0"/>
      <w:marRight w:val="0"/>
      <w:marTop w:val="0"/>
      <w:marBottom w:val="0"/>
      <w:divBdr>
        <w:top w:val="none" w:sz="0" w:space="0" w:color="auto"/>
        <w:left w:val="none" w:sz="0" w:space="0" w:color="auto"/>
        <w:bottom w:val="none" w:sz="0" w:space="0" w:color="auto"/>
        <w:right w:val="none" w:sz="0" w:space="0" w:color="auto"/>
      </w:divBdr>
    </w:div>
    <w:div w:id="1331829878">
      <w:bodyDiv w:val="1"/>
      <w:marLeft w:val="0"/>
      <w:marRight w:val="0"/>
      <w:marTop w:val="0"/>
      <w:marBottom w:val="0"/>
      <w:divBdr>
        <w:top w:val="none" w:sz="0" w:space="0" w:color="auto"/>
        <w:left w:val="none" w:sz="0" w:space="0" w:color="auto"/>
        <w:bottom w:val="none" w:sz="0" w:space="0" w:color="auto"/>
        <w:right w:val="none" w:sz="0" w:space="0" w:color="auto"/>
      </w:divBdr>
    </w:div>
    <w:div w:id="1430009028">
      <w:bodyDiv w:val="1"/>
      <w:marLeft w:val="0"/>
      <w:marRight w:val="0"/>
      <w:marTop w:val="0"/>
      <w:marBottom w:val="0"/>
      <w:divBdr>
        <w:top w:val="none" w:sz="0" w:space="0" w:color="auto"/>
        <w:left w:val="none" w:sz="0" w:space="0" w:color="auto"/>
        <w:bottom w:val="none" w:sz="0" w:space="0" w:color="auto"/>
        <w:right w:val="none" w:sz="0" w:space="0" w:color="auto"/>
      </w:divBdr>
    </w:div>
    <w:div w:id="1672178227">
      <w:bodyDiv w:val="1"/>
      <w:marLeft w:val="0"/>
      <w:marRight w:val="0"/>
      <w:marTop w:val="0"/>
      <w:marBottom w:val="0"/>
      <w:divBdr>
        <w:top w:val="none" w:sz="0" w:space="0" w:color="auto"/>
        <w:left w:val="none" w:sz="0" w:space="0" w:color="auto"/>
        <w:bottom w:val="none" w:sz="0" w:space="0" w:color="auto"/>
        <w:right w:val="none" w:sz="0" w:space="0" w:color="auto"/>
      </w:divBdr>
    </w:div>
    <w:div w:id="19835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cqui@acoss.org.au"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statistics/The-Future-of-the-OECD-Well-being-Dashboard.pdf" TargetMode="External"/><Relationship Id="rId2" Type="http://schemas.openxmlformats.org/officeDocument/2006/relationships/hyperlink" Target="https://www.closingthegap.gov.au/national-agreement/targets" TargetMode="External"/><Relationship Id="rId1" Type="http://schemas.openxmlformats.org/officeDocument/2006/relationships/hyperlink" Target="https://vcoss.org.au/health-and-wellbeing/2022/09/voices-of-victoria/" TargetMode="External"/><Relationship Id="rId4" Type="http://schemas.openxmlformats.org/officeDocument/2006/relationships/hyperlink" Target="https://povertyandinequality.acos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1%20Document%20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B647B-6D48-4EEB-8D16-47ECB3EF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5</TotalTime>
  <Pages>10</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Braaf</dc:creator>
  <cp:keywords/>
  <dc:description/>
  <cp:lastModifiedBy>Jacqui Phillips</cp:lastModifiedBy>
  <cp:revision>2</cp:revision>
  <dcterms:created xsi:type="dcterms:W3CDTF">2023-02-04T03:05:00Z</dcterms:created>
  <dcterms:modified xsi:type="dcterms:W3CDTF">2023-02-04T03:05:00Z</dcterms:modified>
</cp:coreProperties>
</file>