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v:fill r:id="rId7" o:title="Word Document Background 2" type="tile"/>
    </v:background>
  </w:background>
  <w:body>
    <w:p w14:paraId="48934E9A" w14:textId="606CBB90" w:rsidR="00043D48" w:rsidRPr="00794193" w:rsidRDefault="00D23DEF" w:rsidP="006B2002">
      <w:pPr>
        <w:pStyle w:val="Title"/>
      </w:pPr>
      <w:r>
        <w:t>Submission on the Net Zero Economy Authority Bill &amp; Net Zero Economy Authority (Transitional Provisions) Bill 2024</w:t>
      </w:r>
    </w:p>
    <w:p w14:paraId="563B474E" w14:textId="3A400B09" w:rsidR="00A712C3" w:rsidRPr="00B07C04" w:rsidRDefault="00D23DEF" w:rsidP="006B2002">
      <w:pPr>
        <w:pStyle w:val="Subtitle"/>
      </w:pPr>
      <w:r>
        <w:t>Senate Finance and Public Administration Committee</w:t>
      </w:r>
    </w:p>
    <w:p w14:paraId="3B2B619D" w14:textId="2677A7CE" w:rsidR="00A712C3" w:rsidRPr="00B07C04" w:rsidRDefault="00A712C3" w:rsidP="00261645">
      <w:r w:rsidRPr="00B07C04">
        <w:rPr>
          <w:noProof/>
          <w:lang w:eastAsia="en-AU"/>
        </w:rPr>
        <w:drawing>
          <wp:anchor distT="0" distB="0" distL="114300" distR="114300" simplePos="0" relativeHeight="251658240" behindDoc="1" locked="0" layoutInCell="1" allowOverlap="1" wp14:anchorId="2433A518" wp14:editId="78DB00E3">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D23DEF">
        <w:rPr>
          <w:rStyle w:val="SubtleEmphasis"/>
          <w:sz w:val="28"/>
          <w:szCs w:val="28"/>
        </w:rPr>
        <w:t>April 2024</w:t>
      </w:r>
    </w:p>
    <w:p w14:paraId="0A4C9B8E" w14:textId="77777777" w:rsidR="00406077" w:rsidRPr="00B07C04" w:rsidRDefault="00406077" w:rsidP="00AB1F5F">
      <w:pPr>
        <w:pStyle w:val="Summary"/>
      </w:pPr>
      <w:r w:rsidRPr="00B07C04">
        <w:t>About ACOSS</w:t>
      </w:r>
    </w:p>
    <w:p w14:paraId="37F8500F" w14:textId="77777777" w:rsidR="00A712C3" w:rsidRPr="00DF4949" w:rsidRDefault="00A712C3" w:rsidP="00DF515C">
      <w:r w:rsidRPr="00DF4949">
        <w:t>The Australian Council of Social Service (ACOSS) is a national voice in support of people affected by poverty, disadvantage and inequality and the peak body for the community services and civil society sector.</w:t>
      </w:r>
    </w:p>
    <w:p w14:paraId="4C240F23" w14:textId="77777777" w:rsidR="008A43DD" w:rsidRPr="00DF4949" w:rsidRDefault="008A43DD" w:rsidP="00DF515C">
      <w:r w:rsidRPr="00DF4949">
        <w:t xml:space="preserve">ACOSS consists of a network of approximately 4000 organisations and individuals across Australia in metro, regional and remote areas. </w:t>
      </w:r>
    </w:p>
    <w:p w14:paraId="1E659AB1" w14:textId="77777777" w:rsidR="00C0614D" w:rsidRPr="00DF4949" w:rsidRDefault="00C0614D" w:rsidP="00DF515C">
      <w:r w:rsidRPr="00DF4949">
        <w:t xml:space="preserve">Our vision is an end to poverty in all its forms; economies that are fair, </w:t>
      </w:r>
      <w:proofErr w:type="gramStart"/>
      <w:r w:rsidRPr="00DF4949">
        <w:t>sustainable</w:t>
      </w:r>
      <w:proofErr w:type="gramEnd"/>
      <w:r w:rsidRPr="00DF4949">
        <w:t xml:space="preserve"> and resilient; and communities that are just, peaceful and inclusive.</w:t>
      </w:r>
      <w:r w:rsidRPr="00DF4949" w:rsidDel="007563B2">
        <w:t xml:space="preserve"> </w:t>
      </w:r>
    </w:p>
    <w:p w14:paraId="79D10FAC" w14:textId="14041AF8" w:rsidR="00861827" w:rsidRDefault="00A92E5F" w:rsidP="00071F72">
      <w:pPr>
        <w:pStyle w:val="Summary"/>
      </w:pPr>
      <w:r>
        <w:t xml:space="preserve">Summary </w:t>
      </w:r>
    </w:p>
    <w:p w14:paraId="18883F79" w14:textId="58C75B41" w:rsidR="00861827" w:rsidRDefault="00861827" w:rsidP="00861827">
      <w:r>
        <w:t xml:space="preserve">ACOSS welcomes the opportunity to make a submission on the Net Zero Economy Authority Bill and Net Zero Economy Authority (Transitional Provisions) Bill 2024.  ACOSS has long advocated for a national entity to coordinate a managed and orderly transition to net zero emissions, and to support </w:t>
      </w:r>
      <w:r w:rsidR="1B8DBE64">
        <w:t>people</w:t>
      </w:r>
      <w:r>
        <w:t xml:space="preserve"> and communities affected by the </w:t>
      </w:r>
      <w:r w:rsidR="00301A5B">
        <w:t>transformation</w:t>
      </w:r>
      <w:r>
        <w:t xml:space="preserve">. </w:t>
      </w:r>
    </w:p>
    <w:p w14:paraId="621CF95D" w14:textId="2670F598" w:rsidR="00CB08FC" w:rsidRDefault="00861827" w:rsidP="00861827">
      <w:r>
        <w:t xml:space="preserve">In general, ACOSS </w:t>
      </w:r>
      <w:r w:rsidR="00F66703">
        <w:t xml:space="preserve">strongly </w:t>
      </w:r>
      <w:r>
        <w:t>supports the Bills</w:t>
      </w:r>
      <w:r w:rsidR="00DD2765">
        <w:t>’</w:t>
      </w:r>
      <w:r>
        <w:t xml:space="preserve"> proposal to establish </w:t>
      </w:r>
      <w:r w:rsidR="00CB08FC">
        <w:t xml:space="preserve">a </w:t>
      </w:r>
      <w:r>
        <w:t xml:space="preserve">Net Zero Economy Authority for the purpose of coordinating Australia’s </w:t>
      </w:r>
      <w:r w:rsidR="00E7136E">
        <w:t xml:space="preserve">transformation </w:t>
      </w:r>
      <w:r>
        <w:t>to a net zero emissions economy</w:t>
      </w:r>
      <w:r w:rsidR="00DD2765">
        <w:t xml:space="preserve">. </w:t>
      </w:r>
      <w:r w:rsidR="00E7136E">
        <w:t xml:space="preserve">It is important that a national Authority set the guardrails for how the transformation is implemented, acknowledging </w:t>
      </w:r>
      <w:r w:rsidR="00EA7538">
        <w:t xml:space="preserve">regional </w:t>
      </w:r>
      <w:r w:rsidR="00CB08FC">
        <w:t>transition planning bodies will be responsible for responding to regional and context specific issues.</w:t>
      </w:r>
    </w:p>
    <w:p w14:paraId="3DF7B789" w14:textId="4557704C" w:rsidR="00861827" w:rsidRDefault="00DD2765" w:rsidP="00861827">
      <w:r>
        <w:t>In</w:t>
      </w:r>
      <w:r w:rsidR="081FF1B2">
        <w:t xml:space="preserve"> </w:t>
      </w:r>
      <w:r w:rsidR="00F66703">
        <w:t>general</w:t>
      </w:r>
      <w:r>
        <w:t>, ACOSS</w:t>
      </w:r>
      <w:r w:rsidR="00F66703">
        <w:t xml:space="preserve"> </w:t>
      </w:r>
      <w:r w:rsidR="081FF1B2">
        <w:t xml:space="preserve">supports </w:t>
      </w:r>
      <w:r>
        <w:t xml:space="preserve">the Authority’s </w:t>
      </w:r>
      <w:r w:rsidR="081FF1B2">
        <w:t>proposed</w:t>
      </w:r>
      <w:r w:rsidR="00861827">
        <w:t xml:space="preserve"> governance, and functions. In addition, we propose </w:t>
      </w:r>
      <w:r w:rsidR="00F66703">
        <w:t xml:space="preserve">some </w:t>
      </w:r>
      <w:r w:rsidR="00861827">
        <w:t xml:space="preserve">amendments to promote fairness, </w:t>
      </w:r>
      <w:proofErr w:type="gramStart"/>
      <w:r w:rsidR="00861827">
        <w:t>equity</w:t>
      </w:r>
      <w:proofErr w:type="gramEnd"/>
      <w:r w:rsidR="00861827">
        <w:t xml:space="preserve"> and inclusion in the carriage of its work so that affected communities </w:t>
      </w:r>
      <w:r w:rsidR="68214A5B">
        <w:t>and people experiencing disadvantage within those communities can</w:t>
      </w:r>
      <w:r w:rsidR="00861827">
        <w:t xml:space="preserve"> participate in transition planning, benefit from </w:t>
      </w:r>
      <w:r w:rsidR="00F55C2D">
        <w:t>transformation</w:t>
      </w:r>
      <w:r w:rsidR="00861827">
        <w:t xml:space="preserve"> outcomes and are not left behind.</w:t>
      </w:r>
    </w:p>
    <w:p w14:paraId="482044AB" w14:textId="77777777" w:rsidR="00DC6FBE" w:rsidRDefault="00DC6FBE" w:rsidP="00A62140">
      <w:pPr>
        <w:pStyle w:val="Recommendation"/>
      </w:pPr>
      <w:r>
        <w:t>Recommendations:</w:t>
      </w:r>
    </w:p>
    <w:p w14:paraId="27661C8A" w14:textId="15DB766E" w:rsidR="008C5862" w:rsidRDefault="002B364F" w:rsidP="008C5862">
      <w:pPr>
        <w:pStyle w:val="ListParagraph"/>
        <w:numPr>
          <w:ilvl w:val="0"/>
          <w:numId w:val="14"/>
        </w:numPr>
      </w:pPr>
      <w:r>
        <w:t xml:space="preserve">Expand the </w:t>
      </w:r>
      <w:r w:rsidR="00DC6FBE">
        <w:t xml:space="preserve">object of the Authority </w:t>
      </w:r>
      <w:r>
        <w:t xml:space="preserve">at </w:t>
      </w:r>
      <w:r w:rsidR="00A52B86">
        <w:t>Part 1 S</w:t>
      </w:r>
      <w:r>
        <w:t>ection 3</w:t>
      </w:r>
      <w:r w:rsidR="00DC6FBE">
        <w:t xml:space="preserve"> to include:</w:t>
      </w:r>
    </w:p>
    <w:p w14:paraId="1CF6D5BD" w14:textId="16DF4C87" w:rsidR="008C5862" w:rsidRDefault="008C5862" w:rsidP="008C5862">
      <w:pPr>
        <w:pStyle w:val="ListParagraph"/>
        <w:numPr>
          <w:ilvl w:val="1"/>
          <w:numId w:val="14"/>
        </w:numPr>
      </w:pPr>
      <w:r>
        <w:t xml:space="preserve">At a) </w:t>
      </w:r>
      <w:r w:rsidR="009642AE">
        <w:t>‘</w:t>
      </w:r>
      <w:r>
        <w:t xml:space="preserve">promote a fair, equitable and inclusive </w:t>
      </w:r>
      <w:proofErr w:type="gramStart"/>
      <w:r>
        <w:t>transformation</w:t>
      </w:r>
      <w:r w:rsidR="009642AE">
        <w:t>’</w:t>
      </w:r>
      <w:proofErr w:type="gramEnd"/>
      <w:r>
        <w:t xml:space="preserve"> </w:t>
      </w:r>
    </w:p>
    <w:p w14:paraId="7611506B" w14:textId="13416E64" w:rsidR="00271524" w:rsidRPr="00271524" w:rsidRDefault="008C5862" w:rsidP="00271524">
      <w:pPr>
        <w:pStyle w:val="ListParagraph"/>
        <w:numPr>
          <w:ilvl w:val="1"/>
          <w:numId w:val="14"/>
        </w:numPr>
      </w:pPr>
      <w:r>
        <w:t>At b) a reference to the Paris Agreement goal to limit global warming to well below 2°C above pre-industrial levels, and pursue efforts to limit warming to 1.5°</w:t>
      </w:r>
      <w:proofErr w:type="gramStart"/>
      <w:r>
        <w:t>C</w:t>
      </w:r>
      <w:proofErr w:type="gramEnd"/>
    </w:p>
    <w:p w14:paraId="784E5EE1" w14:textId="77777777" w:rsidR="000972C1" w:rsidRDefault="008C5862" w:rsidP="008C5862">
      <w:pPr>
        <w:pStyle w:val="ListParagraph"/>
        <w:numPr>
          <w:ilvl w:val="1"/>
          <w:numId w:val="14"/>
        </w:numPr>
      </w:pPr>
      <w:r>
        <w:t>At c) insert reference to ‘communities’ and ‘equitably’ benefit from</w:t>
      </w:r>
      <w:r w:rsidR="00E010D6">
        <w:t>,</w:t>
      </w:r>
      <w:r>
        <w:t xml:space="preserve"> Australia’s </w:t>
      </w:r>
      <w:r w:rsidR="00222EFC">
        <w:t>transition</w:t>
      </w:r>
      <w:r>
        <w:t xml:space="preserve"> to a net zero economy. </w:t>
      </w:r>
    </w:p>
    <w:p w14:paraId="3C5055A9" w14:textId="7581A429" w:rsidR="0057275B" w:rsidRDefault="001F60B6" w:rsidP="008C5862">
      <w:pPr>
        <w:pStyle w:val="ListParagraph"/>
        <w:numPr>
          <w:ilvl w:val="0"/>
          <w:numId w:val="14"/>
        </w:numPr>
      </w:pPr>
      <w:r>
        <w:t>Expand the f</w:t>
      </w:r>
      <w:r w:rsidR="00677DF4">
        <w:t>unctions of the Authority</w:t>
      </w:r>
      <w:r>
        <w:t xml:space="preserve"> at </w:t>
      </w:r>
      <w:r w:rsidR="00A52B86">
        <w:t>Part 2 S</w:t>
      </w:r>
      <w:r>
        <w:t xml:space="preserve">ection 16 to </w:t>
      </w:r>
      <w:r w:rsidR="00677DF4">
        <w:t xml:space="preserve">include: </w:t>
      </w:r>
    </w:p>
    <w:p w14:paraId="64DC1BD0" w14:textId="77777777" w:rsidR="000D5B1E" w:rsidRDefault="000D5B1E" w:rsidP="000D5B1E">
      <w:pPr>
        <w:pStyle w:val="ListParagraph"/>
        <w:numPr>
          <w:ilvl w:val="1"/>
          <w:numId w:val="14"/>
        </w:numPr>
      </w:pPr>
      <w:r>
        <w:t>‘Facilitate</w:t>
      </w:r>
      <w:r w:rsidRPr="00D01C01">
        <w:t xml:space="preserve"> economic diversification of regional economies through the </w:t>
      </w:r>
      <w:r>
        <w:t xml:space="preserve">net zero </w:t>
      </w:r>
      <w:proofErr w:type="gramStart"/>
      <w:r>
        <w:t>transformation’</w:t>
      </w:r>
      <w:proofErr w:type="gramEnd"/>
    </w:p>
    <w:p w14:paraId="6B23D5D3" w14:textId="77777777" w:rsidR="000D5B1E" w:rsidRDefault="000D5B1E" w:rsidP="000D5B1E">
      <w:pPr>
        <w:pStyle w:val="ListParagraph"/>
        <w:numPr>
          <w:ilvl w:val="1"/>
          <w:numId w:val="14"/>
        </w:numPr>
      </w:pPr>
      <w:r>
        <w:t xml:space="preserve">‘Develop an annual </w:t>
      </w:r>
      <w:proofErr w:type="gramStart"/>
      <w:r>
        <w:t>workplan’</w:t>
      </w:r>
      <w:proofErr w:type="gramEnd"/>
    </w:p>
    <w:p w14:paraId="58CEE2A2" w14:textId="77777777" w:rsidR="000D5B1E" w:rsidRDefault="000D5B1E" w:rsidP="000D5B1E">
      <w:pPr>
        <w:pStyle w:val="ListParagraph"/>
        <w:numPr>
          <w:ilvl w:val="1"/>
          <w:numId w:val="14"/>
        </w:numPr>
      </w:pPr>
      <w:r>
        <w:t xml:space="preserve">‘Respond to regular </w:t>
      </w:r>
      <w:proofErr w:type="gramStart"/>
      <w:r>
        <w:t>reviews’</w:t>
      </w:r>
      <w:proofErr w:type="gramEnd"/>
      <w:r>
        <w:t>.</w:t>
      </w:r>
    </w:p>
    <w:p w14:paraId="3213FE9F" w14:textId="1898900A" w:rsidR="008C5862" w:rsidRDefault="008C5862" w:rsidP="008C5862">
      <w:pPr>
        <w:pStyle w:val="ListParagraph"/>
        <w:numPr>
          <w:ilvl w:val="0"/>
          <w:numId w:val="14"/>
        </w:numPr>
      </w:pPr>
      <w:r w:rsidRPr="00B13B97">
        <w:t>Develop criteria to guide the functions of the Authority</w:t>
      </w:r>
      <w:r w:rsidR="00A52B86">
        <w:t>. T</w:t>
      </w:r>
      <w:r w:rsidRPr="00B13B97">
        <w:t>hese could include:</w:t>
      </w:r>
    </w:p>
    <w:p w14:paraId="441BF0C1" w14:textId="6A08DEC6" w:rsidR="008C5862" w:rsidRDefault="008C5862" w:rsidP="008C5862">
      <w:pPr>
        <w:pStyle w:val="ListParagraph"/>
        <w:numPr>
          <w:ilvl w:val="1"/>
          <w:numId w:val="14"/>
        </w:numPr>
      </w:pPr>
      <w:r w:rsidRPr="00D01C01">
        <w:t>Ensure the transformation is fair, equitable and inclusive</w:t>
      </w:r>
      <w:r w:rsidR="43376A1C">
        <w:t>.</w:t>
      </w:r>
      <w:r w:rsidRPr="00D01C01">
        <w:t xml:space="preserve"> </w:t>
      </w:r>
    </w:p>
    <w:p w14:paraId="56D8C130" w14:textId="0A32B7A3" w:rsidR="3B32309C" w:rsidRDefault="00A52B86" w:rsidP="60E0834D">
      <w:pPr>
        <w:pStyle w:val="ListParagraph"/>
        <w:numPr>
          <w:ilvl w:val="1"/>
          <w:numId w:val="14"/>
        </w:numPr>
      </w:pPr>
      <w:r>
        <w:t>F</w:t>
      </w:r>
      <w:r w:rsidR="3B32309C">
        <w:t xml:space="preserve">acilitate regional leadership of economic diversification in response to the </w:t>
      </w:r>
      <w:r w:rsidR="00F23723">
        <w:t>transition</w:t>
      </w:r>
      <w:r w:rsidR="3B32309C">
        <w:t xml:space="preserve"> to a net zero economy.</w:t>
      </w:r>
    </w:p>
    <w:p w14:paraId="27A93A27" w14:textId="77777777" w:rsidR="006B0A0D" w:rsidRDefault="006B0A0D" w:rsidP="006B0A0D">
      <w:pPr>
        <w:pStyle w:val="ListParagraph"/>
        <w:numPr>
          <w:ilvl w:val="1"/>
          <w:numId w:val="14"/>
        </w:numPr>
      </w:pPr>
      <w:r>
        <w:t>Promote</w:t>
      </w:r>
      <w:r w:rsidRPr="00D01C01">
        <w:t xml:space="preserve"> employment </w:t>
      </w:r>
      <w:r>
        <w:t xml:space="preserve">and workforce </w:t>
      </w:r>
      <w:r w:rsidRPr="00D01C01">
        <w:t xml:space="preserve">strategies to </w:t>
      </w:r>
      <w:r>
        <w:t xml:space="preserve">also </w:t>
      </w:r>
      <w:r w:rsidRPr="00D01C01">
        <w:t>support workers in precarious employment and people experiencing barriers to entering the workforce.</w:t>
      </w:r>
    </w:p>
    <w:p w14:paraId="7DAF69A3" w14:textId="77777777" w:rsidR="006B0A0D" w:rsidRPr="00D01C01" w:rsidRDefault="006B0A0D" w:rsidP="006B0A0D">
      <w:pPr>
        <w:pStyle w:val="ListParagraph"/>
        <w:numPr>
          <w:ilvl w:val="1"/>
          <w:numId w:val="14"/>
        </w:numPr>
      </w:pPr>
      <w:r w:rsidRPr="00D01C01">
        <w:t>Aim to equitably share the benefits of the trans</w:t>
      </w:r>
      <w:r>
        <w:t>formation</w:t>
      </w:r>
      <w:r w:rsidRPr="00D01C01">
        <w:t xml:space="preserve"> to net zero emissions with </w:t>
      </w:r>
      <w:r>
        <w:t xml:space="preserve">the </w:t>
      </w:r>
      <w:r w:rsidRPr="00D01C01">
        <w:t>community</w:t>
      </w:r>
      <w:r>
        <w:t>.</w:t>
      </w:r>
      <w:r w:rsidRPr="00D01C01">
        <w:t xml:space="preserve">  </w:t>
      </w:r>
    </w:p>
    <w:p w14:paraId="508F641D" w14:textId="59B081F8" w:rsidR="00F23723" w:rsidRDefault="008C5862" w:rsidP="008C5862">
      <w:pPr>
        <w:pStyle w:val="ListParagraph"/>
        <w:numPr>
          <w:ilvl w:val="1"/>
          <w:numId w:val="14"/>
        </w:numPr>
      </w:pPr>
      <w:r>
        <w:t xml:space="preserve">Facilitate </w:t>
      </w:r>
      <w:r w:rsidRPr="0049627C">
        <w:t>dedicated</w:t>
      </w:r>
      <w:r w:rsidR="00C7751A">
        <w:t>,</w:t>
      </w:r>
      <w:r w:rsidRPr="0049627C">
        <w:t xml:space="preserve"> </w:t>
      </w:r>
      <w:r w:rsidR="00C7751A">
        <w:t xml:space="preserve">inclusive </w:t>
      </w:r>
      <w:r w:rsidRPr="0049627C">
        <w:t>and place-based engagement mechanisms for affected people, communities and their advocates</w:t>
      </w:r>
      <w:r>
        <w:t>,</w:t>
      </w:r>
      <w:r w:rsidRPr="0049627C">
        <w:t xml:space="preserve"> to participate in </w:t>
      </w:r>
      <w:r w:rsidR="00B54CC0">
        <w:t>transformation</w:t>
      </w:r>
      <w:r>
        <w:t xml:space="preserve"> </w:t>
      </w:r>
      <w:r w:rsidRPr="0049627C">
        <w:t>planning and decision-making, prioritising people experiencing disadvantage</w:t>
      </w:r>
      <w:r>
        <w:t xml:space="preserve">, so their concerns and needs are </w:t>
      </w:r>
      <w:proofErr w:type="gramStart"/>
      <w:r>
        <w:t>heard</w:t>
      </w:r>
      <w:proofErr w:type="gramEnd"/>
      <w:r>
        <w:t xml:space="preserve"> and they can equitably benefit.</w:t>
      </w:r>
      <w:r w:rsidR="00EA4B45">
        <w:t xml:space="preserve"> </w:t>
      </w:r>
    </w:p>
    <w:p w14:paraId="74D6E27D" w14:textId="77777777" w:rsidR="00042851" w:rsidRDefault="00042851" w:rsidP="00042851">
      <w:pPr>
        <w:pStyle w:val="ListParagraph"/>
        <w:numPr>
          <w:ilvl w:val="0"/>
          <w:numId w:val="14"/>
        </w:numPr>
      </w:pPr>
      <w:r>
        <w:t>Add a section to the Bill establishing a long-term minimum budget (</w:t>
      </w:r>
      <w:proofErr w:type="gramStart"/>
      <w:r>
        <w:t>e.g.</w:t>
      </w:r>
      <w:proofErr w:type="gramEnd"/>
      <w:r>
        <w:t xml:space="preserve"> for 10 years) to ensure stability for effective long-term planning. </w:t>
      </w:r>
    </w:p>
    <w:p w14:paraId="2D7DDDD5" w14:textId="0C2D641B" w:rsidR="00DC6FBE" w:rsidRDefault="0008631E" w:rsidP="00DC6FBE">
      <w:pPr>
        <w:pStyle w:val="ListParagraph"/>
        <w:numPr>
          <w:ilvl w:val="0"/>
          <w:numId w:val="14"/>
        </w:numPr>
      </w:pPr>
      <w:r>
        <w:t xml:space="preserve">Expand </w:t>
      </w:r>
      <w:r w:rsidR="003F7DF4">
        <w:t xml:space="preserve">the </w:t>
      </w:r>
      <w:r w:rsidR="00DC6FBE">
        <w:t>facilitat</w:t>
      </w:r>
      <w:r w:rsidR="003F7DF4">
        <w:t>ion</w:t>
      </w:r>
      <w:r w:rsidR="00DC6FBE">
        <w:t xml:space="preserve"> by the Authority</w:t>
      </w:r>
      <w:r w:rsidR="00211BC9">
        <w:t xml:space="preserve"> </w:t>
      </w:r>
      <w:r w:rsidR="003F7DF4">
        <w:t xml:space="preserve">for employment and workforce planning </w:t>
      </w:r>
      <w:r w:rsidR="00211BC9">
        <w:t xml:space="preserve">at </w:t>
      </w:r>
      <w:r w:rsidR="008D1487">
        <w:t>Part 5</w:t>
      </w:r>
      <w:r w:rsidR="004D1991">
        <w:t xml:space="preserve"> to include</w:t>
      </w:r>
      <w:r w:rsidR="00DC6FBE">
        <w:t>:</w:t>
      </w:r>
    </w:p>
    <w:p w14:paraId="50B3F5A4" w14:textId="6D90970D" w:rsidR="00DC6FBE" w:rsidRDefault="006A06BD" w:rsidP="00DC6FBE">
      <w:pPr>
        <w:pStyle w:val="ListParagraph"/>
        <w:numPr>
          <w:ilvl w:val="1"/>
          <w:numId w:val="14"/>
        </w:numPr>
      </w:pPr>
      <w:r>
        <w:t>B</w:t>
      </w:r>
      <w:r w:rsidR="00DC6FBE">
        <w:t xml:space="preserve">e codesigned with </w:t>
      </w:r>
      <w:r w:rsidR="39299822">
        <w:t>affected people</w:t>
      </w:r>
      <w:r w:rsidR="00DC6FBE">
        <w:t xml:space="preserve"> and communities</w:t>
      </w:r>
      <w:r>
        <w:t>.</w:t>
      </w:r>
    </w:p>
    <w:p w14:paraId="22E37670" w14:textId="5EFFB665" w:rsidR="00DC6FBE" w:rsidRDefault="006A06BD" w:rsidP="00DC6FBE">
      <w:pPr>
        <w:pStyle w:val="ListParagraph"/>
        <w:numPr>
          <w:ilvl w:val="1"/>
          <w:numId w:val="14"/>
        </w:numPr>
      </w:pPr>
      <w:r>
        <w:t>E</w:t>
      </w:r>
      <w:r w:rsidR="00DC6FBE">
        <w:t>xtend beyond those working in fossil fuel industries to include workers in industries that are typically casualised, short term and/or underpaid, as well as people experiencing barriers to employment</w:t>
      </w:r>
      <w:r>
        <w:t>.</w:t>
      </w:r>
    </w:p>
    <w:p w14:paraId="0B4362B5" w14:textId="5B02F96F" w:rsidR="00DC6FBE" w:rsidRDefault="006A06BD" w:rsidP="00DC6FBE">
      <w:pPr>
        <w:pStyle w:val="ListParagraph"/>
        <w:numPr>
          <w:ilvl w:val="1"/>
          <w:numId w:val="14"/>
        </w:numPr>
      </w:pPr>
      <w:r>
        <w:t>I</w:t>
      </w:r>
      <w:r w:rsidR="00DC6FBE">
        <w:t xml:space="preserve">nclude </w:t>
      </w:r>
      <w:r w:rsidR="00475069">
        <w:t>working</w:t>
      </w:r>
      <w:r w:rsidR="424ED7FB">
        <w:t xml:space="preserve"> </w:t>
      </w:r>
      <w:r w:rsidR="00DC6FBE">
        <w:t xml:space="preserve">with training services like TAFE and others to plan for and invest in regionally based education, </w:t>
      </w:r>
      <w:proofErr w:type="gramStart"/>
      <w:r w:rsidR="00DC6FBE">
        <w:t>training</w:t>
      </w:r>
      <w:proofErr w:type="gramEnd"/>
      <w:r w:rsidR="00DC6FBE">
        <w:t xml:space="preserve"> and skilling facilities</w:t>
      </w:r>
      <w:r>
        <w:t>.</w:t>
      </w:r>
    </w:p>
    <w:p w14:paraId="60989A8D" w14:textId="77777777" w:rsidR="001D05D5" w:rsidRDefault="001D05D5" w:rsidP="001D05D5">
      <w:pPr>
        <w:pStyle w:val="ListParagraph"/>
        <w:numPr>
          <w:ilvl w:val="1"/>
          <w:numId w:val="14"/>
        </w:numPr>
      </w:pPr>
      <w:r>
        <w:t>Renewable Energy Zones (REZs), as well as other regions and industries affected by climate change and the transition to net zero in its scope, commencing with those most affected.</w:t>
      </w:r>
    </w:p>
    <w:p w14:paraId="3FF4A828" w14:textId="6FEA5155" w:rsidR="00106005" w:rsidRPr="00106005" w:rsidRDefault="006A06BD" w:rsidP="008D1487">
      <w:pPr>
        <w:pStyle w:val="ListParagraph"/>
        <w:numPr>
          <w:ilvl w:val="1"/>
          <w:numId w:val="14"/>
        </w:numPr>
      </w:pPr>
      <w:r>
        <w:t>A</w:t>
      </w:r>
      <w:r w:rsidR="00E41E96">
        <w:t xml:space="preserve">lign with </w:t>
      </w:r>
      <w:r w:rsidR="00E41E96" w:rsidRPr="00106005">
        <w:t xml:space="preserve">relevant economic participation/employment strategies, including the </w:t>
      </w:r>
      <w:hyperlink r:id="rId13" w:history="1">
        <w:r w:rsidR="00E41E96" w:rsidRPr="00106005">
          <w:rPr>
            <w:rStyle w:val="Hyperlink"/>
          </w:rPr>
          <w:t>Strategy for Gender Equality</w:t>
        </w:r>
      </w:hyperlink>
      <w:r w:rsidR="00E41E96" w:rsidRPr="00106005">
        <w:t xml:space="preserve"> and the </w:t>
      </w:r>
      <w:hyperlink r:id="rId14" w:history="1">
        <w:r w:rsidR="00E41E96" w:rsidRPr="00106005">
          <w:rPr>
            <w:rStyle w:val="Hyperlink"/>
          </w:rPr>
          <w:t>Women’s Economic Equality Taskforce’s 10-year plan</w:t>
        </w:r>
      </w:hyperlink>
      <w:r w:rsidR="00E41E96" w:rsidRPr="00106005">
        <w:t>, Disability Employment Strategy, Closing the Gap employment targets.</w:t>
      </w:r>
    </w:p>
    <w:p w14:paraId="66801DA2" w14:textId="41B3F3A2" w:rsidR="00142243" w:rsidRPr="009E17F5" w:rsidRDefault="00142243" w:rsidP="00142243">
      <w:pPr>
        <w:pStyle w:val="ListParagraph"/>
        <w:numPr>
          <w:ilvl w:val="0"/>
          <w:numId w:val="14"/>
        </w:numPr>
      </w:pPr>
      <w:r>
        <w:t xml:space="preserve">Board membership </w:t>
      </w:r>
      <w:r w:rsidR="006323D8">
        <w:t xml:space="preserve">at Part 3 </w:t>
      </w:r>
      <w:r>
        <w:t>include at least one representative from the community sector, at least one representative for regional communities and at least one First Nations organisation leader, in addition to the Bill’s proposal for two people with expertise or experience in the trade union movement and two people in business industry, finance or investment. This will require a minimum seven Board members. Another two representatives could be from a range of fields. T</w:t>
      </w:r>
      <w:r w:rsidR="6D4E7CFC">
        <w:t xml:space="preserve">here should be </w:t>
      </w:r>
      <w:r w:rsidR="0A66860C">
        <w:t xml:space="preserve">diversity cross the Board, including </w:t>
      </w:r>
      <w:r w:rsidR="6D4E7CFC">
        <w:t>gender</w:t>
      </w:r>
      <w:r w:rsidR="733C3141">
        <w:t xml:space="preserve">, </w:t>
      </w:r>
      <w:r w:rsidR="22C14273">
        <w:t>socio-economic, age</w:t>
      </w:r>
      <w:r w:rsidR="6D4E7CFC">
        <w:t xml:space="preserve"> and cultural </w:t>
      </w:r>
      <w:r>
        <w:t>diversity.</w:t>
      </w:r>
    </w:p>
    <w:p w14:paraId="6D888589" w14:textId="49F399B6" w:rsidR="00DC6FBE" w:rsidRDefault="00DC6FBE" w:rsidP="00DC6FBE">
      <w:pPr>
        <w:pStyle w:val="ListParagraph"/>
        <w:numPr>
          <w:ilvl w:val="0"/>
          <w:numId w:val="14"/>
        </w:numPr>
      </w:pPr>
      <w:r>
        <w:t xml:space="preserve">The Stakeholder Panel include community and community sector representation, </w:t>
      </w:r>
      <w:r w:rsidR="00884F40" w:rsidRPr="0049627C">
        <w:t xml:space="preserve">including </w:t>
      </w:r>
      <w:r w:rsidR="00884F40">
        <w:t xml:space="preserve">First Nations People and </w:t>
      </w:r>
      <w:r w:rsidR="00884F40" w:rsidRPr="0049627C">
        <w:t>people with lived experience of disadvantage.</w:t>
      </w:r>
    </w:p>
    <w:p w14:paraId="2977B90E" w14:textId="77777777" w:rsidR="00DC6FBE" w:rsidRDefault="00DC6FBE" w:rsidP="00DC6FBE">
      <w:pPr>
        <w:pStyle w:val="ListParagraph"/>
        <w:numPr>
          <w:ilvl w:val="0"/>
          <w:numId w:val="14"/>
        </w:numPr>
      </w:pPr>
      <w:r>
        <w:t xml:space="preserve">Annual reporting </w:t>
      </w:r>
      <w:proofErr w:type="gramStart"/>
      <w:r>
        <w:t>include</w:t>
      </w:r>
      <w:proofErr w:type="gramEnd"/>
      <w:r>
        <w:t xml:space="preserve"> reporting against equity principles established for the Board and Authority.</w:t>
      </w:r>
    </w:p>
    <w:p w14:paraId="2F0CF2B9" w14:textId="77777777" w:rsidR="00161169" w:rsidRPr="00B203A3" w:rsidRDefault="00161169" w:rsidP="00161169">
      <w:pPr>
        <w:pStyle w:val="ListParagraph"/>
        <w:numPr>
          <w:ilvl w:val="0"/>
          <w:numId w:val="14"/>
        </w:numPr>
      </w:pPr>
      <w:r>
        <w:t xml:space="preserve">The Federal Government amend the </w:t>
      </w:r>
      <w:r w:rsidRPr="00161169">
        <w:rPr>
          <w:i/>
          <w:iCs/>
        </w:rPr>
        <w:t>Climate Change Act 2022</w:t>
      </w:r>
      <w:r>
        <w:t xml:space="preserve"> to insert fairness, equity and inclusion objectives, </w:t>
      </w:r>
      <w:proofErr w:type="gramStart"/>
      <w:r>
        <w:t>principles</w:t>
      </w:r>
      <w:proofErr w:type="gramEnd"/>
      <w:r>
        <w:t xml:space="preserve"> and processes, to guide policies, programs and process to ensure benefits are fairly shared, people’s lives are better and that no-one is left behind in the transformation.</w:t>
      </w:r>
    </w:p>
    <w:p w14:paraId="1031B4C8" w14:textId="77777777" w:rsidR="00861827" w:rsidRDefault="00861827" w:rsidP="00DC6FBE">
      <w:pPr>
        <w:pStyle w:val="List3"/>
        <w:ind w:left="0" w:firstLine="0"/>
      </w:pPr>
    </w:p>
    <w:p w14:paraId="5636AD06" w14:textId="0A77F5DE" w:rsidR="00AB1F5F" w:rsidRPr="00861827" w:rsidRDefault="00AB1F5F" w:rsidP="008C5862">
      <w:pPr>
        <w:pStyle w:val="Heading2"/>
      </w:pPr>
      <w:r>
        <w:t xml:space="preserve">Overview of the Bill </w:t>
      </w:r>
    </w:p>
    <w:p w14:paraId="6ED76592" w14:textId="71547323" w:rsidR="00B203A3" w:rsidRDefault="00B203A3" w:rsidP="00B203A3">
      <w:r>
        <w:t xml:space="preserve">The Federal Government </w:t>
      </w:r>
      <w:r w:rsidR="00552D86">
        <w:t>has</w:t>
      </w:r>
      <w:r>
        <w:t xml:space="preserve"> </w:t>
      </w:r>
      <w:r w:rsidR="00552D86">
        <w:t>introduced a Bill for an Act to</w:t>
      </w:r>
      <w:r>
        <w:t xml:space="preserve"> establish a Net Zero Economy Authority</w:t>
      </w:r>
      <w:r w:rsidR="00552D86">
        <w:t xml:space="preserve"> within six months</w:t>
      </w:r>
      <w:r w:rsidR="005A1726">
        <w:t xml:space="preserve">, to </w:t>
      </w:r>
      <w:r>
        <w:t>replac</w:t>
      </w:r>
      <w:r w:rsidR="005A1726">
        <w:t>e</w:t>
      </w:r>
      <w:r>
        <w:t xml:space="preserve"> the interim Net Zero Economy Agency</w:t>
      </w:r>
      <w:r w:rsidR="00552D86">
        <w:t>. Its purpose will be to</w:t>
      </w:r>
      <w:r>
        <w:t xml:space="preserve"> coordinate an orderly and positive economic transition to a net zero emissions economy. </w:t>
      </w:r>
      <w:r w:rsidR="004D63F2">
        <w:t>The Bill proposes t</w:t>
      </w:r>
      <w:r>
        <w:t>he Authority’s functions include:</w:t>
      </w:r>
    </w:p>
    <w:p w14:paraId="586095FD" w14:textId="69C32CB6" w:rsidR="00B203A3" w:rsidRDefault="00B203A3" w:rsidP="000833ED">
      <w:pPr>
        <w:pStyle w:val="ListParagraph"/>
        <w:keepNext w:val="0"/>
        <w:numPr>
          <w:ilvl w:val="0"/>
          <w:numId w:val="5"/>
        </w:numPr>
        <w:spacing w:before="0" w:after="160"/>
      </w:pPr>
      <w:r>
        <w:t xml:space="preserve">consulting and cooperating with people, organisations and governments to support Australia’s transition to a net zero emissions </w:t>
      </w:r>
      <w:proofErr w:type="gramStart"/>
      <w:r>
        <w:t>economy</w:t>
      </w:r>
      <w:proofErr w:type="gramEnd"/>
    </w:p>
    <w:p w14:paraId="0C66DFCF" w14:textId="7F972EC2" w:rsidR="00B203A3" w:rsidRDefault="00B203A3" w:rsidP="000833ED">
      <w:pPr>
        <w:pStyle w:val="ListParagraph"/>
        <w:keepNext w:val="0"/>
        <w:numPr>
          <w:ilvl w:val="0"/>
          <w:numId w:val="5"/>
        </w:numPr>
        <w:spacing w:before="0" w:after="160"/>
      </w:pPr>
      <w:r>
        <w:t>facilitating participation and investment in net zero transformation initiatives</w:t>
      </w:r>
    </w:p>
    <w:p w14:paraId="61A4B3F5" w14:textId="65E9D737" w:rsidR="00B203A3" w:rsidRDefault="00B203A3" w:rsidP="000833ED">
      <w:pPr>
        <w:pStyle w:val="ListParagraph"/>
        <w:keepNext w:val="0"/>
        <w:numPr>
          <w:ilvl w:val="0"/>
          <w:numId w:val="5"/>
        </w:numPr>
        <w:spacing w:before="0" w:after="160"/>
      </w:pPr>
      <w:r>
        <w:t xml:space="preserve">supporting workers in emissions-intensive industries to access new employment or improve their employment </w:t>
      </w:r>
      <w:proofErr w:type="gramStart"/>
      <w:r>
        <w:t>prospects</w:t>
      </w:r>
      <w:proofErr w:type="gramEnd"/>
    </w:p>
    <w:p w14:paraId="06989AD8" w14:textId="6006850F" w:rsidR="00B203A3" w:rsidRDefault="00B203A3" w:rsidP="000833ED">
      <w:pPr>
        <w:pStyle w:val="ListParagraph"/>
        <w:keepNext w:val="0"/>
        <w:numPr>
          <w:ilvl w:val="0"/>
          <w:numId w:val="5"/>
        </w:numPr>
        <w:spacing w:before="0" w:after="160"/>
      </w:pPr>
      <w:r>
        <w:t xml:space="preserve">supporting and delivering educational and promotional initiatives to communities to </w:t>
      </w:r>
      <w:r w:rsidR="00B91248">
        <w:t>aid</w:t>
      </w:r>
      <w:r>
        <w:t xml:space="preserve"> their understanding of and participation in the </w:t>
      </w:r>
      <w:r w:rsidR="00DE36B7">
        <w:t>transition</w:t>
      </w:r>
      <w:r>
        <w:t>.</w:t>
      </w:r>
    </w:p>
    <w:p w14:paraId="0F04D2F6" w14:textId="77777777" w:rsidR="004D63F2" w:rsidRDefault="004D63F2" w:rsidP="00B203A3">
      <w:r>
        <w:t>The Bill further proposes:</w:t>
      </w:r>
    </w:p>
    <w:p w14:paraId="277905F8" w14:textId="00C45F3E" w:rsidR="00B203A3" w:rsidRDefault="00B203A3" w:rsidP="000833ED">
      <w:pPr>
        <w:pStyle w:val="ListParagraph"/>
        <w:numPr>
          <w:ilvl w:val="0"/>
          <w:numId w:val="6"/>
        </w:numPr>
      </w:pPr>
      <w:r>
        <w:t>The Authority prioritise communities, regions, industries</w:t>
      </w:r>
      <w:r w:rsidR="001D0546">
        <w:t>,</w:t>
      </w:r>
      <w:r>
        <w:t xml:space="preserve"> and workers that are, or will be, significantly affected by Australia’s transition to a net zero emissions economy. </w:t>
      </w:r>
    </w:p>
    <w:p w14:paraId="68E6C918" w14:textId="4C1327F4" w:rsidR="00B203A3" w:rsidRDefault="00B203A3" w:rsidP="000833ED">
      <w:pPr>
        <w:pStyle w:val="ListParagraph"/>
        <w:numPr>
          <w:ilvl w:val="0"/>
          <w:numId w:val="6"/>
        </w:numPr>
      </w:pPr>
      <w:r>
        <w:t>The Authority’s CEO undertake</w:t>
      </w:r>
      <w:r w:rsidR="004D63F2">
        <w:t>s</w:t>
      </w:r>
      <w:r>
        <w:t xml:space="preserve"> a “community of interest” process to identify closing employers</w:t>
      </w:r>
      <w:r w:rsidR="00552D86">
        <w:rPr>
          <w:rStyle w:val="FootnoteReference"/>
        </w:rPr>
        <w:footnoteReference w:id="2"/>
      </w:r>
      <w:r>
        <w:t>, dependent employers</w:t>
      </w:r>
      <w:r w:rsidR="007624A0">
        <w:rPr>
          <w:rStyle w:val="FootnoteReference"/>
        </w:rPr>
        <w:footnoteReference w:id="3"/>
      </w:r>
      <w:r>
        <w:t xml:space="preserve"> and receiving employers.</w:t>
      </w:r>
    </w:p>
    <w:p w14:paraId="78BD7AED" w14:textId="27EB834C" w:rsidR="00B203A3" w:rsidRDefault="00B203A3" w:rsidP="000833ED">
      <w:pPr>
        <w:pStyle w:val="ListParagraph"/>
        <w:numPr>
          <w:ilvl w:val="0"/>
          <w:numId w:val="6"/>
        </w:numPr>
      </w:pPr>
      <w:r>
        <w:t xml:space="preserve">The Authority </w:t>
      </w:r>
      <w:r w:rsidR="004D63F2">
        <w:t>be</w:t>
      </w:r>
      <w:r>
        <w:t xml:space="preserve"> accountable to an independent Board of 5-9</w:t>
      </w:r>
      <w:r w:rsidR="005C70FC">
        <w:t xml:space="preserve"> members</w:t>
      </w:r>
      <w:r>
        <w:t xml:space="preserve"> appointed by the Minister (likely the Prime Minister) who may give it directions.</w:t>
      </w:r>
    </w:p>
    <w:p w14:paraId="1821D4CE" w14:textId="71494EF3" w:rsidR="00B203A3" w:rsidRDefault="00B203A3" w:rsidP="000833ED">
      <w:pPr>
        <w:pStyle w:val="ListParagraph"/>
        <w:numPr>
          <w:ilvl w:val="0"/>
          <w:numId w:val="6"/>
        </w:numPr>
      </w:pPr>
      <w:r>
        <w:t>The</w:t>
      </w:r>
      <w:r w:rsidR="004D63F2">
        <w:t xml:space="preserve"> Authority’s</w:t>
      </w:r>
      <w:r>
        <w:t xml:space="preserve"> Board establish a Stakeholder Panel with representatives from a range of fields to provide non-binding advice and information to the Board.</w:t>
      </w:r>
      <w:r w:rsidR="004D63F2">
        <w:t xml:space="preserve"> The Board will also provide an annual report of its activities to the relevant Minister.</w:t>
      </w:r>
    </w:p>
    <w:p w14:paraId="704CD4E1" w14:textId="587BCBC5" w:rsidR="00177642" w:rsidRPr="00177642" w:rsidRDefault="00177642" w:rsidP="005D3721">
      <w:pPr>
        <w:pStyle w:val="ListParagraph"/>
        <w:numPr>
          <w:ilvl w:val="0"/>
          <w:numId w:val="0"/>
        </w:numPr>
        <w:ind w:left="890"/>
      </w:pPr>
      <w:bookmarkStart w:id="0" w:name="_Hlk164182522"/>
      <w:bookmarkEnd w:id="0"/>
    </w:p>
    <w:p w14:paraId="0B712E56" w14:textId="0DBAB3AE" w:rsidR="00A76F5B" w:rsidRDefault="00A76F5B" w:rsidP="00C8598A">
      <w:pPr>
        <w:pStyle w:val="Heading1"/>
      </w:pPr>
      <w:r w:rsidRPr="00B07C04">
        <w:t>Discussion</w:t>
      </w:r>
    </w:p>
    <w:p w14:paraId="3EFDD6C1" w14:textId="65FC7DA4" w:rsidR="00D23DEF" w:rsidRDefault="00506B12" w:rsidP="00506B12">
      <w:pPr>
        <w:pStyle w:val="Heading2"/>
      </w:pPr>
      <w:r>
        <w:t xml:space="preserve">Expand the object of the Authority to </w:t>
      </w:r>
      <w:r w:rsidR="00600C92">
        <w:t xml:space="preserve">explicitly </w:t>
      </w:r>
      <w:r>
        <w:t>include</w:t>
      </w:r>
      <w:r w:rsidR="00600C92">
        <w:t>, equitable community benefit</w:t>
      </w:r>
      <w:r>
        <w:t xml:space="preserve"> </w:t>
      </w:r>
      <w:r w:rsidR="00600C92">
        <w:t>support,</w:t>
      </w:r>
      <w:r w:rsidR="00733E01">
        <w:t xml:space="preserve"> and </w:t>
      </w:r>
      <w:r w:rsidR="00600C92">
        <w:t xml:space="preserve">insert </w:t>
      </w:r>
      <w:r>
        <w:t xml:space="preserve">guiding </w:t>
      </w:r>
      <w:proofErr w:type="gramStart"/>
      <w:r>
        <w:t>principles</w:t>
      </w:r>
      <w:proofErr w:type="gramEnd"/>
    </w:p>
    <w:p w14:paraId="52AC2F44" w14:textId="2A9FAF39" w:rsidR="00506B12" w:rsidRDefault="00506B12" w:rsidP="00506B12">
      <w:r>
        <w:t xml:space="preserve">The Bill proposes an </w:t>
      </w:r>
      <w:r w:rsidRPr="00506B12">
        <w:rPr>
          <w:i/>
          <w:iCs/>
        </w:rPr>
        <w:t>object</w:t>
      </w:r>
      <w:r>
        <w:t xml:space="preserve"> for the Authority, </w:t>
      </w:r>
      <w:r w:rsidR="00733E01">
        <w:t>namely to</w:t>
      </w:r>
      <w:r>
        <w:t xml:space="preserve">: </w:t>
      </w:r>
    </w:p>
    <w:p w14:paraId="22F9B9E9" w14:textId="298F9FF8" w:rsidR="00506B12" w:rsidRDefault="00506B12" w:rsidP="000833ED">
      <w:pPr>
        <w:pStyle w:val="ListParagraph"/>
        <w:numPr>
          <w:ilvl w:val="0"/>
          <w:numId w:val="7"/>
        </w:numPr>
      </w:pPr>
      <w:r>
        <w:t xml:space="preserve">promote orderly and positive economic transformation as the world </w:t>
      </w:r>
      <w:proofErr w:type="gramStart"/>
      <w:r>
        <w:t>decarbonises</w:t>
      </w:r>
      <w:proofErr w:type="gramEnd"/>
      <w:r>
        <w:t xml:space="preserve"> </w:t>
      </w:r>
    </w:p>
    <w:p w14:paraId="1E57F294" w14:textId="439403A2" w:rsidR="00506B12" w:rsidRDefault="00506B12" w:rsidP="000833ED">
      <w:pPr>
        <w:pStyle w:val="ListParagraph"/>
        <w:numPr>
          <w:ilvl w:val="0"/>
          <w:numId w:val="7"/>
        </w:numPr>
      </w:pPr>
      <w:r>
        <w:t xml:space="preserve">facilitate the achievement of Australia’s greenhouse gas emissions reduction </w:t>
      </w:r>
      <w:proofErr w:type="gramStart"/>
      <w:r>
        <w:t>targets</w:t>
      </w:r>
      <w:proofErr w:type="gramEnd"/>
      <w:r>
        <w:t xml:space="preserve"> </w:t>
      </w:r>
    </w:p>
    <w:p w14:paraId="60775D69" w14:textId="08327BD0" w:rsidR="00506B12" w:rsidRDefault="00506B12" w:rsidP="000833ED">
      <w:pPr>
        <w:pStyle w:val="ListParagraph"/>
        <w:numPr>
          <w:ilvl w:val="0"/>
          <w:numId w:val="7"/>
        </w:numPr>
      </w:pPr>
      <w:r>
        <w:t>ensure Australia’s regions and workers are supported in relation to, and benefit from, Australia’s transition to a net zero emissions economy.</w:t>
      </w:r>
    </w:p>
    <w:p w14:paraId="30609E37" w14:textId="77777777" w:rsidR="001D1206" w:rsidRDefault="00506B12" w:rsidP="00506B12">
      <w:r>
        <w:t xml:space="preserve">ACOSS supports this object with some amendments. </w:t>
      </w:r>
    </w:p>
    <w:p w14:paraId="60DBE865" w14:textId="6BB1CB91" w:rsidR="009A5464" w:rsidRDefault="001D1206" w:rsidP="00BC260D">
      <w:r>
        <w:t xml:space="preserve">With regards to </w:t>
      </w:r>
      <w:r w:rsidR="244D0841">
        <w:t>objective</w:t>
      </w:r>
      <w:r>
        <w:t xml:space="preserve"> a), </w:t>
      </w:r>
      <w:r w:rsidR="00F729DD">
        <w:t>the</w:t>
      </w:r>
      <w:r>
        <w:t xml:space="preserve"> object of the Authority should go beyond promoting </w:t>
      </w:r>
      <w:r w:rsidR="5866C87D">
        <w:t>‘</w:t>
      </w:r>
      <w:r>
        <w:t xml:space="preserve">orderly and positive </w:t>
      </w:r>
      <w:r w:rsidRPr="00BC260D">
        <w:t>economic</w:t>
      </w:r>
      <w:r w:rsidRPr="5E47F716">
        <w:t xml:space="preserve"> transformation</w:t>
      </w:r>
      <w:r w:rsidR="523BF7A1">
        <w:t>’</w:t>
      </w:r>
      <w:r>
        <w:t xml:space="preserve">. </w:t>
      </w:r>
      <w:r w:rsidR="0B8F4F6F">
        <w:t xml:space="preserve">This objective should be expanded to include reference to </w:t>
      </w:r>
      <w:r w:rsidR="008639BA">
        <w:t>‘</w:t>
      </w:r>
      <w:r w:rsidR="0B8F4F6F">
        <w:t xml:space="preserve">fair, equitable and </w:t>
      </w:r>
      <w:r w:rsidR="52AB7BF2">
        <w:t>inclusive</w:t>
      </w:r>
      <w:r w:rsidR="008639BA">
        <w:t>’</w:t>
      </w:r>
      <w:r w:rsidR="0B8F4F6F">
        <w:t xml:space="preserve"> </w:t>
      </w:r>
      <w:r w:rsidR="23DB7ABD">
        <w:t xml:space="preserve">transformation. </w:t>
      </w:r>
      <w:r w:rsidR="081732C2">
        <w:t>Add</w:t>
      </w:r>
      <w:r w:rsidR="36E6B8C4">
        <w:t>ing</w:t>
      </w:r>
      <w:r w:rsidR="081732C2">
        <w:t xml:space="preserve"> these words to the objective would ensure that all people within impacted communities</w:t>
      </w:r>
      <w:r w:rsidR="74A4074E">
        <w:t>, including those experiencing disadvantage,</w:t>
      </w:r>
      <w:r w:rsidR="081732C2">
        <w:t xml:space="preserve"> </w:t>
      </w:r>
      <w:r w:rsidR="3C1786C0">
        <w:t xml:space="preserve">participate in and </w:t>
      </w:r>
      <w:r w:rsidR="081732C2">
        <w:t xml:space="preserve">benefit from the transition. This will help with social license for the transition </w:t>
      </w:r>
      <w:r w:rsidR="5D248589">
        <w:t xml:space="preserve">and ensure no-one is left </w:t>
      </w:r>
      <w:r w:rsidR="69C2FC7C">
        <w:t>behind</w:t>
      </w:r>
      <w:r w:rsidR="5D248589">
        <w:t>.</w:t>
      </w:r>
    </w:p>
    <w:p w14:paraId="381113E2" w14:textId="70F1D10B" w:rsidR="009A5464" w:rsidRDefault="45B733C9" w:rsidP="00BC260D">
      <w:r>
        <w:t>Adherence to th</w:t>
      </w:r>
      <w:r w:rsidR="24417B4F">
        <w:t>is expanded objective</w:t>
      </w:r>
      <w:r>
        <w:t xml:space="preserve"> could be met through</w:t>
      </w:r>
      <w:r w:rsidR="6FF6D96F">
        <w:t xml:space="preserve"> establishing </w:t>
      </w:r>
      <w:r w:rsidR="5223D5A8">
        <w:t xml:space="preserve">inclusive dedicated and place-based engagement mechanisms for affected people and </w:t>
      </w:r>
      <w:r>
        <w:t>the promotion of social protection measures (</w:t>
      </w:r>
      <w:proofErr w:type="gramStart"/>
      <w:r>
        <w:t>e.g.</w:t>
      </w:r>
      <w:proofErr w:type="gramEnd"/>
      <w:r>
        <w:t xml:space="preserve"> adequate income supports, active labour market policies, access to health services, among others) and environmental protection measures.</w:t>
      </w:r>
    </w:p>
    <w:p w14:paraId="3690B206" w14:textId="2257FE18" w:rsidR="005A7C59" w:rsidRPr="005A7C59" w:rsidRDefault="00997CF8" w:rsidP="00BC260D">
      <w:r>
        <w:t xml:space="preserve">With regards to </w:t>
      </w:r>
      <w:r w:rsidR="75BDE90E">
        <w:t>objective</w:t>
      </w:r>
      <w:r>
        <w:t xml:space="preserve"> b), </w:t>
      </w:r>
      <w:r w:rsidR="18390434">
        <w:t xml:space="preserve">ACOSs recommends reference to the Paris </w:t>
      </w:r>
      <w:r w:rsidR="00BC260D">
        <w:t xml:space="preserve">Agreement </w:t>
      </w:r>
      <w:r w:rsidR="18390434">
        <w:t>goal</w:t>
      </w:r>
      <w:r w:rsidR="00BC260D">
        <w:t xml:space="preserve"> to</w:t>
      </w:r>
      <w:r w:rsidR="18390434">
        <w:t xml:space="preserve"> </w:t>
      </w:r>
      <w:r w:rsidR="520B655C">
        <w:t>limit global warming to well below 2°C above pre-industrial levels and pursue efforts to limit warming to 1.5°C,</w:t>
      </w:r>
      <w:r w:rsidR="18390434">
        <w:t xml:space="preserve"> be in</w:t>
      </w:r>
      <w:r w:rsidR="00BC260D">
        <w:t>cl</w:t>
      </w:r>
      <w:r w:rsidR="18390434">
        <w:t>uded</w:t>
      </w:r>
      <w:r w:rsidR="00BC260D">
        <w:t>.</w:t>
      </w:r>
    </w:p>
    <w:p w14:paraId="62E7F065" w14:textId="2EC132D0" w:rsidR="00733E01" w:rsidRDefault="005A7C59" w:rsidP="00506B12">
      <w:r>
        <w:t>With regards to point</w:t>
      </w:r>
      <w:r w:rsidR="00506B12">
        <w:t xml:space="preserve"> c)</w:t>
      </w:r>
      <w:r>
        <w:t xml:space="preserve">, ACOSS supports the Authority working to ensure Australia’s regions and workers benefit from Australia’s transition to a net zero emissions economy. This support should be extended to people in affected regions experiencing </w:t>
      </w:r>
      <w:r w:rsidR="006E6788">
        <w:t>precarious employment and barriers to entry into</w:t>
      </w:r>
      <w:r>
        <w:t xml:space="preserve"> employment.</w:t>
      </w:r>
      <w:r w:rsidR="00E77E88">
        <w:t xml:space="preserve"> </w:t>
      </w:r>
    </w:p>
    <w:p w14:paraId="3ACDEDD9" w14:textId="41DB2B14" w:rsidR="16A5A75F" w:rsidRDefault="16A5A75F" w:rsidP="5E47F716">
      <w:r>
        <w:t>Further</w:t>
      </w:r>
      <w:r w:rsidR="00DA54AA">
        <w:t>,</w:t>
      </w:r>
      <w:r>
        <w:t xml:space="preserve"> this object should promote </w:t>
      </w:r>
      <w:r w:rsidR="00017614">
        <w:t>‘</w:t>
      </w:r>
      <w:r>
        <w:t>equitable community benefit</w:t>
      </w:r>
      <w:r w:rsidR="00017614">
        <w:t>’</w:t>
      </w:r>
      <w:r w:rsidR="708E06E4">
        <w:t>. For example, t</w:t>
      </w:r>
      <w:r w:rsidR="418122CB">
        <w:t xml:space="preserve">he financial investment associated with regional transition should be conditional on there also being equitable </w:t>
      </w:r>
      <w:r w:rsidR="00017614">
        <w:t>c</w:t>
      </w:r>
      <w:r w:rsidR="418122CB">
        <w:t>ommunity benefit, where substantial investment is directed to promoting positive social, cultural, and environmental outcomes for affected communities. This is one of the recommendations of the Dyer Report</w:t>
      </w:r>
      <w:r w:rsidRPr="5E47F716">
        <w:rPr>
          <w:rStyle w:val="FootnoteReference"/>
        </w:rPr>
        <w:footnoteReference w:id="4"/>
      </w:r>
      <w:r w:rsidR="418122CB">
        <w:t xml:space="preserve">, which states that </w:t>
      </w:r>
      <w:r w:rsidR="00DA54AA">
        <w:t>the G</w:t>
      </w:r>
      <w:r w:rsidR="418122CB">
        <w:t>overnment needs to equitably share the benefits of the transition to net zero emissions with community members to</w:t>
      </w:r>
      <w:r w:rsidR="418122CB" w:rsidRPr="5E47F716">
        <w:rPr>
          <w:rFonts w:ascii="Open Sans" w:hAnsi="Open Sans" w:cs="Open Sans"/>
          <w:color w:val="000000" w:themeColor="text1"/>
        </w:rPr>
        <w:t xml:space="preserve"> </w:t>
      </w:r>
      <w:r w:rsidR="418122CB">
        <w:t xml:space="preserve">improve their engagement with renewable energy infrastructure developments. </w:t>
      </w:r>
    </w:p>
    <w:p w14:paraId="638A69B9" w14:textId="111CB6ED" w:rsidR="418122CB" w:rsidRDefault="418122CB">
      <w:r>
        <w:t xml:space="preserve">Certainly, </w:t>
      </w:r>
      <w:r w:rsidR="00EC7BBA">
        <w:t xml:space="preserve">the </w:t>
      </w:r>
      <w:r>
        <w:t>regional communities and advocates ACOSS has consulted with have shared similar concerns to those raised in Andrew Dyer’s Community Engagement Review. Communities want to see benefits from the transition like: improved regional and local infrastructure; improved regional and local electricity networks; new business and economic development opportunities; expanded accommodation and housing; environmental benefits; new agricultural innovation opportunities; and specific employment, business and investment opportunities for First Nations People and communities.</w:t>
      </w:r>
      <w:r w:rsidRPr="5E47F716">
        <w:rPr>
          <w:rStyle w:val="FootnoteReference"/>
        </w:rPr>
        <w:footnoteReference w:id="5"/>
      </w:r>
      <w:r>
        <w:t xml:space="preserve"> ACOSS recommends the legislation expand the object for the Authority to include promotion of equitable community benefit.</w:t>
      </w:r>
    </w:p>
    <w:p w14:paraId="479BA36C" w14:textId="71A2206C" w:rsidR="000A3724" w:rsidRPr="00B07C04" w:rsidRDefault="000A3724" w:rsidP="00A62140">
      <w:pPr>
        <w:pStyle w:val="Recommendation"/>
      </w:pPr>
      <w:r w:rsidRPr="00B07C04">
        <w:t xml:space="preserve">Recommendation </w:t>
      </w:r>
      <w:r>
        <w:t>1</w:t>
      </w:r>
    </w:p>
    <w:p w14:paraId="38AA7977" w14:textId="67BBC3D7" w:rsidR="000A3724" w:rsidRDefault="000A3724" w:rsidP="00506B12">
      <w:bookmarkStart w:id="1" w:name="_Hlk164181809"/>
      <w:r>
        <w:t>The object of the Authority be expanded to include:</w:t>
      </w:r>
    </w:p>
    <w:p w14:paraId="7F9A4D58" w14:textId="6F443B7D" w:rsidR="191175FA" w:rsidRDefault="191175FA" w:rsidP="00DA54AA">
      <w:pPr>
        <w:pStyle w:val="ListParagraph"/>
        <w:numPr>
          <w:ilvl w:val="0"/>
          <w:numId w:val="17"/>
        </w:numPr>
      </w:pPr>
      <w:r>
        <w:t xml:space="preserve">At a) </w:t>
      </w:r>
      <w:r w:rsidR="50C437C6">
        <w:t xml:space="preserve">promote a </w:t>
      </w:r>
      <w:r>
        <w:t xml:space="preserve">fair, equitable and inclusive </w:t>
      </w:r>
      <w:proofErr w:type="gramStart"/>
      <w:r>
        <w:t>transformation</w:t>
      </w:r>
      <w:proofErr w:type="gramEnd"/>
      <w:r>
        <w:t xml:space="preserve"> </w:t>
      </w:r>
    </w:p>
    <w:p w14:paraId="5FE0C2F4" w14:textId="6020D69F" w:rsidR="191175FA" w:rsidRDefault="191175FA" w:rsidP="00DA54AA">
      <w:pPr>
        <w:pStyle w:val="ListParagraph"/>
        <w:numPr>
          <w:ilvl w:val="0"/>
          <w:numId w:val="17"/>
        </w:numPr>
      </w:pPr>
      <w:r>
        <w:t xml:space="preserve">At b) a reference to the Paris goal </w:t>
      </w:r>
      <w:r w:rsidR="7F09D2F8">
        <w:t>to limit global warming to well below 2°C above pre-industrial levels, and pursue efforts to limit warming to 1.5°C.</w:t>
      </w:r>
    </w:p>
    <w:p w14:paraId="776212F0" w14:textId="308B459B" w:rsidR="7F09D2F8" w:rsidRDefault="7F09D2F8" w:rsidP="00DA54AA">
      <w:pPr>
        <w:pStyle w:val="ListParagraph"/>
        <w:numPr>
          <w:ilvl w:val="0"/>
          <w:numId w:val="17"/>
        </w:numPr>
      </w:pPr>
      <w:r>
        <w:t xml:space="preserve">At c) </w:t>
      </w:r>
      <w:r w:rsidR="56FECFFE">
        <w:t>insert reference to ‘communities’ and ‘equitably’ benefit from</w:t>
      </w:r>
      <w:r w:rsidR="00007ED5">
        <w:t xml:space="preserve"> Australia’s transition to a net zero economy.</w:t>
      </w:r>
    </w:p>
    <w:bookmarkEnd w:id="1"/>
    <w:p w14:paraId="13EE54E5" w14:textId="1E3CC4C0" w:rsidR="00733E01" w:rsidRDefault="00E17619" w:rsidP="00733E01">
      <w:pPr>
        <w:pStyle w:val="Heading2"/>
      </w:pPr>
      <w:r>
        <w:t xml:space="preserve">Broaden the </w:t>
      </w:r>
      <w:r w:rsidR="00B94841">
        <w:t xml:space="preserve">Authority’s </w:t>
      </w:r>
      <w:r>
        <w:t xml:space="preserve">functions to support </w:t>
      </w:r>
      <w:r w:rsidR="000A3724">
        <w:t xml:space="preserve">affected communities </w:t>
      </w:r>
      <w:r>
        <w:t xml:space="preserve">to participate in </w:t>
      </w:r>
      <w:r w:rsidR="00527B7B">
        <w:t xml:space="preserve">the </w:t>
      </w:r>
      <w:r>
        <w:t>transition</w:t>
      </w:r>
      <w:r w:rsidR="000A3724">
        <w:t xml:space="preserve"> and equitably benefit, prioritising people experiencing </w:t>
      </w:r>
      <w:proofErr w:type="gramStart"/>
      <w:r w:rsidR="000A3724">
        <w:t>disadvantage</w:t>
      </w:r>
      <w:proofErr w:type="gramEnd"/>
    </w:p>
    <w:p w14:paraId="7B3B9514" w14:textId="208725C5" w:rsidR="00950D9E" w:rsidRDefault="00950D9E" w:rsidP="00950D9E">
      <w:r>
        <w:t>The Bill proposes the Authority’s proposed primary functions will be</w:t>
      </w:r>
      <w:r w:rsidR="006E6788">
        <w:t xml:space="preserve"> to</w:t>
      </w:r>
      <w:r>
        <w:t>:</w:t>
      </w:r>
    </w:p>
    <w:p w14:paraId="37D30C63" w14:textId="2757A28A" w:rsidR="00950D9E" w:rsidRDefault="00950D9E" w:rsidP="000833ED">
      <w:pPr>
        <w:pStyle w:val="ListParagraph"/>
        <w:keepNext w:val="0"/>
        <w:numPr>
          <w:ilvl w:val="0"/>
          <w:numId w:val="8"/>
        </w:numPr>
        <w:spacing w:before="0" w:after="160"/>
      </w:pPr>
      <w:r>
        <w:t xml:space="preserve">coordinate the design and implementation of government policies, </w:t>
      </w:r>
      <w:proofErr w:type="gramStart"/>
      <w:r>
        <w:t>programs</w:t>
      </w:r>
      <w:proofErr w:type="gramEnd"/>
      <w:r>
        <w:t xml:space="preserve"> and plans </w:t>
      </w:r>
      <w:r w:rsidR="00B07417">
        <w:t xml:space="preserve">in </w:t>
      </w:r>
      <w:r>
        <w:t>relation to the transition to a net zero emissions economy, consult with relevant people, organisations and government and report and advise the Minister.</w:t>
      </w:r>
    </w:p>
    <w:p w14:paraId="368F1000" w14:textId="77777777" w:rsidR="00950D9E" w:rsidRDefault="00950D9E" w:rsidP="000833ED">
      <w:pPr>
        <w:pStyle w:val="ListParagraph"/>
        <w:keepNext w:val="0"/>
        <w:numPr>
          <w:ilvl w:val="0"/>
          <w:numId w:val="8"/>
        </w:numPr>
        <w:spacing w:before="0" w:after="160"/>
      </w:pPr>
      <w:r>
        <w:t xml:space="preserve">facilitate public and private sector participation and investment in greenhouse gas emissions reduction and net zero transformation </w:t>
      </w:r>
      <w:proofErr w:type="gramStart"/>
      <w:r>
        <w:t>initiatives</w:t>
      </w:r>
      <w:proofErr w:type="gramEnd"/>
      <w:r>
        <w:t xml:space="preserve"> </w:t>
      </w:r>
    </w:p>
    <w:p w14:paraId="2965A844" w14:textId="55B79502" w:rsidR="00950D9E" w:rsidRDefault="00950D9E" w:rsidP="000833ED">
      <w:pPr>
        <w:pStyle w:val="ListParagraph"/>
        <w:keepNext w:val="0"/>
        <w:numPr>
          <w:ilvl w:val="0"/>
          <w:numId w:val="8"/>
        </w:numPr>
        <w:spacing w:before="0" w:after="160"/>
      </w:pPr>
      <w:r>
        <w:t xml:space="preserve">support emissions-intensive industries affected by the transition to a net zero emissions </w:t>
      </w:r>
      <w:proofErr w:type="gramStart"/>
      <w:r>
        <w:t>economy</w:t>
      </w:r>
      <w:proofErr w:type="gramEnd"/>
    </w:p>
    <w:p w14:paraId="3BF5117E" w14:textId="77777777" w:rsidR="00950D9E" w:rsidRDefault="00950D9E" w:rsidP="000833ED">
      <w:pPr>
        <w:pStyle w:val="ListParagraph"/>
        <w:keepNext w:val="0"/>
        <w:numPr>
          <w:ilvl w:val="0"/>
          <w:numId w:val="8"/>
        </w:numPr>
        <w:spacing w:before="0" w:after="160"/>
      </w:pPr>
      <w:r>
        <w:t xml:space="preserve">support Indigenous persons to participate in, and benefit from, Australia’s transition to a net zero emissions </w:t>
      </w:r>
      <w:proofErr w:type="gramStart"/>
      <w:r>
        <w:t>economy</w:t>
      </w:r>
      <w:proofErr w:type="gramEnd"/>
    </w:p>
    <w:p w14:paraId="43ACF1FB" w14:textId="77777777" w:rsidR="00950D9E" w:rsidRDefault="00950D9E" w:rsidP="000833ED">
      <w:pPr>
        <w:pStyle w:val="ListParagraph"/>
        <w:keepNext w:val="0"/>
        <w:numPr>
          <w:ilvl w:val="0"/>
          <w:numId w:val="8"/>
        </w:numPr>
        <w:spacing w:before="0" w:after="160"/>
      </w:pPr>
      <w:r>
        <w:t>encourage, support, develop and deliver educational and promotional initiatives to affected communities for the purpose of promoting understanding of and participation in the transition</w:t>
      </w:r>
      <w:r w:rsidRPr="00745412">
        <w:t xml:space="preserve"> </w:t>
      </w:r>
      <w:r>
        <w:t xml:space="preserve">to a net zero emissions </w:t>
      </w:r>
      <w:proofErr w:type="gramStart"/>
      <w:r>
        <w:t>economy</w:t>
      </w:r>
      <w:proofErr w:type="gramEnd"/>
    </w:p>
    <w:p w14:paraId="5CCBF08A" w14:textId="5A150038" w:rsidR="00950D9E" w:rsidRDefault="006E6788" w:rsidP="000833ED">
      <w:pPr>
        <w:pStyle w:val="ListParagraph"/>
        <w:keepNext w:val="0"/>
        <w:numPr>
          <w:ilvl w:val="0"/>
          <w:numId w:val="8"/>
        </w:numPr>
        <w:spacing w:before="0" w:after="160"/>
      </w:pPr>
      <w:r>
        <w:t xml:space="preserve">provide </w:t>
      </w:r>
      <w:r w:rsidR="00950D9E">
        <w:t xml:space="preserve">any other functions conferred on the Authority by this Act or any other law of the </w:t>
      </w:r>
      <w:proofErr w:type="gramStart"/>
      <w:r w:rsidR="00950D9E">
        <w:t>Commonwealth</w:t>
      </w:r>
      <w:proofErr w:type="gramEnd"/>
    </w:p>
    <w:p w14:paraId="16D7CD7B" w14:textId="57E63B6E" w:rsidR="00950D9E" w:rsidRDefault="00950D9E" w:rsidP="000833ED">
      <w:pPr>
        <w:pStyle w:val="ListParagraph"/>
        <w:keepNext w:val="0"/>
        <w:numPr>
          <w:ilvl w:val="0"/>
          <w:numId w:val="8"/>
        </w:numPr>
        <w:spacing w:before="0" w:after="160"/>
      </w:pPr>
      <w:r>
        <w:t>to do anything incidental or conducive to the performance of the above functions.</w:t>
      </w:r>
    </w:p>
    <w:p w14:paraId="2806C823" w14:textId="4C63DA10" w:rsidR="001E1599" w:rsidRDefault="00F9505F" w:rsidP="001E1599">
      <w:r>
        <w:t>With regards to point a), w</w:t>
      </w:r>
      <w:r w:rsidR="00950D9E">
        <w:t>e note that the</w:t>
      </w:r>
      <w:r w:rsidR="003F7457">
        <w:t xml:space="preserve"> transformation</w:t>
      </w:r>
      <w:r w:rsidR="00950D9E">
        <w:t xml:space="preserve"> is a significant undertaking, requiring coordination across all levels of government, across portfolios, and with public and private entities over a </w:t>
      </w:r>
      <w:proofErr w:type="gramStart"/>
      <w:r w:rsidR="00950D9E">
        <w:t>long time</w:t>
      </w:r>
      <w:proofErr w:type="gramEnd"/>
      <w:r w:rsidR="009C020D">
        <w:t xml:space="preserve"> </w:t>
      </w:r>
      <w:r w:rsidR="00950D9E">
        <w:t xml:space="preserve">span. The Authority </w:t>
      </w:r>
      <w:r>
        <w:t>will need sufficient</w:t>
      </w:r>
      <w:r w:rsidR="00950D9E">
        <w:t xml:space="preserve"> staff</w:t>
      </w:r>
      <w:r w:rsidR="00E77E88">
        <w:t xml:space="preserve">, </w:t>
      </w:r>
      <w:proofErr w:type="gramStart"/>
      <w:r w:rsidR="00E77E88">
        <w:t>resources</w:t>
      </w:r>
      <w:proofErr w:type="gramEnd"/>
      <w:r w:rsidR="00950D9E">
        <w:t xml:space="preserve"> and </w:t>
      </w:r>
      <w:r>
        <w:t xml:space="preserve">designated </w:t>
      </w:r>
      <w:r w:rsidR="00950D9E">
        <w:t xml:space="preserve">authority </w:t>
      </w:r>
      <w:r w:rsidR="00E77E88">
        <w:t xml:space="preserve">over the long term </w:t>
      </w:r>
      <w:r w:rsidR="00950D9E">
        <w:t xml:space="preserve">to </w:t>
      </w:r>
      <w:r>
        <w:t xml:space="preserve">coordinate policies and activities of these entities </w:t>
      </w:r>
      <w:r w:rsidR="00950D9E">
        <w:t>to ensure a smooth and well managed transition</w:t>
      </w:r>
      <w:r w:rsidR="003F7457">
        <w:t xml:space="preserve"> to net zero</w:t>
      </w:r>
      <w:r w:rsidR="002F5D6E">
        <w:t xml:space="preserve">. </w:t>
      </w:r>
      <w:r w:rsidR="00B729E6">
        <w:t>Therefore</w:t>
      </w:r>
      <w:r w:rsidR="007A49C5">
        <w:t xml:space="preserve">, we </w:t>
      </w:r>
      <w:r w:rsidR="00812A3F">
        <w:t xml:space="preserve">consider the </w:t>
      </w:r>
      <w:r w:rsidR="0A0BD35A">
        <w:t>Authority</w:t>
      </w:r>
      <w:r w:rsidR="00812A3F">
        <w:t xml:space="preserve"> should be required </w:t>
      </w:r>
      <w:r w:rsidR="00B729E6">
        <w:t xml:space="preserve">under its functions </w:t>
      </w:r>
      <w:r w:rsidR="00812A3F">
        <w:t>to develop an annual workpla</w:t>
      </w:r>
      <w:r w:rsidR="007A49C5">
        <w:t>n</w:t>
      </w:r>
      <w:r w:rsidR="001E1599">
        <w:t>.</w:t>
      </w:r>
      <w:r w:rsidR="00B729E6">
        <w:t xml:space="preserve"> Further, the Authority should </w:t>
      </w:r>
      <w:r w:rsidR="00AD34EE">
        <w:t xml:space="preserve">be allocated </w:t>
      </w:r>
      <w:r w:rsidR="00E66893">
        <w:t>a long</w:t>
      </w:r>
      <w:r w:rsidR="00D93D1F">
        <w:t>-</w:t>
      </w:r>
      <w:r w:rsidR="00E66893">
        <w:t xml:space="preserve">term </w:t>
      </w:r>
      <w:r w:rsidR="00A6358C">
        <w:t xml:space="preserve">minimum </w:t>
      </w:r>
      <w:r w:rsidR="00E66893">
        <w:t>budget (</w:t>
      </w:r>
      <w:proofErr w:type="gramStart"/>
      <w:r w:rsidR="00E66893">
        <w:t>e.g.</w:t>
      </w:r>
      <w:proofErr w:type="gramEnd"/>
      <w:r w:rsidR="00E66893">
        <w:t xml:space="preserve"> </w:t>
      </w:r>
      <w:r w:rsidR="00A6358C">
        <w:t xml:space="preserve">for </w:t>
      </w:r>
      <w:r w:rsidR="00E66893">
        <w:t xml:space="preserve">10 years) to ensure stability </w:t>
      </w:r>
      <w:r w:rsidR="00D93D1F">
        <w:t xml:space="preserve">for </w:t>
      </w:r>
      <w:r w:rsidR="00E143BD">
        <w:t xml:space="preserve">effective </w:t>
      </w:r>
      <w:r w:rsidR="00D93D1F">
        <w:t>long-term planning.</w:t>
      </w:r>
      <w:r w:rsidR="00F574F8">
        <w:t xml:space="preserve"> We also consider that the </w:t>
      </w:r>
      <w:r w:rsidR="003F7457">
        <w:t>Authority</w:t>
      </w:r>
      <w:r w:rsidR="006F5B04">
        <w:t xml:space="preserve">’s work should undergo a review </w:t>
      </w:r>
      <w:r w:rsidR="007A49C5">
        <w:t>every 3-5 years</w:t>
      </w:r>
      <w:r w:rsidR="006F5B04">
        <w:t xml:space="preserve"> to improve performance</w:t>
      </w:r>
      <w:r w:rsidR="00BD6D3E">
        <w:t>.</w:t>
      </w:r>
      <w:r w:rsidR="001E1599">
        <w:t xml:space="preserve"> </w:t>
      </w:r>
    </w:p>
    <w:p w14:paraId="25333FBA" w14:textId="3682D1B0" w:rsidR="00527B7B" w:rsidRDefault="00527B7B" w:rsidP="00F9505F">
      <w:r>
        <w:t xml:space="preserve">With regards to point b), as indicted in the previous section, </w:t>
      </w:r>
      <w:r w:rsidRPr="000A3724">
        <w:t>ACOSS recommends that investment ensure that benefits of the transition are equitably shared with community members.</w:t>
      </w:r>
    </w:p>
    <w:p w14:paraId="4203F003" w14:textId="6467B4D5" w:rsidR="00316EA5" w:rsidRDefault="00527B7B" w:rsidP="00316EA5">
      <w:r>
        <w:t xml:space="preserve">With regards to point c), </w:t>
      </w:r>
      <w:r w:rsidR="00316EA5">
        <w:t>ACOSS agrees with the Authority supporting emissions-intensive industries affected by the transition to a net zero emissions economy.</w:t>
      </w:r>
      <w:r w:rsidR="006E6788">
        <w:t xml:space="preserve"> </w:t>
      </w:r>
      <w:r w:rsidR="00FD463D">
        <w:t xml:space="preserve">In addition, the Authority should look beyond these industries to support economic diversification of regional economies through the transformation. </w:t>
      </w:r>
      <w:r w:rsidR="006D7A34">
        <w:t>This should include</w:t>
      </w:r>
      <w:r w:rsidR="006E6788">
        <w:t xml:space="preserve"> promot</w:t>
      </w:r>
      <w:r w:rsidR="006D7A34">
        <w:t>ion of</w:t>
      </w:r>
      <w:r w:rsidR="006E6788">
        <w:t xml:space="preserve"> employment strategies </w:t>
      </w:r>
      <w:r w:rsidR="006D7A34">
        <w:t>to</w:t>
      </w:r>
      <w:r w:rsidR="006E6788">
        <w:t xml:space="preserve"> support workers in precarious employment and people experiencing barriers to entering the workforce.</w:t>
      </w:r>
    </w:p>
    <w:p w14:paraId="00F96E92" w14:textId="00C2B74A" w:rsidR="00F9505F" w:rsidRDefault="00F9505F" w:rsidP="00F9505F">
      <w:r>
        <w:t xml:space="preserve">With regards to point d), ACOSS strongly supports the partnership of the Authority with </w:t>
      </w:r>
      <w:r w:rsidR="00C9633B">
        <w:t>First Nations People</w:t>
      </w:r>
      <w:r>
        <w:t xml:space="preserve"> to ensure the benefits of the </w:t>
      </w:r>
      <w:r w:rsidR="007023A1">
        <w:t>economic</w:t>
      </w:r>
      <w:r>
        <w:t xml:space="preserve"> </w:t>
      </w:r>
      <w:r w:rsidR="007023A1">
        <w:t>transformation</w:t>
      </w:r>
      <w:r>
        <w:t xml:space="preserve"> are shared equitably. </w:t>
      </w:r>
      <w:r w:rsidR="00B43B3D">
        <w:t xml:space="preserve">This recognises the </w:t>
      </w:r>
      <w:r>
        <w:t xml:space="preserve">significant gaps </w:t>
      </w:r>
      <w:r w:rsidR="006E6788">
        <w:t>across</w:t>
      </w:r>
      <w:r>
        <w:t xml:space="preserve"> a range of outcomes between </w:t>
      </w:r>
      <w:r w:rsidR="00AB3591">
        <w:t xml:space="preserve">First Nations </w:t>
      </w:r>
      <w:r>
        <w:t xml:space="preserve">and non-Indigenous </w:t>
      </w:r>
      <w:r w:rsidR="00BB6D13">
        <w:t>p</w:t>
      </w:r>
      <w:r>
        <w:t>eople</w:t>
      </w:r>
      <w:r w:rsidR="00B43B3D">
        <w:t xml:space="preserve"> and</w:t>
      </w:r>
      <w:r>
        <w:t xml:space="preserve"> the deep knowledge </w:t>
      </w:r>
      <w:r w:rsidR="00BB6D13">
        <w:t xml:space="preserve">that </w:t>
      </w:r>
      <w:r w:rsidR="00C9633B">
        <w:t>First Nations People</w:t>
      </w:r>
      <w:r>
        <w:t xml:space="preserve"> have about caring for Country</w:t>
      </w:r>
      <w:r w:rsidR="00BB6D13">
        <w:t>,</w:t>
      </w:r>
      <w:r>
        <w:t xml:space="preserve"> that can inform the transition</w:t>
      </w:r>
      <w:r w:rsidR="00AA30DE">
        <w:t xml:space="preserve"> to net zero</w:t>
      </w:r>
      <w:r w:rsidR="003C1597">
        <w:t>. It also acknowledges</w:t>
      </w:r>
      <w:r>
        <w:t xml:space="preserve"> both economic opportunities and cultural risks posed by the transition for </w:t>
      </w:r>
      <w:r w:rsidR="00C9633B">
        <w:t>First Nations People</w:t>
      </w:r>
      <w:r>
        <w:t xml:space="preserve"> as rights holders to land and water, business leaders, community representatives and employees.</w:t>
      </w:r>
    </w:p>
    <w:p w14:paraId="41B612BB" w14:textId="25CC5CA0" w:rsidR="00F9505F" w:rsidRDefault="00F9505F" w:rsidP="00F9505F">
      <w:r w:rsidRPr="000A3724">
        <w:t xml:space="preserve">We </w:t>
      </w:r>
      <w:r w:rsidR="008B0355">
        <w:t>propose</w:t>
      </w:r>
      <w:r w:rsidRPr="000A3724">
        <w:t xml:space="preserve"> the </w:t>
      </w:r>
      <w:r w:rsidR="000A3724" w:rsidRPr="000A3724">
        <w:t xml:space="preserve">Authority </w:t>
      </w:r>
      <w:r w:rsidRPr="000A3724">
        <w:t xml:space="preserve">recognise other groups in regional communities which </w:t>
      </w:r>
      <w:r w:rsidR="008B0355">
        <w:t xml:space="preserve">also </w:t>
      </w:r>
      <w:r w:rsidRPr="000A3724">
        <w:t>experience disadvantage and risk from the transition</w:t>
      </w:r>
      <w:r w:rsidR="006C5A0D">
        <w:t xml:space="preserve"> to net zero</w:t>
      </w:r>
      <w:r w:rsidRPr="000A3724">
        <w:t>.</w:t>
      </w:r>
      <w:r>
        <w:t xml:space="preserve"> They include but </w:t>
      </w:r>
      <w:r w:rsidR="006E6788">
        <w:t xml:space="preserve">are </w:t>
      </w:r>
      <w:r>
        <w:t xml:space="preserve">not limited </w:t>
      </w:r>
      <w:r w:rsidR="00316EA5">
        <w:t xml:space="preserve">to </w:t>
      </w:r>
      <w:r>
        <w:t>people with disability</w:t>
      </w:r>
      <w:r w:rsidR="00E77E88">
        <w:t>;</w:t>
      </w:r>
      <w:r>
        <w:t xml:space="preserve"> women</w:t>
      </w:r>
      <w:r w:rsidR="00E77E88">
        <w:t>;</w:t>
      </w:r>
      <w:r>
        <w:t xml:space="preserve"> young people</w:t>
      </w:r>
      <w:r w:rsidR="00E77E88">
        <w:t>;</w:t>
      </w:r>
      <w:r>
        <w:t xml:space="preserve"> people from migrant and refugee backgrounds</w:t>
      </w:r>
      <w:r w:rsidR="00E77E88">
        <w:t>;</w:t>
      </w:r>
      <w:r>
        <w:t xml:space="preserve"> and people experiencing long</w:t>
      </w:r>
      <w:r w:rsidR="00627DE9">
        <w:t>-</w:t>
      </w:r>
      <w:r>
        <w:t>term unemployment, homelessness and</w:t>
      </w:r>
      <w:r w:rsidR="00F664A0">
        <w:t>/</w:t>
      </w:r>
      <w:r>
        <w:t xml:space="preserve">or poverty. The Authority should consider how </w:t>
      </w:r>
      <w:r w:rsidR="00F664A0">
        <w:t>people</w:t>
      </w:r>
      <w:r w:rsidR="006960EA">
        <w:t xml:space="preserve"> </w:t>
      </w:r>
      <w:r w:rsidR="00450E42">
        <w:t>experiencing disadvantage</w:t>
      </w:r>
      <w:r>
        <w:t xml:space="preserve"> </w:t>
      </w:r>
      <w:r w:rsidR="00E77E88">
        <w:t>can be</w:t>
      </w:r>
      <w:r>
        <w:t xml:space="preserve"> supported to </w:t>
      </w:r>
      <w:r w:rsidR="00E77E88">
        <w:t xml:space="preserve">engage in and </w:t>
      </w:r>
      <w:r>
        <w:t xml:space="preserve">equitably benefit from the </w:t>
      </w:r>
      <w:r w:rsidR="006C5A0D">
        <w:t>economic transformation</w:t>
      </w:r>
      <w:r>
        <w:t xml:space="preserve">. For example, people experiencing </w:t>
      </w:r>
      <w:r w:rsidR="006E6788">
        <w:t xml:space="preserve">financial </w:t>
      </w:r>
      <w:r>
        <w:t xml:space="preserve">disadvantage could be supported to access zero-emissions energy sources and improve the energy </w:t>
      </w:r>
      <w:r w:rsidR="00E77E88">
        <w:t>performance</w:t>
      </w:r>
      <w:r>
        <w:t xml:space="preserve"> of their homes and vehicles.</w:t>
      </w:r>
    </w:p>
    <w:p w14:paraId="3B5CCE8B" w14:textId="06E48BD3" w:rsidR="00F9505F" w:rsidRDefault="00F9505F" w:rsidP="00F9505F">
      <w:r>
        <w:t xml:space="preserve">With regards to point e), we support educational and promotional initiatives to affected communities for the purpose of </w:t>
      </w:r>
      <w:r w:rsidR="00545BC9">
        <w:t xml:space="preserve">aiding </w:t>
      </w:r>
      <w:r>
        <w:t>their understanding of and participation in the transition</w:t>
      </w:r>
      <w:r w:rsidR="002702A1">
        <w:t xml:space="preserve"> to net zero</w:t>
      </w:r>
      <w:r>
        <w:t xml:space="preserve">. </w:t>
      </w:r>
      <w:r w:rsidR="006E6788">
        <w:t xml:space="preserve">We </w:t>
      </w:r>
      <w:r w:rsidR="00545BC9">
        <w:t>call for</w:t>
      </w:r>
      <w:r w:rsidR="00184668" w:rsidRPr="00402086">
        <w:t xml:space="preserve"> sustained and significant investment in</w:t>
      </w:r>
      <w:r w:rsidR="00184668">
        <w:rPr>
          <w:color w:val="32256D"/>
          <w:sz w:val="21"/>
          <w:szCs w:val="21"/>
        </w:rPr>
        <w:t xml:space="preserve"> </w:t>
      </w:r>
      <w:r w:rsidR="00184668">
        <w:t>inclusive community engagement that extends beyond awareness raising and one</w:t>
      </w:r>
      <w:r w:rsidR="00545BC9">
        <w:t>-</w:t>
      </w:r>
      <w:r w:rsidR="00184668">
        <w:t xml:space="preserve">way communication. </w:t>
      </w:r>
      <w:r w:rsidR="001D1206">
        <w:t>Regional communities are diverse and have valid, immediate</w:t>
      </w:r>
      <w:r w:rsidR="00545BC9">
        <w:t>,</w:t>
      </w:r>
      <w:r w:rsidR="001D1206">
        <w:t xml:space="preserve"> and serious concerns that should be accounted for </w:t>
      </w:r>
      <w:r w:rsidR="007D2B01">
        <w:t>through</w:t>
      </w:r>
      <w:r w:rsidR="001D1206">
        <w:t xml:space="preserve"> </w:t>
      </w:r>
      <w:r w:rsidR="006E6788">
        <w:t xml:space="preserve">co-design of transition </w:t>
      </w:r>
      <w:r w:rsidR="001D1206">
        <w:t xml:space="preserve">planning. </w:t>
      </w:r>
      <w:r w:rsidR="00B6366A">
        <w:t xml:space="preserve">Moreover, they have a deep understanding of their own regions and communities and can valuably inform transition planning. </w:t>
      </w:r>
      <w:r w:rsidRPr="0049627C">
        <w:t xml:space="preserve">We recommend the Authority </w:t>
      </w:r>
      <w:r w:rsidR="0049627C">
        <w:t>require the establishment of</w:t>
      </w:r>
      <w:r w:rsidR="0049627C" w:rsidRPr="0049627C">
        <w:t xml:space="preserve"> dedicated</w:t>
      </w:r>
      <w:r w:rsidR="009D7D24">
        <w:t xml:space="preserve">, </w:t>
      </w:r>
      <w:r w:rsidR="0049627C" w:rsidRPr="0049627C">
        <w:t xml:space="preserve">place-based engagement mechanisms for affected people, </w:t>
      </w:r>
      <w:proofErr w:type="gramStart"/>
      <w:r w:rsidR="0049627C" w:rsidRPr="0049627C">
        <w:t>communities</w:t>
      </w:r>
      <w:proofErr w:type="gramEnd"/>
      <w:r w:rsidR="0049627C" w:rsidRPr="0049627C">
        <w:t xml:space="preserve"> and their advocates to participate in </w:t>
      </w:r>
      <w:r w:rsidR="0049627C">
        <w:t xml:space="preserve">transition </w:t>
      </w:r>
      <w:r w:rsidR="0049627C" w:rsidRPr="0049627C">
        <w:t>planning and decision-making, prioritising people experiencing disadvantage.</w:t>
      </w:r>
      <w:r w:rsidR="00BD64C3">
        <w:t xml:space="preserve"> </w:t>
      </w:r>
      <w:r w:rsidR="00BD64C3" w:rsidRPr="0054599F">
        <w:t xml:space="preserve">Further, the </w:t>
      </w:r>
      <w:r w:rsidR="00415E5B" w:rsidRPr="0054599F">
        <w:t xml:space="preserve">Authority should </w:t>
      </w:r>
      <w:r w:rsidR="00403727" w:rsidRPr="005873E0">
        <w:t xml:space="preserve">facilitate regional leadership </w:t>
      </w:r>
      <w:r w:rsidR="00534F25">
        <w:t>of</w:t>
      </w:r>
      <w:r w:rsidR="00403727" w:rsidRPr="005873E0">
        <w:t xml:space="preserve"> economic diversification </w:t>
      </w:r>
      <w:r w:rsidR="00EA4B45">
        <w:t>in response to the</w:t>
      </w:r>
      <w:r w:rsidR="00403727" w:rsidRPr="005873E0">
        <w:t xml:space="preserve"> </w:t>
      </w:r>
      <w:r w:rsidR="00EA4B45">
        <w:t>transition to a net zero economy</w:t>
      </w:r>
      <w:r w:rsidR="0054599F" w:rsidRPr="005873E0">
        <w:t>.</w:t>
      </w:r>
      <w:r w:rsidR="0054599F">
        <w:rPr>
          <w:rFonts w:ascii="Helvetica Neue" w:hAnsi="Helvetica Neue"/>
          <w:i/>
          <w:iCs/>
          <w:sz w:val="20"/>
          <w:szCs w:val="20"/>
        </w:rPr>
        <w:t xml:space="preserve"> </w:t>
      </w:r>
    </w:p>
    <w:p w14:paraId="57F2B218" w14:textId="6BE692D0" w:rsidR="0049627C" w:rsidRDefault="0049627C" w:rsidP="00A62140">
      <w:pPr>
        <w:pStyle w:val="Recommendation"/>
      </w:pPr>
      <w:r w:rsidRPr="00B07C04">
        <w:t xml:space="preserve">Recommendation </w:t>
      </w:r>
      <w:r w:rsidR="000A3724">
        <w:t>2</w:t>
      </w:r>
      <w:r w:rsidRPr="00B07C04">
        <w:t xml:space="preserve"> </w:t>
      </w:r>
    </w:p>
    <w:p w14:paraId="1C64A05F" w14:textId="77777777" w:rsidR="00477FE9" w:rsidRDefault="00A62140" w:rsidP="00A62140">
      <w:r>
        <w:t xml:space="preserve">Expand the functions of the Authority at Part 2 Section 16 to include: </w:t>
      </w:r>
    </w:p>
    <w:p w14:paraId="1F1DFB4C" w14:textId="155E2ED8" w:rsidR="00A62140" w:rsidRDefault="00A62140" w:rsidP="00666CC9">
      <w:pPr>
        <w:pStyle w:val="ListParagraph"/>
        <w:numPr>
          <w:ilvl w:val="0"/>
          <w:numId w:val="25"/>
        </w:numPr>
      </w:pPr>
      <w:r>
        <w:t>‘Facilitate</w:t>
      </w:r>
      <w:r w:rsidRPr="00D01C01">
        <w:t xml:space="preserve"> economic diversification of regional economies through the </w:t>
      </w:r>
      <w:r>
        <w:t xml:space="preserve">net zero </w:t>
      </w:r>
      <w:proofErr w:type="gramStart"/>
      <w:r>
        <w:t>transformation’</w:t>
      </w:r>
      <w:proofErr w:type="gramEnd"/>
    </w:p>
    <w:p w14:paraId="40B9F8F6" w14:textId="66EF30A6" w:rsidR="00477FE9" w:rsidRDefault="00617C50" w:rsidP="00666CC9">
      <w:pPr>
        <w:pStyle w:val="ListParagraph"/>
        <w:numPr>
          <w:ilvl w:val="0"/>
          <w:numId w:val="25"/>
        </w:numPr>
      </w:pPr>
      <w:r>
        <w:t>‘D</w:t>
      </w:r>
      <w:r w:rsidR="00720080">
        <w:t xml:space="preserve">evelop an annual </w:t>
      </w:r>
      <w:proofErr w:type="gramStart"/>
      <w:r w:rsidR="00720080">
        <w:t>workplan</w:t>
      </w:r>
      <w:r>
        <w:t>’</w:t>
      </w:r>
      <w:proofErr w:type="gramEnd"/>
    </w:p>
    <w:p w14:paraId="4E6478F4" w14:textId="75E2637A" w:rsidR="00617C50" w:rsidRDefault="005C6B5C" w:rsidP="00666CC9">
      <w:pPr>
        <w:pStyle w:val="ListParagraph"/>
        <w:numPr>
          <w:ilvl w:val="0"/>
          <w:numId w:val="25"/>
        </w:numPr>
      </w:pPr>
      <w:r>
        <w:t>‘</w:t>
      </w:r>
      <w:r w:rsidR="009A4C4E">
        <w:t>Respond to regular reviews</w:t>
      </w:r>
      <w:r w:rsidR="00027610">
        <w:t xml:space="preserve"> of its performance</w:t>
      </w:r>
      <w:r w:rsidR="00A50D1B">
        <w:t>’</w:t>
      </w:r>
      <w:r w:rsidR="00477FE9">
        <w:t>.</w:t>
      </w:r>
    </w:p>
    <w:p w14:paraId="20A60B2E" w14:textId="01DF0135" w:rsidR="005873E0" w:rsidRPr="00A97297" w:rsidRDefault="005873E0" w:rsidP="005873E0">
      <w:pPr>
        <w:pStyle w:val="Recommendation"/>
      </w:pPr>
      <w:r>
        <w:t>Recommendation 3</w:t>
      </w:r>
    </w:p>
    <w:p w14:paraId="07875730" w14:textId="6583A432" w:rsidR="47095757" w:rsidRDefault="2FC68B08" w:rsidP="00B13B97">
      <w:r w:rsidRPr="00B13B97">
        <w:t>Develop criteria to guide the functions of the Authority, these could include</w:t>
      </w:r>
      <w:r w:rsidR="00CE60F9" w:rsidRPr="00B13B97">
        <w:t>:</w:t>
      </w:r>
    </w:p>
    <w:p w14:paraId="1437CBA9" w14:textId="77777777" w:rsidR="003B3AC3" w:rsidRDefault="2FC68B08" w:rsidP="003B3AC3">
      <w:pPr>
        <w:pStyle w:val="ListParagraph"/>
        <w:numPr>
          <w:ilvl w:val="0"/>
          <w:numId w:val="26"/>
        </w:numPr>
      </w:pPr>
      <w:r w:rsidRPr="00D01C01">
        <w:t xml:space="preserve">Ensure the transformation is fair, equitable and </w:t>
      </w:r>
      <w:proofErr w:type="gramStart"/>
      <w:r w:rsidRPr="00D01C01">
        <w:t>inclusive</w:t>
      </w:r>
      <w:proofErr w:type="gramEnd"/>
      <w:r w:rsidRPr="00D01C01">
        <w:t xml:space="preserve"> </w:t>
      </w:r>
    </w:p>
    <w:p w14:paraId="27027D97" w14:textId="184117B9" w:rsidR="003B3AC3" w:rsidRDefault="003B3AC3" w:rsidP="003B3AC3">
      <w:pPr>
        <w:pStyle w:val="ListParagraph"/>
        <w:numPr>
          <w:ilvl w:val="0"/>
          <w:numId w:val="26"/>
        </w:numPr>
      </w:pPr>
      <w:r>
        <w:t>Facilitate regional leadership of economic diversification in response to the transition to a net zero economy.</w:t>
      </w:r>
    </w:p>
    <w:p w14:paraId="64E9432B" w14:textId="027162D0" w:rsidR="0013214D" w:rsidRDefault="00C21D9D" w:rsidP="00666CC9">
      <w:pPr>
        <w:pStyle w:val="ListParagraph"/>
        <w:numPr>
          <w:ilvl w:val="0"/>
          <w:numId w:val="26"/>
        </w:numPr>
      </w:pPr>
      <w:r>
        <w:t>Promote</w:t>
      </w:r>
      <w:r w:rsidR="2FC68B08" w:rsidRPr="00D01C01">
        <w:t xml:space="preserve"> employment</w:t>
      </w:r>
      <w:r w:rsidR="00D96152">
        <w:t xml:space="preserve"> and workforce development</w:t>
      </w:r>
      <w:r w:rsidR="2FC68B08" w:rsidRPr="00D01C01">
        <w:t xml:space="preserve"> strategies to support </w:t>
      </w:r>
      <w:r w:rsidR="007726A4">
        <w:t xml:space="preserve">affected workers, </w:t>
      </w:r>
      <w:r w:rsidR="2FC68B08" w:rsidRPr="00D01C01">
        <w:t>workers in precarious employment and people experiencing barriers to entering the workforce.</w:t>
      </w:r>
    </w:p>
    <w:p w14:paraId="70334C6C" w14:textId="77777777" w:rsidR="003C4D41" w:rsidRPr="00D01C01" w:rsidRDefault="003C4D41" w:rsidP="003C4D41">
      <w:pPr>
        <w:pStyle w:val="ListParagraph"/>
        <w:numPr>
          <w:ilvl w:val="0"/>
          <w:numId w:val="26"/>
        </w:numPr>
      </w:pPr>
      <w:r w:rsidRPr="00D01C01">
        <w:t xml:space="preserve">Aim to equitably share the benefits of transition to net zero emissions with </w:t>
      </w:r>
      <w:r>
        <w:t xml:space="preserve">the </w:t>
      </w:r>
      <w:r w:rsidRPr="00D01C01">
        <w:t>community</w:t>
      </w:r>
      <w:r>
        <w:t>.</w:t>
      </w:r>
    </w:p>
    <w:p w14:paraId="4F76C336" w14:textId="77777777" w:rsidR="00AF480D" w:rsidRDefault="00AF480D" w:rsidP="00AF480D">
      <w:pPr>
        <w:pStyle w:val="ListParagraph"/>
        <w:numPr>
          <w:ilvl w:val="0"/>
          <w:numId w:val="26"/>
        </w:numPr>
      </w:pPr>
      <w:r>
        <w:t xml:space="preserve">Facilitate inclusive </w:t>
      </w:r>
      <w:r w:rsidRPr="0049627C">
        <w:t>dedicated and place-based engagement mechanisms for affected people, communities and their advocates</w:t>
      </w:r>
      <w:r>
        <w:t>,</w:t>
      </w:r>
      <w:r w:rsidRPr="0049627C">
        <w:t xml:space="preserve"> to participate in </w:t>
      </w:r>
      <w:r>
        <w:t xml:space="preserve">transition </w:t>
      </w:r>
      <w:r w:rsidRPr="0049627C">
        <w:t>planning and decision-making, prioritising people experiencing disadvantage</w:t>
      </w:r>
      <w:r>
        <w:t xml:space="preserve">, so their concerns and needs are </w:t>
      </w:r>
      <w:proofErr w:type="gramStart"/>
      <w:r>
        <w:t>heard</w:t>
      </w:r>
      <w:proofErr w:type="gramEnd"/>
      <w:r>
        <w:t xml:space="preserve"> and they can equitably benefit. </w:t>
      </w:r>
    </w:p>
    <w:p w14:paraId="6CCE5AE4" w14:textId="60450C24" w:rsidR="005873E0" w:rsidRDefault="005873E0" w:rsidP="005873E0">
      <w:pPr>
        <w:pStyle w:val="Recommendation"/>
      </w:pPr>
      <w:r>
        <w:t>Recommendation 4</w:t>
      </w:r>
    </w:p>
    <w:p w14:paraId="39ACD10C" w14:textId="77777777" w:rsidR="005873E0" w:rsidRDefault="005873E0" w:rsidP="005873E0">
      <w:r>
        <w:t>Add a section to the Bill establishing a long-term minimum budget (</w:t>
      </w:r>
      <w:proofErr w:type="gramStart"/>
      <w:r>
        <w:t>e.g.</w:t>
      </w:r>
      <w:proofErr w:type="gramEnd"/>
      <w:r>
        <w:t xml:space="preserve"> for 10 years) to ensure stability for effective long-term planning. </w:t>
      </w:r>
    </w:p>
    <w:p w14:paraId="0C0E0BDC" w14:textId="02C26412" w:rsidR="006C6786" w:rsidRPr="00D75F45" w:rsidRDefault="006C6786" w:rsidP="006C6786">
      <w:pPr>
        <w:pStyle w:val="Heading2"/>
      </w:pPr>
      <w:r>
        <w:t xml:space="preserve">Widen support beyond employees and employers in energy related </w:t>
      </w:r>
      <w:proofErr w:type="gramStart"/>
      <w:r>
        <w:t>industries</w:t>
      </w:r>
      <w:proofErr w:type="gramEnd"/>
    </w:p>
    <w:p w14:paraId="11E9B0EB" w14:textId="2EB1BE9D" w:rsidR="006C6786" w:rsidRDefault="006C6786" w:rsidP="006C6786">
      <w:r>
        <w:t>The Bill proposes that the Authority’s CEO undertakes a “community of interest process” to identify employers (both closing employers and dependent employers</w:t>
      </w:r>
      <w:r w:rsidR="00A1589F">
        <w:rPr>
          <w:rStyle w:val="FootnoteReference"/>
        </w:rPr>
        <w:footnoteReference w:id="6"/>
      </w:r>
      <w:r>
        <w:t xml:space="preserve">) and employees associated with the closure of a coal or gas fired power station or mining operations. </w:t>
      </w:r>
      <w:r w:rsidR="00A52628" w:rsidRPr="00A52628">
        <w:t>As part of this process, the Authority’s CEO will seek information about the number, nature and location of jobs lost. The CEO will also assess the skills required for the jobs that employers may be able to offer to people who have lost their jobs in the transition.</w:t>
      </w:r>
    </w:p>
    <w:p w14:paraId="15DE813C" w14:textId="2EFF4866" w:rsidR="006C6786" w:rsidRDefault="006C6786" w:rsidP="006C6786">
      <w:r>
        <w:t xml:space="preserve">The Bill </w:t>
      </w:r>
      <w:r w:rsidR="00E77E88">
        <w:t xml:space="preserve">further </w:t>
      </w:r>
      <w:r>
        <w:t>sets out obligations on closing and</w:t>
      </w:r>
      <w:r w:rsidR="00E85FE5">
        <w:t xml:space="preserve"> </w:t>
      </w:r>
      <w:r w:rsidR="00013D4E">
        <w:t>emissions-</w:t>
      </w:r>
      <w:r>
        <w:t>dependent employers to assist transition employees specified in a community of interest determination, including to:</w:t>
      </w:r>
    </w:p>
    <w:p w14:paraId="1410A714" w14:textId="77777777" w:rsidR="006C6786" w:rsidRDefault="006C6786" w:rsidP="000833ED">
      <w:pPr>
        <w:pStyle w:val="ListParagraph"/>
        <w:keepNext w:val="0"/>
        <w:numPr>
          <w:ilvl w:val="0"/>
          <w:numId w:val="9"/>
        </w:numPr>
        <w:spacing w:before="0" w:after="160"/>
      </w:pPr>
      <w:r>
        <w:t>access information about employer obligations</w:t>
      </w:r>
    </w:p>
    <w:p w14:paraId="5DE6714C" w14:textId="77777777" w:rsidR="006C6786" w:rsidRDefault="006C6786" w:rsidP="000833ED">
      <w:pPr>
        <w:pStyle w:val="ListParagraph"/>
        <w:keepNext w:val="0"/>
        <w:numPr>
          <w:ilvl w:val="0"/>
          <w:numId w:val="9"/>
        </w:numPr>
        <w:spacing w:before="0" w:after="160"/>
      </w:pPr>
      <w:r>
        <w:t xml:space="preserve">support employees to find other </w:t>
      </w:r>
      <w:proofErr w:type="gramStart"/>
      <w:r>
        <w:t>employment</w:t>
      </w:r>
      <w:proofErr w:type="gramEnd"/>
    </w:p>
    <w:p w14:paraId="6C9551F0" w14:textId="77777777" w:rsidR="006C6786" w:rsidRDefault="006C6786" w:rsidP="000833ED">
      <w:pPr>
        <w:pStyle w:val="ListParagraph"/>
        <w:keepNext w:val="0"/>
        <w:numPr>
          <w:ilvl w:val="0"/>
          <w:numId w:val="9"/>
        </w:numPr>
        <w:spacing w:before="0" w:after="160"/>
      </w:pPr>
      <w:r>
        <w:t xml:space="preserve">adhere to relevant enterprise agreements or other industrial </w:t>
      </w:r>
      <w:proofErr w:type="gramStart"/>
      <w:r>
        <w:t>instruments</w:t>
      </w:r>
      <w:proofErr w:type="gramEnd"/>
    </w:p>
    <w:p w14:paraId="37756284" w14:textId="77777777" w:rsidR="006C6786" w:rsidRDefault="006C6786" w:rsidP="000833ED">
      <w:pPr>
        <w:pStyle w:val="ListParagraph"/>
        <w:keepNext w:val="0"/>
        <w:numPr>
          <w:ilvl w:val="0"/>
          <w:numId w:val="9"/>
        </w:numPr>
        <w:spacing w:before="0" w:after="160"/>
      </w:pPr>
      <w:r>
        <w:t>access career planning advice and financial advice</w:t>
      </w:r>
    </w:p>
    <w:p w14:paraId="2D514562" w14:textId="0132D4AB" w:rsidR="006C6786" w:rsidRDefault="006C6786" w:rsidP="000833ED">
      <w:pPr>
        <w:pStyle w:val="ListParagraph"/>
        <w:keepNext w:val="0"/>
        <w:numPr>
          <w:ilvl w:val="0"/>
          <w:numId w:val="9"/>
        </w:numPr>
        <w:spacing w:before="0" w:after="160"/>
      </w:pPr>
      <w:r>
        <w:t xml:space="preserve">allowing </w:t>
      </w:r>
      <w:r w:rsidR="00B36495">
        <w:t>leave</w:t>
      </w:r>
      <w:r>
        <w:t xml:space="preserve"> or access to flexible working arrangements, to receive career planning</w:t>
      </w:r>
      <w:r w:rsidR="00B20E30">
        <w:t xml:space="preserve"> </w:t>
      </w:r>
      <w:r>
        <w:t xml:space="preserve">or financial </w:t>
      </w:r>
      <w:proofErr w:type="gramStart"/>
      <w:r>
        <w:t>advice</w:t>
      </w:r>
      <w:proofErr w:type="gramEnd"/>
    </w:p>
    <w:p w14:paraId="21DF9BDE" w14:textId="77777777" w:rsidR="006C6786" w:rsidRDefault="006C6786" w:rsidP="000833ED">
      <w:pPr>
        <w:pStyle w:val="ListParagraph"/>
        <w:keepNext w:val="0"/>
        <w:numPr>
          <w:ilvl w:val="0"/>
          <w:numId w:val="9"/>
        </w:numPr>
        <w:spacing w:before="0" w:after="160"/>
      </w:pPr>
      <w:r>
        <w:t xml:space="preserve">engage with employee </w:t>
      </w:r>
      <w:proofErr w:type="gramStart"/>
      <w:r>
        <w:t>organisations</w:t>
      </w:r>
      <w:proofErr w:type="gramEnd"/>
    </w:p>
    <w:p w14:paraId="1A6B5045" w14:textId="77777777" w:rsidR="006C6786" w:rsidRDefault="006C6786" w:rsidP="000833ED">
      <w:pPr>
        <w:pStyle w:val="ListParagraph"/>
        <w:keepNext w:val="0"/>
        <w:numPr>
          <w:ilvl w:val="0"/>
          <w:numId w:val="9"/>
        </w:numPr>
        <w:spacing w:before="0" w:after="160"/>
      </w:pPr>
      <w:r>
        <w:t xml:space="preserve">access training to find other </w:t>
      </w:r>
      <w:proofErr w:type="gramStart"/>
      <w:r>
        <w:t>employment</w:t>
      </w:r>
      <w:proofErr w:type="gramEnd"/>
    </w:p>
    <w:p w14:paraId="21F31885" w14:textId="77777777" w:rsidR="006C6786" w:rsidRDefault="006C6786" w:rsidP="000833ED">
      <w:pPr>
        <w:pStyle w:val="ListParagraph"/>
        <w:keepNext w:val="0"/>
        <w:numPr>
          <w:ilvl w:val="0"/>
          <w:numId w:val="9"/>
        </w:numPr>
        <w:spacing w:before="0" w:after="160"/>
      </w:pPr>
      <w:r>
        <w:t>attending recruitment related activities.</w:t>
      </w:r>
    </w:p>
    <w:p w14:paraId="06007BAA" w14:textId="11A88F9D" w:rsidR="006C6786" w:rsidRDefault="006C6786" w:rsidP="006C6786">
      <w:r>
        <w:t xml:space="preserve">The Bill </w:t>
      </w:r>
      <w:r w:rsidR="00A61CEE">
        <w:t>further</w:t>
      </w:r>
      <w:r>
        <w:t xml:space="preserve"> proposes establishing an Energy Industry Worker Redeployment Advisory Group to represent the industrial interests of one or more transition employees of a closing employer. </w:t>
      </w:r>
    </w:p>
    <w:p w14:paraId="7693D0FC" w14:textId="72A5C908" w:rsidR="00E77E88" w:rsidRDefault="006C6786" w:rsidP="006C6786">
      <w:r>
        <w:t>We support the intention for the Authority t</w:t>
      </w:r>
      <w:r w:rsidR="00E77E88">
        <w:t>o undertake the activities outlined above and to</w:t>
      </w:r>
      <w:r>
        <w:t xml:space="preserve"> administer a Plan</w:t>
      </w:r>
      <w:r w:rsidR="00184668">
        <w:t>,</w:t>
      </w:r>
      <w:r>
        <w:t xml:space="preserve"> </w:t>
      </w:r>
      <w:r w:rsidR="00184668">
        <w:t xml:space="preserve">as a priority, </w:t>
      </w:r>
      <w:r>
        <w:t>to support affected employees</w:t>
      </w:r>
      <w:r w:rsidR="00A61CEE">
        <w:t xml:space="preserve"> of closing and dependent employers</w:t>
      </w:r>
      <w:r w:rsidR="00AD4900">
        <w:t xml:space="preserve"> of coal and gas fired power stations</w:t>
      </w:r>
      <w:r w:rsidR="00E77E88">
        <w:t>.</w:t>
      </w:r>
      <w:r w:rsidR="00E77E88" w:rsidRPr="00E77E88">
        <w:t xml:space="preserve"> </w:t>
      </w:r>
      <w:r w:rsidR="00E77E88">
        <w:t xml:space="preserve">We support the intention for the Authority to work closely with the Department of Employment and Workplace Relations to ensure employment </w:t>
      </w:r>
      <w:r w:rsidR="00AD4900">
        <w:t xml:space="preserve">supports for these workers </w:t>
      </w:r>
      <w:r w:rsidR="00E77E88">
        <w:t>are integrated and place-based, and maximise skills, training</w:t>
      </w:r>
      <w:r w:rsidR="005B3CDB">
        <w:t>,</w:t>
      </w:r>
      <w:r w:rsidR="00E77E88">
        <w:t xml:space="preserve"> and employment opportunities.  </w:t>
      </w:r>
    </w:p>
    <w:p w14:paraId="6388A2F0" w14:textId="77777777" w:rsidR="00A578C2" w:rsidRDefault="00A578C2" w:rsidP="00A578C2">
      <w:r>
        <w:t>We support obligations on</w:t>
      </w:r>
      <w:r w:rsidRPr="006F79F6">
        <w:t xml:space="preserve"> </w:t>
      </w:r>
      <w:r>
        <w:t>closing and emissions-dependent employers to assist transition employees. We consider that transition planning should establish worker protections (</w:t>
      </w:r>
      <w:proofErr w:type="gramStart"/>
      <w:r>
        <w:t>e.g.</w:t>
      </w:r>
      <w:proofErr w:type="gramEnd"/>
      <w:r>
        <w:t xml:space="preserve"> industry-wide, multi-employer pooling and redeployment scheme, voluntary redundancy and early retirement, skilling up and reskilling opportunities).</w:t>
      </w:r>
      <w:r w:rsidRPr="00DC799B">
        <w:rPr>
          <w:rStyle w:val="FootnoteReference"/>
        </w:rPr>
        <w:t xml:space="preserve"> </w:t>
      </w:r>
      <w:r>
        <w:rPr>
          <w:rStyle w:val="FootnoteReference"/>
        </w:rPr>
        <w:footnoteReference w:id="7"/>
      </w:r>
      <w:r w:rsidRPr="006C6786">
        <w:t xml:space="preserve"> </w:t>
      </w:r>
      <w:r>
        <w:t>These steps would minimise involuntary unemployment and maximise opportunities to transition to a suitable job, reducing the impacts on regional communities.</w:t>
      </w:r>
    </w:p>
    <w:p w14:paraId="5B94D7F6" w14:textId="5B84E7C9" w:rsidR="006C6786" w:rsidRDefault="00E77E88" w:rsidP="006C6786">
      <w:r w:rsidRPr="0049627C">
        <w:t>ACOSS</w:t>
      </w:r>
      <w:r w:rsidR="006C6786" w:rsidRPr="0049627C">
        <w:t xml:space="preserve"> recommend</w:t>
      </w:r>
      <w:r w:rsidRPr="0049627C">
        <w:t>s</w:t>
      </w:r>
      <w:r w:rsidR="006C6786" w:rsidRPr="0049627C">
        <w:t xml:space="preserve"> that employment and workforce planning </w:t>
      </w:r>
      <w:r w:rsidR="00A45295">
        <w:t>be</w:t>
      </w:r>
      <w:r w:rsidR="006C6786" w:rsidRPr="0049627C">
        <w:t xml:space="preserve"> codesigned with </w:t>
      </w:r>
      <w:r w:rsidR="00E627AE">
        <w:t xml:space="preserve">affected people, </w:t>
      </w:r>
      <w:proofErr w:type="gramStart"/>
      <w:r w:rsidR="00E627AE">
        <w:t>workers</w:t>
      </w:r>
      <w:proofErr w:type="gramEnd"/>
      <w:r w:rsidR="006C6786" w:rsidRPr="0049627C">
        <w:t xml:space="preserve"> and communities. </w:t>
      </w:r>
      <w:r w:rsidR="00184668">
        <w:t>Additionally, the</w:t>
      </w:r>
      <w:r w:rsidR="006C6786" w:rsidRPr="0049627C">
        <w:t xml:space="preserve"> Authority </w:t>
      </w:r>
      <w:r w:rsidR="00184668">
        <w:t>should</w:t>
      </w:r>
      <w:r w:rsidR="006C6786" w:rsidRPr="0049627C">
        <w:t xml:space="preserve"> work </w:t>
      </w:r>
      <w:r w:rsidR="00184668">
        <w:t xml:space="preserve">closely </w:t>
      </w:r>
      <w:r w:rsidR="006C6786" w:rsidRPr="0049627C">
        <w:t>with training services like TAFE and others to plan for and invest in regionally based education, training</w:t>
      </w:r>
      <w:r w:rsidR="005B3CDB">
        <w:t>,</w:t>
      </w:r>
      <w:r w:rsidR="006C6786" w:rsidRPr="0049627C">
        <w:t xml:space="preserve"> and skilling facilities.</w:t>
      </w:r>
    </w:p>
    <w:p w14:paraId="2EBD24B4" w14:textId="1C6CCB48" w:rsidR="00F42FFC" w:rsidRPr="001B69E0" w:rsidRDefault="006C6786" w:rsidP="006C6786">
      <w:r>
        <w:t xml:space="preserve">ACOSS strongly recommends that examination of and planning for workforce issues by the Authority extend beyond those working in </w:t>
      </w:r>
      <w:r w:rsidR="00A6447D">
        <w:t>fossil fuel industries. Focusing only on relatively well paid workers in energy industries will miss important opportunities to support and invest in workers in industries that are typically casualised, short</w:t>
      </w:r>
      <w:r w:rsidR="00455D93">
        <w:t>-</w:t>
      </w:r>
      <w:r w:rsidR="00A6447D">
        <w:t>term and/or underpaid (e.g.</w:t>
      </w:r>
      <w:r w:rsidR="00455D93">
        <w:t xml:space="preserve"> the</w:t>
      </w:r>
      <w:r w:rsidR="00A6447D">
        <w:t xml:space="preserve"> care economy, hospitality), as well as people </w:t>
      </w:r>
      <w:r w:rsidR="00184668">
        <w:t>experiencing barriers</w:t>
      </w:r>
      <w:r w:rsidR="00A6447D">
        <w:t xml:space="preserve"> </w:t>
      </w:r>
      <w:r w:rsidR="00455D93">
        <w:t xml:space="preserve">to </w:t>
      </w:r>
      <w:r w:rsidR="00A6447D">
        <w:t>employment (</w:t>
      </w:r>
      <w:r w:rsidR="00184668">
        <w:t>this may include</w:t>
      </w:r>
      <w:r w:rsidR="00A6447D">
        <w:t xml:space="preserve"> people experiencing long</w:t>
      </w:r>
      <w:r w:rsidR="00455D93">
        <w:t>-</w:t>
      </w:r>
      <w:r w:rsidR="00A6447D">
        <w:t xml:space="preserve">term unemployment, First Nations </w:t>
      </w:r>
      <w:r w:rsidR="00455D93">
        <w:t>P</w:t>
      </w:r>
      <w:r w:rsidR="00A6447D">
        <w:t xml:space="preserve">eople, women, people with disability, older </w:t>
      </w:r>
      <w:r w:rsidR="00A425F4">
        <w:t xml:space="preserve">people </w:t>
      </w:r>
      <w:r w:rsidR="00A6447D">
        <w:t>or young people at risk of long</w:t>
      </w:r>
      <w:r w:rsidR="00A425F4">
        <w:t>-</w:t>
      </w:r>
      <w:r w:rsidR="00A6447D">
        <w:t>term unemployment)</w:t>
      </w:r>
      <w:r>
        <w:t xml:space="preserve">. </w:t>
      </w:r>
      <w:r w:rsidR="00F42FFC" w:rsidRPr="001B69E0">
        <w:t xml:space="preserve">For example, </w:t>
      </w:r>
      <w:r w:rsidR="008174C3" w:rsidRPr="001B69E0">
        <w:t xml:space="preserve">lack of </w:t>
      </w:r>
      <w:r w:rsidR="00F42FFC" w:rsidRPr="00E57D18">
        <w:t xml:space="preserve">childcare </w:t>
      </w:r>
      <w:r w:rsidR="001B69E0" w:rsidRPr="00E57D18">
        <w:t xml:space="preserve">in regional areas </w:t>
      </w:r>
      <w:r w:rsidR="008174C3" w:rsidRPr="00E57D18">
        <w:t>i</w:t>
      </w:r>
      <w:r w:rsidR="00F42FFC" w:rsidRPr="00E57D18">
        <w:t xml:space="preserve">s a major participation </w:t>
      </w:r>
      <w:r w:rsidR="008174C3" w:rsidRPr="00E57D18">
        <w:t xml:space="preserve">barrier for </w:t>
      </w:r>
      <w:r w:rsidR="008552DB" w:rsidRPr="00E57D18">
        <w:t>parents</w:t>
      </w:r>
      <w:r w:rsidR="00AD142D" w:rsidRPr="00E57D18">
        <w:t xml:space="preserve"> and </w:t>
      </w:r>
      <w:r w:rsidR="000855CF">
        <w:t>families</w:t>
      </w:r>
      <w:r w:rsidR="006A06BD">
        <w:t>,</w:t>
      </w:r>
      <w:r w:rsidR="00F42FFC" w:rsidRPr="00E57D18">
        <w:t xml:space="preserve"> that </w:t>
      </w:r>
      <w:r w:rsidR="001B69E0" w:rsidRPr="00E57D18">
        <w:t xml:space="preserve">will </w:t>
      </w:r>
      <w:r w:rsidR="00F42FFC" w:rsidRPr="00E57D18">
        <w:t xml:space="preserve">need to be addressed </w:t>
      </w:r>
      <w:r w:rsidR="001B69E0" w:rsidRPr="00E57D18">
        <w:t>as part of workforce and employment planning by the NZEA.</w:t>
      </w:r>
    </w:p>
    <w:p w14:paraId="13643038" w14:textId="790677B8" w:rsidR="006C6786" w:rsidRDefault="00A6447D" w:rsidP="006C6786">
      <w:r>
        <w:t>The Authority could</w:t>
      </w:r>
      <w:r w:rsidR="006C6786">
        <w:t xml:space="preserve"> consider labour standards, preferential pathways, skills and training</w:t>
      </w:r>
      <w:r>
        <w:t>,</w:t>
      </w:r>
      <w:r w:rsidR="006C6786">
        <w:t xml:space="preserve"> and support</w:t>
      </w:r>
      <w:r w:rsidR="00A80A47">
        <w:t xml:space="preserve"> for people listed above</w:t>
      </w:r>
      <w:r w:rsidR="00184668">
        <w:t>,</w:t>
      </w:r>
      <w:r>
        <w:t xml:space="preserve"> as well as those in energy </w:t>
      </w:r>
      <w:r w:rsidR="00F42FFC">
        <w:t xml:space="preserve">intensive </w:t>
      </w:r>
      <w:r>
        <w:t>industries</w:t>
      </w:r>
      <w:r w:rsidR="006C6786">
        <w:t xml:space="preserve">. Widening the pool of people supported could help revitalise and diversify regional economies. </w:t>
      </w:r>
    </w:p>
    <w:p w14:paraId="7FC5EA8B" w14:textId="309D6A35" w:rsidR="0011023A" w:rsidRDefault="0011023A" w:rsidP="0011023A">
      <w:r w:rsidRPr="0011023A">
        <w:t>We note that the focus of the Authority</w:t>
      </w:r>
      <w:r>
        <w:t>,</w:t>
      </w:r>
      <w:r w:rsidRPr="0011023A">
        <w:t xml:space="preserve"> in the initial period at least</w:t>
      </w:r>
      <w:r>
        <w:t>,</w:t>
      </w:r>
      <w:r w:rsidRPr="0011023A">
        <w:t xml:space="preserve"> will be on locations with closing coal and gas fired power stations and closing mining operations. ACOSS recommends that the Authority </w:t>
      </w:r>
      <w:r>
        <w:t>extend</w:t>
      </w:r>
      <w:r w:rsidRPr="0011023A">
        <w:t xml:space="preserve"> its scope to include Renewable Energy Zones (REZs). REZs will not necessarily be in the same regions as those with existing energy intensive industries. However, </w:t>
      </w:r>
      <w:r w:rsidR="00A5332B">
        <w:t xml:space="preserve">development and expansion of renewable </w:t>
      </w:r>
      <w:r w:rsidR="00016829">
        <w:t>power industries</w:t>
      </w:r>
      <w:r w:rsidR="00A5332B">
        <w:t xml:space="preserve"> </w:t>
      </w:r>
      <w:r w:rsidRPr="0011023A">
        <w:t xml:space="preserve">also pose significant challenges for regional communities and require community, worker and business consultation, co-design of regional </w:t>
      </w:r>
      <w:r>
        <w:t xml:space="preserve">and employment </w:t>
      </w:r>
      <w:r w:rsidRPr="0011023A">
        <w:t xml:space="preserve">plans and risk </w:t>
      </w:r>
      <w:r>
        <w:t>mitigation.</w:t>
      </w:r>
    </w:p>
    <w:p w14:paraId="64363766" w14:textId="1EC83219" w:rsidR="00877294" w:rsidRPr="0011023A" w:rsidRDefault="00AF7EA4" w:rsidP="0011023A">
      <w:r>
        <w:t>We note that</w:t>
      </w:r>
      <w:r w:rsidR="00877294">
        <w:t xml:space="preserve"> </w:t>
      </w:r>
      <w:r w:rsidR="00306020">
        <w:t xml:space="preserve">other regions and industries are </w:t>
      </w:r>
      <w:r>
        <w:t xml:space="preserve">also </w:t>
      </w:r>
      <w:r w:rsidR="00306020">
        <w:t>affected by climate change and the transition to net zero, including agricultur</w:t>
      </w:r>
      <w:r w:rsidR="00F4754F">
        <w:t>e</w:t>
      </w:r>
      <w:r w:rsidR="00306020">
        <w:t xml:space="preserve"> and forestry</w:t>
      </w:r>
      <w:r w:rsidR="00F95565">
        <w:t>. We encourage the Authority to support decarbon</w:t>
      </w:r>
      <w:r w:rsidR="00F4754F">
        <w:t>is</w:t>
      </w:r>
      <w:r w:rsidR="00F95565">
        <w:t xml:space="preserve">ation </w:t>
      </w:r>
      <w:r>
        <w:t xml:space="preserve">across all sectors and support </w:t>
      </w:r>
      <w:r w:rsidR="6EDE5F96">
        <w:t xml:space="preserve">the community, </w:t>
      </w:r>
      <w:r>
        <w:t xml:space="preserve">workers and those seeking paid work in these industries to </w:t>
      </w:r>
      <w:r w:rsidR="001E6577">
        <w:t xml:space="preserve">access employment, </w:t>
      </w:r>
      <w:proofErr w:type="gramStart"/>
      <w:r w:rsidR="001E6577">
        <w:t>redeployment</w:t>
      </w:r>
      <w:proofErr w:type="gramEnd"/>
      <w:r w:rsidR="001E6577">
        <w:t xml:space="preserve"> and tra</w:t>
      </w:r>
      <w:r w:rsidR="00F4754F">
        <w:t>i</w:t>
      </w:r>
      <w:r w:rsidR="001E6577">
        <w:t>ning</w:t>
      </w:r>
      <w:r>
        <w:t xml:space="preserve">, commencing </w:t>
      </w:r>
      <w:r w:rsidR="00F4754F">
        <w:t xml:space="preserve">with those most affected by the transition and climate change. </w:t>
      </w:r>
      <w:r w:rsidR="00FE5B1E">
        <w:t>In doing so, the Authority’s plans should align with relevant economic participation and employment strategies.</w:t>
      </w:r>
    </w:p>
    <w:p w14:paraId="56C5E4EE" w14:textId="5D04AB3B" w:rsidR="0049627C" w:rsidRPr="00B07C04" w:rsidRDefault="0049627C" w:rsidP="00A62140">
      <w:pPr>
        <w:pStyle w:val="Recommendation"/>
      </w:pPr>
      <w:r w:rsidRPr="00B07C04">
        <w:t xml:space="preserve">Recommendation </w:t>
      </w:r>
      <w:r w:rsidR="00E229F6">
        <w:t>5</w:t>
      </w:r>
    </w:p>
    <w:p w14:paraId="12BFBD63" w14:textId="77777777" w:rsidR="003A3B4B" w:rsidRDefault="003A3B4B" w:rsidP="003A3B4B">
      <w:bookmarkStart w:id="2" w:name="_Hlk164181947"/>
      <w:r>
        <w:t>Expand the facilitation by the Authority for employment and workforce planning at Part 5 to include:</w:t>
      </w:r>
    </w:p>
    <w:p w14:paraId="4262CDA1" w14:textId="4F603049" w:rsidR="0049627C" w:rsidRDefault="0091174F" w:rsidP="00C34185">
      <w:pPr>
        <w:pStyle w:val="ListParagraph"/>
        <w:numPr>
          <w:ilvl w:val="0"/>
          <w:numId w:val="27"/>
        </w:numPr>
      </w:pPr>
      <w:r>
        <w:t>Be</w:t>
      </w:r>
      <w:r w:rsidRPr="0049627C">
        <w:t xml:space="preserve"> </w:t>
      </w:r>
      <w:r w:rsidR="0049627C" w:rsidRPr="0049627C">
        <w:t xml:space="preserve">codesigned with </w:t>
      </w:r>
      <w:r w:rsidR="4BAC3011">
        <w:t>affected people</w:t>
      </w:r>
      <w:r w:rsidR="0049627C" w:rsidRPr="0049627C">
        <w:t xml:space="preserve"> and communities</w:t>
      </w:r>
      <w:r>
        <w:t>.</w:t>
      </w:r>
    </w:p>
    <w:p w14:paraId="6AC2C3A9" w14:textId="382940E1" w:rsidR="0049627C" w:rsidRDefault="003A3B4B" w:rsidP="00C34185">
      <w:pPr>
        <w:pStyle w:val="ListParagraph"/>
        <w:numPr>
          <w:ilvl w:val="0"/>
          <w:numId w:val="27"/>
        </w:numPr>
      </w:pPr>
      <w:r>
        <w:t>E</w:t>
      </w:r>
      <w:r w:rsidR="0049627C">
        <w:t xml:space="preserve">xtend beyond those working in fossil fuel industries to include workers in industries that are typically casualised, short term and/or underpaid, </w:t>
      </w:r>
      <w:r>
        <w:t>a</w:t>
      </w:r>
      <w:r w:rsidR="0091174F">
        <w:t xml:space="preserve">s </w:t>
      </w:r>
      <w:r w:rsidR="0049627C">
        <w:t xml:space="preserve">well as people </w:t>
      </w:r>
      <w:r w:rsidR="00184668">
        <w:t>experiencing barriers to</w:t>
      </w:r>
      <w:r w:rsidR="0049627C">
        <w:t xml:space="preserve"> employment</w:t>
      </w:r>
      <w:r w:rsidR="0091174F">
        <w:t>.</w:t>
      </w:r>
    </w:p>
    <w:p w14:paraId="45A7819C" w14:textId="285035D3" w:rsidR="008C5862" w:rsidRDefault="00C34185" w:rsidP="00C34185">
      <w:pPr>
        <w:pStyle w:val="ListParagraph"/>
        <w:numPr>
          <w:ilvl w:val="0"/>
          <w:numId w:val="27"/>
        </w:numPr>
      </w:pPr>
      <w:r>
        <w:t>I</w:t>
      </w:r>
      <w:r w:rsidR="008C5862">
        <w:t>nclude working</w:t>
      </w:r>
      <w:r w:rsidR="008C5862" w:rsidRPr="0049627C">
        <w:t xml:space="preserve"> with training services like TAFE and others to plan for and invest in regionally based education, </w:t>
      </w:r>
      <w:proofErr w:type="gramStart"/>
      <w:r w:rsidR="008C5862" w:rsidRPr="0049627C">
        <w:t>training</w:t>
      </w:r>
      <w:proofErr w:type="gramEnd"/>
      <w:r w:rsidR="008C5862" w:rsidRPr="0049627C">
        <w:t xml:space="preserve"> and skilling facilities</w:t>
      </w:r>
      <w:r w:rsidR="0091174F">
        <w:t>.</w:t>
      </w:r>
    </w:p>
    <w:p w14:paraId="36B7444F" w14:textId="3ABB82A2" w:rsidR="0061241C" w:rsidRDefault="0011023A" w:rsidP="00C34185">
      <w:pPr>
        <w:pStyle w:val="ListParagraph"/>
        <w:numPr>
          <w:ilvl w:val="0"/>
          <w:numId w:val="27"/>
        </w:numPr>
      </w:pPr>
      <w:r w:rsidRPr="0011023A">
        <w:t>Renewable Energy Zones (REZs)</w:t>
      </w:r>
      <w:r w:rsidR="0091174F">
        <w:t xml:space="preserve"> and other regions and industries affected by climate change and the transition</w:t>
      </w:r>
      <w:r w:rsidR="003A3B4B">
        <w:t xml:space="preserve"> in its scope</w:t>
      </w:r>
      <w:r w:rsidR="0091174F">
        <w:t xml:space="preserve">, commencing with those most affected. </w:t>
      </w:r>
    </w:p>
    <w:p w14:paraId="7C09C915" w14:textId="1A678A06" w:rsidR="0049627C" w:rsidRDefault="0091174F" w:rsidP="00C34185">
      <w:pPr>
        <w:pStyle w:val="ListParagraph"/>
        <w:numPr>
          <w:ilvl w:val="0"/>
          <w:numId w:val="27"/>
        </w:numPr>
      </w:pPr>
      <w:r>
        <w:t>A</w:t>
      </w:r>
      <w:r w:rsidR="0061241C">
        <w:t xml:space="preserve">lign with </w:t>
      </w:r>
      <w:r w:rsidR="0061241C" w:rsidRPr="00106005">
        <w:t>relevant economic participation</w:t>
      </w:r>
      <w:r w:rsidR="00FE5B1E">
        <w:t xml:space="preserve"> and </w:t>
      </w:r>
      <w:r w:rsidR="0061241C" w:rsidRPr="00106005">
        <w:t xml:space="preserve">employment strategies, including the </w:t>
      </w:r>
      <w:hyperlink r:id="rId15" w:history="1">
        <w:r w:rsidR="0061241C" w:rsidRPr="00106005">
          <w:rPr>
            <w:rStyle w:val="Hyperlink"/>
          </w:rPr>
          <w:t>Strategy for Gender Equality</w:t>
        </w:r>
      </w:hyperlink>
      <w:r w:rsidR="0061241C" w:rsidRPr="00106005">
        <w:t xml:space="preserve"> and the </w:t>
      </w:r>
      <w:hyperlink r:id="rId16" w:history="1">
        <w:r w:rsidR="0061241C" w:rsidRPr="00106005">
          <w:rPr>
            <w:rStyle w:val="Hyperlink"/>
          </w:rPr>
          <w:t>Women’s Economic Equality Taskforce’s 10-year plan</w:t>
        </w:r>
      </w:hyperlink>
      <w:r w:rsidR="0061241C" w:rsidRPr="00106005">
        <w:t>, Disability Employment Strategy, Closing the Gap employment targets</w:t>
      </w:r>
      <w:r w:rsidR="00C34185">
        <w:t>, etc</w:t>
      </w:r>
      <w:r w:rsidR="0061241C" w:rsidRPr="00106005">
        <w:t>.</w:t>
      </w:r>
    </w:p>
    <w:bookmarkEnd w:id="2"/>
    <w:p w14:paraId="100B502B" w14:textId="23E43655" w:rsidR="00A712C3" w:rsidRDefault="00203BA5" w:rsidP="00A04ECE">
      <w:pPr>
        <w:pStyle w:val="Heading2"/>
      </w:pPr>
      <w:r>
        <w:t>Require the</w:t>
      </w:r>
      <w:r w:rsidR="00B76327">
        <w:t xml:space="preserve"> Authority’s</w:t>
      </w:r>
      <w:r w:rsidR="00E17619">
        <w:t xml:space="preserve"> Board </w:t>
      </w:r>
      <w:r>
        <w:t xml:space="preserve">to </w:t>
      </w:r>
      <w:r w:rsidR="00E17619">
        <w:t>include</w:t>
      </w:r>
      <w:r w:rsidR="00B76327">
        <w:t xml:space="preserve"> community</w:t>
      </w:r>
      <w:r w:rsidR="00E17619">
        <w:t xml:space="preserve"> </w:t>
      </w:r>
      <w:proofErr w:type="gramStart"/>
      <w:r w:rsidR="00E17619">
        <w:t>representation</w:t>
      </w:r>
      <w:proofErr w:type="gramEnd"/>
      <w:r w:rsidR="00E17619">
        <w:t xml:space="preserve"> </w:t>
      </w:r>
    </w:p>
    <w:p w14:paraId="382C8B0A" w14:textId="60EB7343" w:rsidR="00184668" w:rsidRDefault="00E77E88" w:rsidP="00A6447D">
      <w:r>
        <w:t xml:space="preserve">The Bill proposes </w:t>
      </w:r>
      <w:r w:rsidR="00572EDD">
        <w:t>the</w:t>
      </w:r>
      <w:r>
        <w:t xml:space="preserve"> Authority </w:t>
      </w:r>
      <w:r w:rsidR="00572EDD">
        <w:t xml:space="preserve">consist of </w:t>
      </w:r>
      <w:r>
        <w:t xml:space="preserve">a Board, </w:t>
      </w:r>
      <w:proofErr w:type="gramStart"/>
      <w:r>
        <w:t>CEO</w:t>
      </w:r>
      <w:proofErr w:type="gramEnd"/>
      <w:r>
        <w:t xml:space="preserve"> and staff. </w:t>
      </w:r>
      <w:r w:rsidR="00A6447D">
        <w:t xml:space="preserve">The </w:t>
      </w:r>
      <w:r w:rsidR="00184668">
        <w:t xml:space="preserve">Board will hold </w:t>
      </w:r>
      <w:r w:rsidR="00A6447D">
        <w:t xml:space="preserve">at least </w:t>
      </w:r>
      <w:r w:rsidR="00E67141">
        <w:t>six</w:t>
      </w:r>
      <w:r w:rsidR="00A6447D">
        <w:t xml:space="preserve"> meetings per year, with more meetings if required. </w:t>
      </w:r>
      <w:r w:rsidR="00184668">
        <w:t>The Board will set the strategic direction for the Authority and the Minister may give directions to the Board.</w:t>
      </w:r>
    </w:p>
    <w:p w14:paraId="10B9612E" w14:textId="14416B70" w:rsidR="00E17619" w:rsidRDefault="00E17619" w:rsidP="00E17619">
      <w:r>
        <w:t xml:space="preserve">The </w:t>
      </w:r>
      <w:r w:rsidR="00184668">
        <w:t xml:space="preserve">Bill </w:t>
      </w:r>
      <w:r w:rsidR="00E67141">
        <w:t xml:space="preserve">further </w:t>
      </w:r>
      <w:r w:rsidR="00184668">
        <w:t xml:space="preserve">proposes the </w:t>
      </w:r>
      <w:r w:rsidR="00203BA5">
        <w:t>Board</w:t>
      </w:r>
      <w:r w:rsidR="00634126">
        <w:t xml:space="preserve"> </w:t>
      </w:r>
      <w:r w:rsidR="00B43099">
        <w:t>comprise</w:t>
      </w:r>
      <w:r w:rsidR="00634126">
        <w:t>s</w:t>
      </w:r>
      <w:r w:rsidR="00B43099">
        <w:t xml:space="preserve"> a</w:t>
      </w:r>
      <w:r>
        <w:t xml:space="preserve"> minimum of </w:t>
      </w:r>
      <w:r w:rsidR="00A6447D">
        <w:t>six</w:t>
      </w:r>
      <w:r>
        <w:t xml:space="preserve"> and maximum of </w:t>
      </w:r>
      <w:r w:rsidR="00A6447D">
        <w:t>nine</w:t>
      </w:r>
      <w:r>
        <w:t xml:space="preserve"> members, including the Chair. </w:t>
      </w:r>
      <w:r w:rsidR="00A6447D">
        <w:t>Board membership would have a</w:t>
      </w:r>
      <w:r>
        <w:t xml:space="preserve"> skills</w:t>
      </w:r>
      <w:r w:rsidR="00203BA5">
        <w:t>-</w:t>
      </w:r>
      <w:r>
        <w:t>based approach</w:t>
      </w:r>
      <w:r w:rsidR="00203BA5">
        <w:t>,</w:t>
      </w:r>
      <w:r>
        <w:t xml:space="preserve"> </w:t>
      </w:r>
      <w:r w:rsidR="00203BA5">
        <w:t xml:space="preserve">comprising </w:t>
      </w:r>
      <w:r w:rsidR="00A6447D">
        <w:t>two</w:t>
      </w:r>
      <w:r>
        <w:t xml:space="preserve"> people with expertise or experience in the trade union movement, </w:t>
      </w:r>
      <w:r w:rsidR="00A6447D">
        <w:t>two</w:t>
      </w:r>
      <w:r>
        <w:t xml:space="preserve"> people in business industry</w:t>
      </w:r>
      <w:r w:rsidR="00FA590A">
        <w:t>,</w:t>
      </w:r>
      <w:r>
        <w:t xml:space="preserve"> finance or investment, and the remainder from a range of other fields</w:t>
      </w:r>
      <w:r w:rsidR="00A6447D">
        <w:t>,</w:t>
      </w:r>
      <w:r>
        <w:t xml:space="preserve"> including Indigenous engagement advocacy or community leadership. </w:t>
      </w:r>
    </w:p>
    <w:p w14:paraId="76D95D49" w14:textId="5957A07C" w:rsidR="00184668" w:rsidRDefault="00184668" w:rsidP="00184668">
      <w:r>
        <w:t>ACOSS supports the proposed structure, functions and governance arrangements for the Authority and Board.</w:t>
      </w:r>
      <w:r w:rsidR="004F33EA">
        <w:t xml:space="preserve"> However, </w:t>
      </w:r>
      <w:bookmarkStart w:id="3" w:name="_Toc162253123"/>
      <w:r w:rsidR="00302F44">
        <w:t xml:space="preserve">Division 3, Section </w:t>
      </w:r>
      <w:r w:rsidR="00302F44" w:rsidRPr="00853B30">
        <w:rPr>
          <w:rStyle w:val="CharSectno"/>
        </w:rPr>
        <w:t>23</w:t>
      </w:r>
      <w:r w:rsidR="00302F44" w:rsidRPr="009E4D18">
        <w:t xml:space="preserve"> </w:t>
      </w:r>
      <w:bookmarkEnd w:id="3"/>
      <w:r w:rsidR="00302F44">
        <w:t xml:space="preserve">of the Bill </w:t>
      </w:r>
      <w:r w:rsidR="008F7A4F">
        <w:t xml:space="preserve">should be amended to specify representatives </w:t>
      </w:r>
      <w:r w:rsidR="00A858F4">
        <w:t>from</w:t>
      </w:r>
      <w:r w:rsidR="008F7A4F">
        <w:t xml:space="preserve"> the community sector </w:t>
      </w:r>
      <w:r w:rsidR="007E6126">
        <w:t xml:space="preserve">and </w:t>
      </w:r>
      <w:r w:rsidR="00997E40">
        <w:t>First Nations communities.</w:t>
      </w:r>
    </w:p>
    <w:p w14:paraId="2435B248" w14:textId="4F104770" w:rsidR="00CF39CE" w:rsidRDefault="00E17619" w:rsidP="00CF39CE">
      <w:r w:rsidRPr="0049627C">
        <w:t xml:space="preserve">ACOSS strongly </w:t>
      </w:r>
      <w:r w:rsidR="00A6447D" w:rsidRPr="0049627C">
        <w:t>recommends</w:t>
      </w:r>
      <w:r w:rsidRPr="0049627C">
        <w:t xml:space="preserve"> </w:t>
      </w:r>
      <w:r w:rsidR="00CC06B4">
        <w:t>at least two</w:t>
      </w:r>
      <w:r w:rsidRPr="0049627C">
        <w:t xml:space="preserve"> </w:t>
      </w:r>
      <w:r w:rsidR="0049627C">
        <w:t>B</w:t>
      </w:r>
      <w:r w:rsidRPr="0049627C">
        <w:t>oard members have expertise or experience in the community sector and working with regional communities</w:t>
      </w:r>
      <w:r w:rsidR="00DD0581">
        <w:t>,</w:t>
      </w:r>
      <w:r w:rsidRPr="0049627C">
        <w:t xml:space="preserve"> </w:t>
      </w:r>
      <w:r w:rsidR="00316EA5" w:rsidRPr="0049627C">
        <w:t xml:space="preserve">so </w:t>
      </w:r>
      <w:r w:rsidR="00DD0581">
        <w:t xml:space="preserve">that </w:t>
      </w:r>
      <w:r w:rsidR="00316EA5" w:rsidRPr="0049627C">
        <w:t>the</w:t>
      </w:r>
      <w:r w:rsidRPr="0049627C">
        <w:t xml:space="preserve"> Board consider</w:t>
      </w:r>
      <w:r w:rsidR="0049627C">
        <w:t>s</w:t>
      </w:r>
      <w:r w:rsidRPr="0049627C">
        <w:t xml:space="preserve"> diverse community concerns.</w:t>
      </w:r>
      <w:r>
        <w:t xml:space="preserve"> This is critical to secure social license for the transition. In consultations with ACOSS and other entities, regional communities have raised significant concerns about social issues, risks and opportunities associated with the transition. These are likely to be overlooked if community advocates are not in the room when the Authority’s Board is deliberating.</w:t>
      </w:r>
      <w:r w:rsidR="00CF39CE">
        <w:t xml:space="preserve"> Similarly, ACOSS recommends that in addition, at least </w:t>
      </w:r>
      <w:r w:rsidR="00CC06B4">
        <w:t>one</w:t>
      </w:r>
      <w:r w:rsidR="003E104D">
        <w:t xml:space="preserve"> First Nations</w:t>
      </w:r>
      <w:r w:rsidR="00CF39CE">
        <w:t xml:space="preserve"> representative be appointed to ensure Indigenous engagement and community benefit are considered by the Board. Selection of </w:t>
      </w:r>
      <w:r w:rsidR="00CC06B4">
        <w:t>an appropriate person</w:t>
      </w:r>
      <w:r w:rsidR="00CF39CE">
        <w:t xml:space="preserve"> should be done in consultation with First Nations organisations and leaders.</w:t>
      </w:r>
      <w:r w:rsidR="00CC06B4">
        <w:t xml:space="preserve"> </w:t>
      </w:r>
      <w:r w:rsidR="009535C4">
        <w:t>Th</w:t>
      </w:r>
      <w:r w:rsidR="00E71913">
        <w:t>is will require a minimum of seven board members</w:t>
      </w:r>
      <w:r w:rsidR="00E11F36">
        <w:t>, along with another two from a range of fields</w:t>
      </w:r>
      <w:r w:rsidR="009E17F5">
        <w:t xml:space="preserve"> to ensure diversity across the Board.</w:t>
      </w:r>
    </w:p>
    <w:p w14:paraId="046C310D" w14:textId="42A9BE87" w:rsidR="0049627C" w:rsidRDefault="0049627C" w:rsidP="0049627C">
      <w:r>
        <w:t>ACOSS supports remuneration of board members in acknowledgement of the time, workload and expertise required to fulfill this task.</w:t>
      </w:r>
    </w:p>
    <w:p w14:paraId="018C2FB5" w14:textId="7B859BB6" w:rsidR="0049627C" w:rsidRDefault="0049627C" w:rsidP="00A62140">
      <w:pPr>
        <w:pStyle w:val="Recommendation"/>
        <w:rPr>
          <w:color w:val="FF0000"/>
        </w:rPr>
      </w:pPr>
      <w:r w:rsidRPr="00B07C04">
        <w:t xml:space="preserve">Recommendation </w:t>
      </w:r>
      <w:r w:rsidR="00C34185">
        <w:t>6</w:t>
      </w:r>
      <w:r w:rsidRPr="00B07C04">
        <w:t xml:space="preserve"> </w:t>
      </w:r>
    </w:p>
    <w:p w14:paraId="6B7FCD16" w14:textId="7CB69E77" w:rsidR="009E17F5" w:rsidRPr="009E17F5" w:rsidRDefault="009D4653" w:rsidP="009E17F5">
      <w:r>
        <w:t xml:space="preserve">Board membership </w:t>
      </w:r>
      <w:r w:rsidR="00C34185">
        <w:t xml:space="preserve">at Part 3 </w:t>
      </w:r>
      <w:r w:rsidR="00E1553D">
        <w:t xml:space="preserve">to </w:t>
      </w:r>
      <w:r>
        <w:t xml:space="preserve">include </w:t>
      </w:r>
      <w:r w:rsidR="009E17F5">
        <w:t xml:space="preserve">at least </w:t>
      </w:r>
      <w:r w:rsidR="003D2056">
        <w:t xml:space="preserve">one </w:t>
      </w:r>
      <w:r w:rsidR="00C748A1">
        <w:t>representative from</w:t>
      </w:r>
      <w:r w:rsidR="0023591B">
        <w:t xml:space="preserve"> the community sector, at least one representative for regional communit</w:t>
      </w:r>
      <w:r>
        <w:t>ies</w:t>
      </w:r>
      <w:r w:rsidR="0023591B">
        <w:t xml:space="preserve"> and </w:t>
      </w:r>
      <w:r w:rsidR="001925D7">
        <w:t>at least one First Nations organisation leader</w:t>
      </w:r>
      <w:r w:rsidR="00206C5F">
        <w:t>, in addition to the Bill’s proposal for</w:t>
      </w:r>
      <w:r w:rsidR="00B844F2">
        <w:t xml:space="preserve"> </w:t>
      </w:r>
      <w:r w:rsidR="009E17F5">
        <w:t>two people with expertise or experience in the trade union movement</w:t>
      </w:r>
      <w:r w:rsidR="00B844F2">
        <w:t xml:space="preserve"> and</w:t>
      </w:r>
      <w:r w:rsidR="009E17F5">
        <w:t xml:space="preserve"> two people in business industry, finance or investment</w:t>
      </w:r>
      <w:r w:rsidR="00B844F2">
        <w:t xml:space="preserve">. </w:t>
      </w:r>
      <w:r w:rsidR="00206C5F">
        <w:t>Th</w:t>
      </w:r>
      <w:r w:rsidR="00142243">
        <w:t xml:space="preserve">is will require a minimum </w:t>
      </w:r>
      <w:r w:rsidR="00206C5F">
        <w:t xml:space="preserve">seven </w:t>
      </w:r>
      <w:r w:rsidR="00142243">
        <w:t xml:space="preserve">Board </w:t>
      </w:r>
      <w:r w:rsidR="00206C5F">
        <w:t>members</w:t>
      </w:r>
      <w:r w:rsidR="00142243">
        <w:t>.</w:t>
      </w:r>
      <w:r w:rsidR="00206C5F">
        <w:t xml:space="preserve"> </w:t>
      </w:r>
      <w:r w:rsidR="007A2AAB">
        <w:t>Ano</w:t>
      </w:r>
      <w:r w:rsidR="00CA092F">
        <w:t>t</w:t>
      </w:r>
      <w:r w:rsidR="007A2AAB">
        <w:t xml:space="preserve">her two </w:t>
      </w:r>
      <w:r w:rsidR="00CA092F">
        <w:t xml:space="preserve">representatives could be from a range of fields. </w:t>
      </w:r>
      <w:r w:rsidR="06509757">
        <w:t>There should be diversity cross the Board, including gender, socio-economic, age and cultural diversity.</w:t>
      </w:r>
    </w:p>
    <w:p w14:paraId="63EF2EDC" w14:textId="6BB2DF64" w:rsidR="006C6786" w:rsidRDefault="006C6786" w:rsidP="006C6786">
      <w:pPr>
        <w:pStyle w:val="Heading2"/>
      </w:pPr>
      <w:r>
        <w:t xml:space="preserve">Ensure the Stakeholder Panel include </w:t>
      </w:r>
      <w:r w:rsidR="00C9633B">
        <w:t xml:space="preserve">community and community sector </w:t>
      </w:r>
      <w:proofErr w:type="gramStart"/>
      <w:r>
        <w:t>representation</w:t>
      </w:r>
      <w:proofErr w:type="gramEnd"/>
    </w:p>
    <w:p w14:paraId="39F8CAC9" w14:textId="77777777" w:rsidR="00A6447D" w:rsidRDefault="006C6786" w:rsidP="006C6786">
      <w:r>
        <w:t xml:space="preserve">The Bill proposes a Stakeholder Panel be established to give advice and information to the Board. Its membership is intended to have an appropriate balance of skills, knowledge or expertise in fields related to the functions of the Authority. </w:t>
      </w:r>
    </w:p>
    <w:p w14:paraId="663F19D9" w14:textId="4C15A67C" w:rsidR="0049627C" w:rsidRDefault="0049627C" w:rsidP="0049627C">
      <w:r>
        <w:t xml:space="preserve">ACOSS supports the establishment of a Stakeholder Panel and </w:t>
      </w:r>
      <w:r w:rsidRPr="0049627C">
        <w:t xml:space="preserve">recommends that it include community and community sector representation, including </w:t>
      </w:r>
      <w:r w:rsidR="003C6C46">
        <w:t>First Nations P</w:t>
      </w:r>
      <w:r w:rsidRPr="0049627C">
        <w:t xml:space="preserve">eople </w:t>
      </w:r>
      <w:r w:rsidR="003C6C46">
        <w:t xml:space="preserve">and people </w:t>
      </w:r>
      <w:r w:rsidRPr="0049627C">
        <w:t>with lived experience of disadvantage.</w:t>
      </w:r>
      <w:r>
        <w:t xml:space="preserve"> </w:t>
      </w:r>
    </w:p>
    <w:p w14:paraId="7BE2C653" w14:textId="3848B819" w:rsidR="00A6447D" w:rsidRPr="00B07C04" w:rsidRDefault="00A6447D" w:rsidP="00A62140">
      <w:pPr>
        <w:pStyle w:val="Recommendation"/>
      </w:pPr>
      <w:r w:rsidRPr="00B07C04">
        <w:t xml:space="preserve">Recommendation </w:t>
      </w:r>
      <w:r w:rsidR="00CC1D0A">
        <w:t>7</w:t>
      </w:r>
      <w:r w:rsidRPr="00B07C04">
        <w:t xml:space="preserve"> </w:t>
      </w:r>
    </w:p>
    <w:p w14:paraId="69E59B9D" w14:textId="77CF6D0D" w:rsidR="006C6786" w:rsidRDefault="0049627C" w:rsidP="00177642">
      <w:bookmarkStart w:id="4" w:name="_Hlk164182037"/>
      <w:r>
        <w:t xml:space="preserve">The </w:t>
      </w:r>
      <w:r w:rsidR="006C6786">
        <w:t xml:space="preserve">Stakeholder Panel </w:t>
      </w:r>
      <w:r w:rsidR="006C6786" w:rsidRPr="0049627C">
        <w:t xml:space="preserve">include community and community sector representation, including </w:t>
      </w:r>
      <w:r w:rsidR="003C6C46">
        <w:t xml:space="preserve">First Nations People and </w:t>
      </w:r>
      <w:r w:rsidR="006C6786" w:rsidRPr="0049627C">
        <w:t>people with lived experience of disadvantage.</w:t>
      </w:r>
      <w:r w:rsidR="006C6786">
        <w:t xml:space="preserve"> </w:t>
      </w:r>
    </w:p>
    <w:bookmarkEnd w:id="4"/>
    <w:p w14:paraId="15FF5FE3" w14:textId="77777777" w:rsidR="00184668" w:rsidRDefault="00184668" w:rsidP="00184668">
      <w:pPr>
        <w:pStyle w:val="Heading2"/>
      </w:pPr>
      <w:r>
        <w:t>Annual report</w:t>
      </w:r>
    </w:p>
    <w:p w14:paraId="010E56AB" w14:textId="77777777" w:rsidR="00184668" w:rsidRDefault="00184668" w:rsidP="00184668">
      <w:r>
        <w:t xml:space="preserve">The Bill proposes the Board of the Authority prepare an Annual Report for the Minister. </w:t>
      </w:r>
    </w:p>
    <w:p w14:paraId="1E1F9160" w14:textId="77777777" w:rsidR="00184668" w:rsidRPr="00B07C04" w:rsidRDefault="00184668" w:rsidP="00184668">
      <w:r>
        <w:t xml:space="preserve">ACOSS supports annual reporting that is made public. We recommend that annual reporting include reporting against equity principles established for the Board and Authority. </w:t>
      </w:r>
    </w:p>
    <w:p w14:paraId="696C0F0E" w14:textId="0E7BADA3" w:rsidR="0099144D" w:rsidRPr="00B07C04" w:rsidRDefault="0099144D" w:rsidP="00A62140">
      <w:pPr>
        <w:pStyle w:val="Recommendation"/>
      </w:pPr>
      <w:r w:rsidRPr="00B07C04">
        <w:t xml:space="preserve">Recommendation </w:t>
      </w:r>
      <w:r w:rsidR="00CC1D0A">
        <w:t>8</w:t>
      </w:r>
      <w:r w:rsidRPr="00B07C04">
        <w:t xml:space="preserve"> </w:t>
      </w:r>
    </w:p>
    <w:p w14:paraId="69FB72A6" w14:textId="78325901" w:rsidR="00FA298E" w:rsidRDefault="0049627C" w:rsidP="00177642">
      <w:bookmarkStart w:id="5" w:name="_Hlk164182060"/>
      <w:r>
        <w:t xml:space="preserve">Annual reporting </w:t>
      </w:r>
      <w:proofErr w:type="gramStart"/>
      <w:r>
        <w:t>include</w:t>
      </w:r>
      <w:proofErr w:type="gramEnd"/>
      <w:r>
        <w:t xml:space="preserve"> reporting against equity principles established for the Board and Authority.</w:t>
      </w:r>
    </w:p>
    <w:p w14:paraId="397D831C" w14:textId="739D7159" w:rsidR="00282C50" w:rsidRDefault="00282C50" w:rsidP="00282C50">
      <w:pPr>
        <w:pStyle w:val="Heading2"/>
      </w:pPr>
      <w:r>
        <w:t>Related legislation</w:t>
      </w:r>
    </w:p>
    <w:p w14:paraId="2BE54D17" w14:textId="7A38FCC2" w:rsidR="00282C50" w:rsidRPr="00282C50" w:rsidRDefault="00282C50" w:rsidP="00C02DC5">
      <w:r>
        <w:t xml:space="preserve">ACOSS considers that </w:t>
      </w:r>
      <w:r w:rsidR="73E9E649">
        <w:t xml:space="preserve">fair, equitable and </w:t>
      </w:r>
      <w:r w:rsidR="01BFAB0C">
        <w:t>inclusive</w:t>
      </w:r>
      <w:r w:rsidR="73E9E649">
        <w:t xml:space="preserve"> climate </w:t>
      </w:r>
      <w:r w:rsidR="15B1F602">
        <w:t>change</w:t>
      </w:r>
      <w:r w:rsidR="73E9E649">
        <w:t xml:space="preserve"> action</w:t>
      </w:r>
      <w:r w:rsidR="00C02DC5">
        <w:t xml:space="preserve"> </w:t>
      </w:r>
      <w:r w:rsidR="68FB3E45">
        <w:t>is</w:t>
      </w:r>
      <w:r>
        <w:t xml:space="preserve"> critical to</w:t>
      </w:r>
      <w:r w:rsidR="00BE0F32">
        <w:t xml:space="preserve"> </w:t>
      </w:r>
      <w:r w:rsidR="00A7750E">
        <w:t>maintaining</w:t>
      </w:r>
      <w:r>
        <w:t xml:space="preserve"> social license for the transition to net zero emissions</w:t>
      </w:r>
      <w:r w:rsidR="1CCE5C67">
        <w:t xml:space="preserve"> and </w:t>
      </w:r>
      <w:r w:rsidR="00A7750E">
        <w:t xml:space="preserve">to </w:t>
      </w:r>
      <w:r w:rsidR="1CCE5C67">
        <w:t>ensure no-one is left behind</w:t>
      </w:r>
      <w:r>
        <w:t xml:space="preserve">.  </w:t>
      </w:r>
    </w:p>
    <w:p w14:paraId="3D16929B" w14:textId="604ED08A" w:rsidR="00282C50" w:rsidRPr="00282C50" w:rsidRDefault="5398F4AF" w:rsidP="00C02DC5">
      <w:r>
        <w:t xml:space="preserve">While we have recommended </w:t>
      </w:r>
      <w:r w:rsidR="699CB81F">
        <w:t xml:space="preserve">the incorporation </w:t>
      </w:r>
      <w:r>
        <w:t xml:space="preserve">of fairness, </w:t>
      </w:r>
      <w:proofErr w:type="gramStart"/>
      <w:r>
        <w:t>equity</w:t>
      </w:r>
      <w:proofErr w:type="gramEnd"/>
      <w:r>
        <w:t xml:space="preserve"> and </w:t>
      </w:r>
      <w:r w:rsidR="28582AAE">
        <w:t>inclusion</w:t>
      </w:r>
      <w:r>
        <w:t xml:space="preserve"> in the </w:t>
      </w:r>
      <w:r w:rsidR="7107EBCE">
        <w:t>objective</w:t>
      </w:r>
      <w:r w:rsidR="5B5B32D3">
        <w:t xml:space="preserve"> </w:t>
      </w:r>
      <w:r>
        <w:t xml:space="preserve">of this Bill, it is important they are also reflected in the </w:t>
      </w:r>
      <w:r w:rsidRPr="00A7750E">
        <w:rPr>
          <w:i/>
          <w:iCs/>
        </w:rPr>
        <w:t xml:space="preserve">Climate </w:t>
      </w:r>
      <w:r w:rsidR="577D1FD1" w:rsidRPr="00A7750E">
        <w:rPr>
          <w:i/>
          <w:iCs/>
        </w:rPr>
        <w:t>Change</w:t>
      </w:r>
      <w:r w:rsidRPr="00A7750E">
        <w:rPr>
          <w:i/>
          <w:iCs/>
        </w:rPr>
        <w:t xml:space="preserve"> Act 2022</w:t>
      </w:r>
      <w:r>
        <w:t xml:space="preserve"> </w:t>
      </w:r>
      <w:r w:rsidR="00A7750E">
        <w:t>so</w:t>
      </w:r>
      <w:r w:rsidR="183D0C2B">
        <w:t xml:space="preserve"> that other departments and agencies working with the </w:t>
      </w:r>
      <w:r w:rsidR="00A7750E">
        <w:t>N</w:t>
      </w:r>
      <w:r w:rsidR="183D0C2B">
        <w:t xml:space="preserve">et </w:t>
      </w:r>
      <w:r w:rsidR="00A7750E">
        <w:t>Z</w:t>
      </w:r>
      <w:r w:rsidR="183D0C2B">
        <w:t xml:space="preserve">ero </w:t>
      </w:r>
      <w:r w:rsidR="00A7750E">
        <w:t>Economy A</w:t>
      </w:r>
      <w:r w:rsidR="183D0C2B">
        <w:t xml:space="preserve">uthority have these </w:t>
      </w:r>
      <w:r w:rsidR="39483D2D">
        <w:t>objectives</w:t>
      </w:r>
      <w:r w:rsidR="183D0C2B">
        <w:t xml:space="preserve"> as part of their remit as well</w:t>
      </w:r>
      <w:r w:rsidR="00A7750E">
        <w:t xml:space="preserve">. Not having those provisions in the </w:t>
      </w:r>
      <w:r w:rsidR="00A7750E" w:rsidRPr="00A7750E">
        <w:rPr>
          <w:i/>
          <w:iCs/>
        </w:rPr>
        <w:t>Climate Change Act 2022</w:t>
      </w:r>
      <w:r w:rsidR="183D0C2B">
        <w:t xml:space="preserve"> risk</w:t>
      </w:r>
      <w:r w:rsidR="00A7750E">
        <w:t>s</w:t>
      </w:r>
      <w:r w:rsidR="183D0C2B">
        <w:t xml:space="preserve"> </w:t>
      </w:r>
      <w:r w:rsidR="027C2D83">
        <w:t>undermining</w:t>
      </w:r>
      <w:r w:rsidR="183D0C2B">
        <w:t xml:space="preserve"> the goals of the </w:t>
      </w:r>
      <w:r w:rsidR="6D46F541">
        <w:t>Authority</w:t>
      </w:r>
      <w:r w:rsidR="183D0C2B">
        <w:t xml:space="preserve"> and</w:t>
      </w:r>
      <w:r w:rsidR="6E853A6A">
        <w:t xml:space="preserve"> risk</w:t>
      </w:r>
      <w:r w:rsidR="00A7750E">
        <w:t>s</w:t>
      </w:r>
      <w:r w:rsidR="6E853A6A">
        <w:t xml:space="preserve"> </w:t>
      </w:r>
      <w:r w:rsidR="3CC9270B">
        <w:t xml:space="preserve">an </w:t>
      </w:r>
      <w:r w:rsidR="6E853A6A">
        <w:t>ine</w:t>
      </w:r>
      <w:r w:rsidR="553F8A0B">
        <w:t>qu</w:t>
      </w:r>
      <w:r w:rsidR="6E853A6A">
        <w:t>i</w:t>
      </w:r>
      <w:r w:rsidR="79EC4962">
        <w:t>t</w:t>
      </w:r>
      <w:r w:rsidR="6E853A6A">
        <w:t xml:space="preserve">able </w:t>
      </w:r>
      <w:r w:rsidR="7B16A545">
        <w:t>transformation</w:t>
      </w:r>
      <w:r w:rsidR="6E853A6A">
        <w:t xml:space="preserve"> that increases inequalit</w:t>
      </w:r>
      <w:r w:rsidR="14114AA6">
        <w:t xml:space="preserve">y, </w:t>
      </w:r>
      <w:proofErr w:type="gramStart"/>
      <w:r w:rsidR="14114AA6">
        <w:t>poverty</w:t>
      </w:r>
      <w:proofErr w:type="gramEnd"/>
      <w:r w:rsidR="14114AA6">
        <w:t xml:space="preserve"> and disadvantage</w:t>
      </w:r>
      <w:r w:rsidR="00A7750E">
        <w:t>.</w:t>
      </w:r>
      <w:r w:rsidR="00282C50">
        <w:t xml:space="preserve"> </w:t>
      </w:r>
    </w:p>
    <w:p w14:paraId="3CCA0FBA" w14:textId="3A1859E8" w:rsidR="00282C50" w:rsidRPr="00B07C04" w:rsidRDefault="00282C50" w:rsidP="00A62140">
      <w:pPr>
        <w:pStyle w:val="Recommendation"/>
      </w:pPr>
      <w:r w:rsidRPr="00B07C04">
        <w:t xml:space="preserve">Recommendation </w:t>
      </w:r>
      <w:r w:rsidR="00CC1D0A">
        <w:t>9</w:t>
      </w:r>
      <w:r w:rsidRPr="00B07C04">
        <w:t xml:space="preserve"> </w:t>
      </w:r>
    </w:p>
    <w:p w14:paraId="31457A28" w14:textId="43D8F55A" w:rsidR="00282C50" w:rsidRPr="00B203A3" w:rsidRDefault="00282C50" w:rsidP="00282C50">
      <w:r>
        <w:t xml:space="preserve">The Federal Government amend the </w:t>
      </w:r>
      <w:r w:rsidRPr="00177642">
        <w:rPr>
          <w:i/>
          <w:iCs/>
        </w:rPr>
        <w:t>Climate Change Act</w:t>
      </w:r>
      <w:r w:rsidR="00A7750E">
        <w:rPr>
          <w:i/>
          <w:iCs/>
        </w:rPr>
        <w:t xml:space="preserve"> 2022</w:t>
      </w:r>
      <w:r>
        <w:t xml:space="preserve"> to insert </w:t>
      </w:r>
      <w:r w:rsidR="2A226BFC">
        <w:t xml:space="preserve">fairness, </w:t>
      </w:r>
      <w:r w:rsidR="006E5B4B">
        <w:t xml:space="preserve">equity and inclusion </w:t>
      </w:r>
      <w:r>
        <w:t xml:space="preserve">objectives, </w:t>
      </w:r>
      <w:proofErr w:type="gramStart"/>
      <w:r>
        <w:t>principles</w:t>
      </w:r>
      <w:proofErr w:type="gramEnd"/>
      <w:r>
        <w:t xml:space="preserve"> and processes</w:t>
      </w:r>
      <w:r w:rsidR="6CB1D2E3">
        <w:t>,</w:t>
      </w:r>
      <w:r>
        <w:t xml:space="preserve"> to guide </w:t>
      </w:r>
      <w:r w:rsidR="44008B02">
        <w:t>pol</w:t>
      </w:r>
      <w:r w:rsidR="4F4BE01E">
        <w:t>icies,</w:t>
      </w:r>
      <w:r w:rsidR="44008B02">
        <w:t xml:space="preserve"> programs and process </w:t>
      </w:r>
      <w:r w:rsidR="2133B9B2">
        <w:t>to</w:t>
      </w:r>
      <w:r w:rsidR="5F4786B9">
        <w:t xml:space="preserve"> </w:t>
      </w:r>
      <w:r w:rsidR="00A7750E">
        <w:t xml:space="preserve">ensure </w:t>
      </w:r>
      <w:r w:rsidR="06622FEA">
        <w:t>benefits are fairly shared, peo</w:t>
      </w:r>
      <w:r w:rsidR="00A7750E">
        <w:t>p</w:t>
      </w:r>
      <w:r w:rsidR="06622FEA">
        <w:t>le</w:t>
      </w:r>
      <w:r w:rsidR="00A7750E">
        <w:t>’s</w:t>
      </w:r>
      <w:r w:rsidR="06622FEA">
        <w:t xml:space="preserve"> lives are better </w:t>
      </w:r>
      <w:r w:rsidR="5F4786B9">
        <w:t xml:space="preserve">and </w:t>
      </w:r>
      <w:r w:rsidR="00A7750E">
        <w:t>that</w:t>
      </w:r>
      <w:r w:rsidR="5F4786B9">
        <w:t xml:space="preserve"> no-one is left behind in the </w:t>
      </w:r>
      <w:r w:rsidR="32173C6A">
        <w:t>transformation</w:t>
      </w:r>
      <w:r w:rsidR="00A7750E">
        <w:t>.</w:t>
      </w:r>
    </w:p>
    <w:bookmarkEnd w:id="5"/>
    <w:p w14:paraId="7CFE82D0" w14:textId="38DD2D55" w:rsidR="00C0614D" w:rsidRPr="00B07C04" w:rsidRDefault="00C0614D" w:rsidP="00261645">
      <w:pPr>
        <w:pStyle w:val="Heading4"/>
      </w:pPr>
      <w:r w:rsidRPr="00B07C04">
        <w:t xml:space="preserve">Acknowledgements </w:t>
      </w:r>
    </w:p>
    <w:p w14:paraId="784761CE" w14:textId="77777777" w:rsidR="003A5510" w:rsidRDefault="003A5510" w:rsidP="003A5510">
      <w:r>
        <w:t xml:space="preserve">ACOSS prepared this submission in consultation with the ACOSS Climate and Energy Policy Network. </w:t>
      </w:r>
    </w:p>
    <w:p w14:paraId="4D96C1E0" w14:textId="754BCEBF" w:rsidR="00A92E5F" w:rsidRPr="00B07C04" w:rsidRDefault="00A92E5F" w:rsidP="00261645">
      <w:pPr>
        <w:pStyle w:val="Heading4"/>
      </w:pPr>
      <w:r w:rsidRPr="00B07C04">
        <w:t xml:space="preserve">Contact </w:t>
      </w:r>
    </w:p>
    <w:p w14:paraId="2B9891A8" w14:textId="2618EC28" w:rsidR="00A92E5F" w:rsidRPr="00B07C04" w:rsidRDefault="004D63F2" w:rsidP="00F22ED9">
      <w:pPr>
        <w:pStyle w:val="Footer"/>
        <w:spacing w:before="0" w:after="0"/>
      </w:pPr>
      <w:r>
        <w:t>Rochelle Braaf</w:t>
      </w:r>
    </w:p>
    <w:p w14:paraId="1718A75C" w14:textId="6CE869F9" w:rsidR="00A92E5F" w:rsidRPr="00B07C04" w:rsidRDefault="004D63F2" w:rsidP="00F22ED9">
      <w:pPr>
        <w:pStyle w:val="Footer"/>
        <w:spacing w:before="0" w:after="0"/>
      </w:pPr>
      <w:r>
        <w:t>Senior Advisor Climate and Energy</w:t>
      </w:r>
    </w:p>
    <w:p w14:paraId="27D93948" w14:textId="40AA8FEB" w:rsidR="00A92E5F" w:rsidRPr="00B07C04" w:rsidRDefault="004D63F2" w:rsidP="00F22ED9">
      <w:pPr>
        <w:pStyle w:val="Footer"/>
        <w:spacing w:before="0" w:after="0"/>
      </w:pPr>
      <w:r>
        <w:t>rochelle@acoss.org.au</w:t>
      </w:r>
    </w:p>
    <w:p w14:paraId="53775639" w14:textId="77777777" w:rsidR="00A92E5F" w:rsidRPr="00B07C04" w:rsidRDefault="00A92E5F" w:rsidP="00261645">
      <w:pPr>
        <w:pStyle w:val="List3"/>
      </w:pPr>
    </w:p>
    <w:sectPr w:rsidR="00A92E5F" w:rsidRPr="00B07C04" w:rsidSect="00851E09">
      <w:headerReference w:type="default" r:id="rId17"/>
      <w:footerReference w:type="default" r:id="rId18"/>
      <w:headerReference w:type="first" r:id="rId19"/>
      <w:footerReference w:type="first" r:id="rId20"/>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68F20" w14:textId="77777777" w:rsidR="00730354" w:rsidRDefault="00730354" w:rsidP="00261645">
      <w:r>
        <w:separator/>
      </w:r>
    </w:p>
  </w:endnote>
  <w:endnote w:type="continuationSeparator" w:id="0">
    <w:p w14:paraId="2C98D472" w14:textId="77777777" w:rsidR="00730354" w:rsidRDefault="00730354" w:rsidP="00261645">
      <w:r>
        <w:continuationSeparator/>
      </w:r>
    </w:p>
  </w:endnote>
  <w:endnote w:type="continuationNotice" w:id="1">
    <w:p w14:paraId="67D979FA" w14:textId="77777777" w:rsidR="00730354" w:rsidRDefault="007303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s="Times New Roman"/>
      </w:rPr>
      <w:id w:val="1409814203"/>
      <w:docPartObj>
        <w:docPartGallery w:val="Page Numbers (Bottom of Page)"/>
        <w:docPartUnique/>
      </w:docPartObj>
    </w:sdtPr>
    <w:sdtEndPr>
      <w:rPr>
        <w:rFonts w:eastAsiaTheme="majorEastAsia" w:cstheme="majorBidi"/>
        <w:sz w:val="40"/>
        <w:szCs w:val="40"/>
      </w:rPr>
    </w:sdtEndPr>
    <w:sdtContent>
      <w:p w14:paraId="783E53BE" w14:textId="0C9BE3E7" w:rsidR="00B16A1F" w:rsidRPr="00646F26" w:rsidRDefault="001A479C" w:rsidP="00646F26">
        <w:pPr>
          <w:pStyle w:val="Footer"/>
          <w:spacing w:before="360" w:after="0"/>
          <w:ind w:right="-454"/>
          <w:jc w:val="center"/>
          <w:rPr>
            <w:rFonts w:eastAsiaTheme="majorEastAsia" w:cstheme="majorBidi"/>
            <w:sz w:val="40"/>
            <w:szCs w:val="40"/>
          </w:rPr>
        </w:pPr>
        <w:r w:rsidRPr="00C10CA9">
          <w:rPr>
            <w:rFonts w:eastAsiaTheme="minorEastAsia" w:cs="Times New Roman"/>
          </w:rPr>
          <w:fldChar w:fldCharType="begin"/>
        </w:r>
        <w:r w:rsidRPr="00C10CA9">
          <w:instrText xml:space="preserve"> PAGE   \* MERGEFORMAT </w:instrText>
        </w:r>
        <w:r w:rsidRPr="00C10CA9">
          <w:rPr>
            <w:rFonts w:eastAsiaTheme="minorEastAsia" w:cs="Times New Roman"/>
          </w:rPr>
          <w:fldChar w:fldCharType="separate"/>
        </w:r>
        <w:r w:rsidR="00E64743" w:rsidRPr="00E64743">
          <w:rPr>
            <w:rFonts w:eastAsiaTheme="majorEastAsia" w:cstheme="majorBidi"/>
            <w:noProof/>
          </w:rPr>
          <w:t>3</w:t>
        </w:r>
        <w:r w:rsidRPr="00C10CA9">
          <w:rPr>
            <w:rFonts w:eastAsiaTheme="majorEastAsia" w:cstheme="majorBid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C8CB" w14:textId="77777777" w:rsidR="00BC67E3" w:rsidRPr="004032F1" w:rsidRDefault="00BC67E3"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14:paraId="4D3FF11B" w14:textId="77777777" w:rsidR="00CD2D26" w:rsidRPr="001A479C" w:rsidRDefault="00CD2D26" w:rsidP="00A04ECE">
    <w:pPr>
      <w:pStyle w:val="Footer"/>
      <w:spacing w:before="0" w:after="0"/>
      <w:ind w:left="0" w:right="-4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DB8C" w14:textId="77777777" w:rsidR="00730354" w:rsidRDefault="00730354" w:rsidP="00261645">
      <w:r>
        <w:separator/>
      </w:r>
    </w:p>
  </w:footnote>
  <w:footnote w:type="continuationSeparator" w:id="0">
    <w:p w14:paraId="1F53D60D" w14:textId="77777777" w:rsidR="00730354" w:rsidRDefault="00730354" w:rsidP="00261645">
      <w:r>
        <w:continuationSeparator/>
      </w:r>
    </w:p>
  </w:footnote>
  <w:footnote w:type="continuationNotice" w:id="1">
    <w:p w14:paraId="45FDF1A1" w14:textId="77777777" w:rsidR="00730354" w:rsidRDefault="00730354">
      <w:pPr>
        <w:spacing w:before="0" w:after="0" w:line="240" w:lineRule="auto"/>
      </w:pPr>
    </w:p>
  </w:footnote>
  <w:footnote w:id="2">
    <w:p w14:paraId="04D74C8A" w14:textId="653B344C" w:rsidR="00552D86" w:rsidRDefault="00552D86">
      <w:pPr>
        <w:pStyle w:val="FootnoteText"/>
      </w:pPr>
      <w:r>
        <w:rPr>
          <w:rStyle w:val="FootnoteReference"/>
        </w:rPr>
        <w:footnoteRef/>
      </w:r>
      <w:r>
        <w:t xml:space="preserve"> That is, </w:t>
      </w:r>
      <w:r w:rsidR="007624A0">
        <w:t xml:space="preserve">a closing </w:t>
      </w:r>
      <w:r>
        <w:t>employer</w:t>
      </w:r>
      <w:r w:rsidR="007624A0">
        <w:t xml:space="preserve"> is a constitutional corporation</w:t>
      </w:r>
      <w:r>
        <w:t xml:space="preserve"> of </w:t>
      </w:r>
      <w:r w:rsidR="007624A0">
        <w:t xml:space="preserve">a </w:t>
      </w:r>
      <w:r>
        <w:t xml:space="preserve">coal or gas fired power station or coal mine that </w:t>
      </w:r>
      <w:r w:rsidR="007624A0">
        <w:t>is</w:t>
      </w:r>
      <w:r>
        <w:t xml:space="preserve"> subject to a trigger notice, relating to whole or partial closure of operations.</w:t>
      </w:r>
    </w:p>
  </w:footnote>
  <w:footnote w:id="3">
    <w:p w14:paraId="15F08D2A" w14:textId="2B522F9D" w:rsidR="007624A0" w:rsidRDefault="007624A0">
      <w:pPr>
        <w:pStyle w:val="FootnoteText"/>
      </w:pPr>
      <w:r>
        <w:rPr>
          <w:rStyle w:val="FootnoteReference"/>
        </w:rPr>
        <w:footnoteRef/>
      </w:r>
      <w:r>
        <w:t xml:space="preserve"> That is, a dependent employer is a constitutional corporation which has a commercial relationship with a closing employer.</w:t>
      </w:r>
    </w:p>
  </w:footnote>
  <w:footnote w:id="4">
    <w:p w14:paraId="248DA721" w14:textId="77777777" w:rsidR="5E47F716" w:rsidRDefault="5E47F716" w:rsidP="5E47F716">
      <w:pPr>
        <w:pStyle w:val="FootnoteText"/>
      </w:pPr>
      <w:r w:rsidRPr="5E47F716">
        <w:rPr>
          <w:rStyle w:val="FootnoteReference"/>
        </w:rPr>
        <w:footnoteRef/>
      </w:r>
      <w:r>
        <w:t xml:space="preserve"> Dyer A, Australian Energy Infrastructure Commissioner, 2023, </w:t>
      </w:r>
      <w:r w:rsidRPr="5E47F716">
        <w:rPr>
          <w:i/>
          <w:iCs/>
        </w:rPr>
        <w:t>Community Engagement Review Report</w:t>
      </w:r>
      <w:r>
        <w:t xml:space="preserve">, on behalf of the Department of Climate Change, Energy, the Environment and Water, Canberra, 2 February 2024. Viewed at: </w:t>
      </w:r>
      <w:proofErr w:type="gramStart"/>
      <w:r>
        <w:t>https://www.dcceew.gov.au/sites/default/files/documents/community-engagement-review-report-minister-climate-change-energy.pdf</w:t>
      </w:r>
      <w:proofErr w:type="gramEnd"/>
    </w:p>
  </w:footnote>
  <w:footnote w:id="5">
    <w:p w14:paraId="64DADFF0" w14:textId="77777777" w:rsidR="5E47F716" w:rsidRDefault="5E47F716" w:rsidP="5E47F716">
      <w:pPr>
        <w:pStyle w:val="FootnoteText"/>
      </w:pPr>
      <w:r w:rsidRPr="5E47F716">
        <w:rPr>
          <w:rStyle w:val="FootnoteReference"/>
        </w:rPr>
        <w:footnoteRef/>
      </w:r>
      <w:r>
        <w:t xml:space="preserve"> Ibid, pp. 50-51 </w:t>
      </w:r>
    </w:p>
  </w:footnote>
  <w:footnote w:id="6">
    <w:p w14:paraId="2054448B" w14:textId="1E65FDA0" w:rsidR="00A1589F" w:rsidRDefault="00A1589F">
      <w:pPr>
        <w:pStyle w:val="FootnoteText"/>
      </w:pPr>
      <w:r>
        <w:rPr>
          <w:rStyle w:val="FootnoteReference"/>
        </w:rPr>
        <w:footnoteRef/>
      </w:r>
      <w:r>
        <w:t xml:space="preserve"> The Bill defines </w:t>
      </w:r>
      <w:r w:rsidR="002A171B">
        <w:t xml:space="preserve">a </w:t>
      </w:r>
      <w:r>
        <w:t xml:space="preserve">closing employer as </w:t>
      </w:r>
      <w:r w:rsidR="002A171B">
        <w:t>a constitutional corporation of a coal or gas fired power station or coal mine that is subject to a trigger notice, relating to whole or partial closure of operations. A dependent employer is a constitutional corporation which has a commercial relationship with a closing employer.</w:t>
      </w:r>
    </w:p>
  </w:footnote>
  <w:footnote w:id="7">
    <w:p w14:paraId="0BDFC8DA" w14:textId="77777777" w:rsidR="00A578C2" w:rsidRDefault="00A578C2" w:rsidP="00A578C2">
      <w:pPr>
        <w:pStyle w:val="FootnoteText"/>
      </w:pPr>
      <w:r>
        <w:rPr>
          <w:rStyle w:val="FootnoteReference"/>
        </w:rPr>
        <w:footnoteRef/>
      </w:r>
      <w:r>
        <w:t xml:space="preserve"> See also the Spanish energy transition model’s workforce transition plans: Institute for a Just Transition (ITJ) 2022, Spain, towards a just energy transition, Executive report, p. 23. Viewed 21 November 2022, https://www.transicionjusta.gob.es/Noticias/common/220707_Spain_JustTransition.pdf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1922" w14:textId="348EE9B3" w:rsidR="0030414A" w:rsidRPr="005640D6" w:rsidRDefault="00EE2EBE" w:rsidP="001804FE">
    <w:pPr>
      <w:pStyle w:val="Header"/>
      <w:tabs>
        <w:tab w:val="clear" w:pos="4680"/>
        <w:tab w:val="clear" w:pos="9360"/>
        <w:tab w:val="right" w:pos="9027"/>
      </w:tabs>
      <w:rPr>
        <w:sz w:val="32"/>
        <w:szCs w:val="32"/>
      </w:rPr>
    </w:pPr>
    <w:r w:rsidRPr="005640D6">
      <w:rPr>
        <w:noProof/>
        <w:color w:val="808080" w:themeColor="background1" w:themeShade="80"/>
        <w:sz w:val="32"/>
        <w:szCs w:val="32"/>
        <w:lang w:eastAsia="en-AU"/>
      </w:rPr>
      <w:drawing>
        <wp:anchor distT="0" distB="0" distL="114300" distR="114300" simplePos="0" relativeHeight="251658240" behindDoc="1" locked="0" layoutInCell="1" allowOverlap="1" wp14:anchorId="1C3B9CD8" wp14:editId="35FCCAE8">
          <wp:simplePos x="0" y="0"/>
          <wp:positionH relativeFrom="rightMargin">
            <wp:align>left</wp:align>
          </wp:positionH>
          <wp:positionV relativeFrom="page">
            <wp:align>top</wp:align>
          </wp:positionV>
          <wp:extent cx="908343" cy="908343"/>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343" cy="908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FE" w:rsidRPr="005640D6">
      <w:rPr>
        <w:sz w:val="32"/>
        <w:szCs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8B380" w14:textId="179FB263" w:rsidR="00A04ECE" w:rsidRPr="00A04ECE" w:rsidRDefault="00A04ECE" w:rsidP="00A04ECE">
    <w:pPr>
      <w:pStyle w:val="Header"/>
      <w:jc w:val="right"/>
    </w:pPr>
    <w:r>
      <w:rPr>
        <w:noProof/>
        <w:lang w:eastAsia="en-AU"/>
      </w:rPr>
      <w:drawing>
        <wp:anchor distT="0" distB="0" distL="114300" distR="114300" simplePos="0" relativeHeight="251658241" behindDoc="0" locked="0" layoutInCell="1" allowOverlap="1" wp14:anchorId="3E010837" wp14:editId="48A4E8F7">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AFA6F70"/>
    <w:lvl w:ilvl="0">
      <w:start w:val="1"/>
      <w:numFmt w:val="decimal"/>
      <w:pStyle w:val="ListNumber"/>
      <w:lvlText w:val="%1."/>
      <w:lvlJc w:val="left"/>
      <w:pPr>
        <w:tabs>
          <w:tab w:val="num" w:pos="502"/>
        </w:tabs>
        <w:ind w:left="502" w:hanging="360"/>
      </w:p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161F0B"/>
    <w:multiLevelType w:val="hybridMultilevel"/>
    <w:tmpl w:val="4370A7D4"/>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681B69E"/>
    <w:multiLevelType w:val="hybridMultilevel"/>
    <w:tmpl w:val="63B21EDE"/>
    <w:lvl w:ilvl="0" w:tplc="896C954C">
      <w:start w:val="1"/>
      <w:numFmt w:val="bullet"/>
      <w:lvlText w:val=""/>
      <w:lvlJc w:val="left"/>
      <w:pPr>
        <w:ind w:left="1440" w:hanging="360"/>
      </w:pPr>
      <w:rPr>
        <w:rFonts w:ascii="Symbol" w:hAnsi="Symbol" w:hint="default"/>
      </w:rPr>
    </w:lvl>
    <w:lvl w:ilvl="1" w:tplc="01AEBC84">
      <w:start w:val="1"/>
      <w:numFmt w:val="bullet"/>
      <w:lvlText w:val="o"/>
      <w:lvlJc w:val="left"/>
      <w:pPr>
        <w:ind w:left="2160" w:hanging="360"/>
      </w:pPr>
      <w:rPr>
        <w:rFonts w:ascii="Courier New" w:hAnsi="Courier New" w:hint="default"/>
      </w:rPr>
    </w:lvl>
    <w:lvl w:ilvl="2" w:tplc="A3F4459C">
      <w:start w:val="1"/>
      <w:numFmt w:val="bullet"/>
      <w:lvlText w:val=""/>
      <w:lvlJc w:val="left"/>
      <w:pPr>
        <w:ind w:left="2880" w:hanging="360"/>
      </w:pPr>
      <w:rPr>
        <w:rFonts w:ascii="Wingdings" w:hAnsi="Wingdings" w:hint="default"/>
      </w:rPr>
    </w:lvl>
    <w:lvl w:ilvl="3" w:tplc="E24ABC90">
      <w:start w:val="1"/>
      <w:numFmt w:val="bullet"/>
      <w:lvlText w:val=""/>
      <w:lvlJc w:val="left"/>
      <w:pPr>
        <w:ind w:left="3600" w:hanging="360"/>
      </w:pPr>
      <w:rPr>
        <w:rFonts w:ascii="Symbol" w:hAnsi="Symbol" w:hint="default"/>
      </w:rPr>
    </w:lvl>
    <w:lvl w:ilvl="4" w:tplc="5838BEF2">
      <w:start w:val="1"/>
      <w:numFmt w:val="bullet"/>
      <w:lvlText w:val="o"/>
      <w:lvlJc w:val="left"/>
      <w:pPr>
        <w:ind w:left="4320" w:hanging="360"/>
      </w:pPr>
      <w:rPr>
        <w:rFonts w:ascii="Courier New" w:hAnsi="Courier New" w:hint="default"/>
      </w:rPr>
    </w:lvl>
    <w:lvl w:ilvl="5" w:tplc="D0CE239A">
      <w:start w:val="1"/>
      <w:numFmt w:val="bullet"/>
      <w:lvlText w:val=""/>
      <w:lvlJc w:val="left"/>
      <w:pPr>
        <w:ind w:left="5040" w:hanging="360"/>
      </w:pPr>
      <w:rPr>
        <w:rFonts w:ascii="Wingdings" w:hAnsi="Wingdings" w:hint="default"/>
      </w:rPr>
    </w:lvl>
    <w:lvl w:ilvl="6" w:tplc="2716FF2C">
      <w:start w:val="1"/>
      <w:numFmt w:val="bullet"/>
      <w:lvlText w:val=""/>
      <w:lvlJc w:val="left"/>
      <w:pPr>
        <w:ind w:left="5760" w:hanging="360"/>
      </w:pPr>
      <w:rPr>
        <w:rFonts w:ascii="Symbol" w:hAnsi="Symbol" w:hint="default"/>
      </w:rPr>
    </w:lvl>
    <w:lvl w:ilvl="7" w:tplc="027A6B16">
      <w:start w:val="1"/>
      <w:numFmt w:val="bullet"/>
      <w:lvlText w:val="o"/>
      <w:lvlJc w:val="left"/>
      <w:pPr>
        <w:ind w:left="6480" w:hanging="360"/>
      </w:pPr>
      <w:rPr>
        <w:rFonts w:ascii="Courier New" w:hAnsi="Courier New" w:hint="default"/>
      </w:rPr>
    </w:lvl>
    <w:lvl w:ilvl="8" w:tplc="83A84748">
      <w:start w:val="1"/>
      <w:numFmt w:val="bullet"/>
      <w:lvlText w:val=""/>
      <w:lvlJc w:val="left"/>
      <w:pPr>
        <w:ind w:left="7200" w:hanging="360"/>
      </w:pPr>
      <w:rPr>
        <w:rFonts w:ascii="Wingdings" w:hAnsi="Wingdings" w:hint="default"/>
      </w:rPr>
    </w:lvl>
  </w:abstractNum>
  <w:abstractNum w:abstractNumId="4" w15:restartNumberingAfterBreak="0">
    <w:nsid w:val="06BE4E2F"/>
    <w:multiLevelType w:val="hybridMultilevel"/>
    <w:tmpl w:val="901AC1B0"/>
    <w:lvl w:ilvl="0" w:tplc="FFFFFFFF">
      <w:start w:val="1"/>
      <w:numFmt w:val="decimal"/>
      <w:lvlText w:val="%1."/>
      <w:lvlJc w:val="left"/>
      <w:pPr>
        <w:ind w:left="890" w:hanging="360"/>
      </w:pPr>
    </w:lvl>
    <w:lvl w:ilvl="1" w:tplc="0C090019">
      <w:start w:val="1"/>
      <w:numFmt w:val="lowerLetter"/>
      <w:lvlText w:val="%2."/>
      <w:lvlJc w:val="left"/>
      <w:pPr>
        <w:ind w:left="1610" w:hanging="360"/>
      </w:pPr>
    </w:lvl>
    <w:lvl w:ilvl="2" w:tplc="0C09001B">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5" w15:restartNumberingAfterBreak="0">
    <w:nsid w:val="0705765C"/>
    <w:multiLevelType w:val="hybridMultilevel"/>
    <w:tmpl w:val="117AD58E"/>
    <w:lvl w:ilvl="0" w:tplc="0C090019">
      <w:start w:val="1"/>
      <w:numFmt w:val="lowerLetter"/>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6" w15:restartNumberingAfterBreak="0">
    <w:nsid w:val="073B11FA"/>
    <w:multiLevelType w:val="hybridMultilevel"/>
    <w:tmpl w:val="A942E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2736BC"/>
    <w:multiLevelType w:val="hybridMultilevel"/>
    <w:tmpl w:val="F9B41016"/>
    <w:lvl w:ilvl="0" w:tplc="0C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EF01AF8"/>
    <w:multiLevelType w:val="hybridMultilevel"/>
    <w:tmpl w:val="6BD4388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821255"/>
    <w:multiLevelType w:val="hybridMultilevel"/>
    <w:tmpl w:val="1F2C2D76"/>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2F0D06"/>
    <w:multiLevelType w:val="hybridMultilevel"/>
    <w:tmpl w:val="80129E1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24DD5A19"/>
    <w:multiLevelType w:val="hybridMultilevel"/>
    <w:tmpl w:val="61741980"/>
    <w:lvl w:ilvl="0" w:tplc="0C090001">
      <w:start w:val="1"/>
      <w:numFmt w:val="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15:restartNumberingAfterBreak="0">
    <w:nsid w:val="2B081204"/>
    <w:multiLevelType w:val="hybridMultilevel"/>
    <w:tmpl w:val="086C6D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E934939"/>
    <w:multiLevelType w:val="hybridMultilevel"/>
    <w:tmpl w:val="FA009CA0"/>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0B232B6"/>
    <w:multiLevelType w:val="hybridMultilevel"/>
    <w:tmpl w:val="64163C6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4176117D"/>
    <w:multiLevelType w:val="hybridMultilevel"/>
    <w:tmpl w:val="901AC1B0"/>
    <w:lvl w:ilvl="0" w:tplc="FFFFFFFF">
      <w:start w:val="1"/>
      <w:numFmt w:val="decimal"/>
      <w:lvlText w:val="%1."/>
      <w:lvlJc w:val="left"/>
      <w:pPr>
        <w:ind w:left="890" w:hanging="360"/>
      </w:pPr>
    </w:lvl>
    <w:lvl w:ilvl="1" w:tplc="FFFFFFFF">
      <w:start w:val="1"/>
      <w:numFmt w:val="lowerLetter"/>
      <w:lvlText w:val="%2."/>
      <w:lvlJc w:val="left"/>
      <w:pPr>
        <w:ind w:left="1610" w:hanging="360"/>
      </w:pPr>
    </w:lvl>
    <w:lvl w:ilvl="2" w:tplc="FFFFFFFF">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16" w15:restartNumberingAfterBreak="0">
    <w:nsid w:val="4495437B"/>
    <w:multiLevelType w:val="hybridMultilevel"/>
    <w:tmpl w:val="0B727FB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7" w15:restartNumberingAfterBreak="0">
    <w:nsid w:val="4D792CB1"/>
    <w:multiLevelType w:val="hybridMultilevel"/>
    <w:tmpl w:val="5DA62B96"/>
    <w:lvl w:ilvl="0" w:tplc="7F14877E">
      <w:start w:val="1"/>
      <w:numFmt w:val="bullet"/>
      <w:lvlText w:val=""/>
      <w:lvlJc w:val="left"/>
      <w:pPr>
        <w:ind w:left="720" w:hanging="360"/>
      </w:pPr>
      <w:rPr>
        <w:rFonts w:ascii="Symbol" w:hAnsi="Symbol" w:hint="default"/>
      </w:rPr>
    </w:lvl>
    <w:lvl w:ilvl="1" w:tplc="6268B10E">
      <w:start w:val="1"/>
      <w:numFmt w:val="bullet"/>
      <w:lvlText w:val="o"/>
      <w:lvlJc w:val="left"/>
      <w:pPr>
        <w:ind w:left="1440" w:hanging="360"/>
      </w:pPr>
      <w:rPr>
        <w:rFonts w:ascii="Courier New" w:hAnsi="Courier New" w:hint="default"/>
      </w:rPr>
    </w:lvl>
    <w:lvl w:ilvl="2" w:tplc="D5F0042E">
      <w:start w:val="1"/>
      <w:numFmt w:val="bullet"/>
      <w:lvlText w:val=""/>
      <w:lvlJc w:val="left"/>
      <w:pPr>
        <w:ind w:left="2160" w:hanging="360"/>
      </w:pPr>
      <w:rPr>
        <w:rFonts w:ascii="Wingdings" w:hAnsi="Wingdings" w:hint="default"/>
      </w:rPr>
    </w:lvl>
    <w:lvl w:ilvl="3" w:tplc="CA861FE6">
      <w:start w:val="1"/>
      <w:numFmt w:val="bullet"/>
      <w:lvlText w:val=""/>
      <w:lvlJc w:val="left"/>
      <w:pPr>
        <w:ind w:left="2880" w:hanging="360"/>
      </w:pPr>
      <w:rPr>
        <w:rFonts w:ascii="Symbol" w:hAnsi="Symbol" w:hint="default"/>
      </w:rPr>
    </w:lvl>
    <w:lvl w:ilvl="4" w:tplc="03261B58">
      <w:start w:val="1"/>
      <w:numFmt w:val="bullet"/>
      <w:lvlText w:val="o"/>
      <w:lvlJc w:val="left"/>
      <w:pPr>
        <w:ind w:left="3600" w:hanging="360"/>
      </w:pPr>
      <w:rPr>
        <w:rFonts w:ascii="Courier New" w:hAnsi="Courier New" w:hint="default"/>
      </w:rPr>
    </w:lvl>
    <w:lvl w:ilvl="5" w:tplc="7B6EA6A6">
      <w:start w:val="1"/>
      <w:numFmt w:val="bullet"/>
      <w:lvlText w:val=""/>
      <w:lvlJc w:val="left"/>
      <w:pPr>
        <w:ind w:left="4320" w:hanging="360"/>
      </w:pPr>
      <w:rPr>
        <w:rFonts w:ascii="Wingdings" w:hAnsi="Wingdings" w:hint="default"/>
      </w:rPr>
    </w:lvl>
    <w:lvl w:ilvl="6" w:tplc="A9B88828">
      <w:start w:val="1"/>
      <w:numFmt w:val="bullet"/>
      <w:lvlText w:val=""/>
      <w:lvlJc w:val="left"/>
      <w:pPr>
        <w:ind w:left="5040" w:hanging="360"/>
      </w:pPr>
      <w:rPr>
        <w:rFonts w:ascii="Symbol" w:hAnsi="Symbol" w:hint="default"/>
      </w:rPr>
    </w:lvl>
    <w:lvl w:ilvl="7" w:tplc="E3D29420">
      <w:start w:val="1"/>
      <w:numFmt w:val="bullet"/>
      <w:lvlText w:val="o"/>
      <w:lvlJc w:val="left"/>
      <w:pPr>
        <w:ind w:left="5760" w:hanging="360"/>
      </w:pPr>
      <w:rPr>
        <w:rFonts w:ascii="Courier New" w:hAnsi="Courier New" w:hint="default"/>
      </w:rPr>
    </w:lvl>
    <w:lvl w:ilvl="8" w:tplc="10B692B2">
      <w:start w:val="1"/>
      <w:numFmt w:val="bullet"/>
      <w:lvlText w:val=""/>
      <w:lvlJc w:val="left"/>
      <w:pPr>
        <w:ind w:left="6480" w:hanging="360"/>
      </w:pPr>
      <w:rPr>
        <w:rFonts w:ascii="Wingdings" w:hAnsi="Wingdings" w:hint="default"/>
      </w:rPr>
    </w:lvl>
  </w:abstractNum>
  <w:abstractNum w:abstractNumId="18" w15:restartNumberingAfterBreak="0">
    <w:nsid w:val="5DF26063"/>
    <w:multiLevelType w:val="hybridMultilevel"/>
    <w:tmpl w:val="9614F060"/>
    <w:lvl w:ilvl="0" w:tplc="8F82003E">
      <w:start w:val="1"/>
      <w:numFmt w:val="decimal"/>
      <w:pStyle w:val="List2"/>
      <w:lvlText w:val="%1."/>
      <w:lvlJc w:val="left"/>
      <w:pPr>
        <w:ind w:left="1003" w:hanging="360"/>
      </w:pPr>
      <w:rPr>
        <w:rFonts w:ascii="Palatino Linotype" w:hAnsi="Palatino Linotype" w:hint="default"/>
        <w:b w:val="0"/>
        <w:i w:val="0"/>
        <w:caps w:val="0"/>
        <w:strike w:val="0"/>
        <w:dstrike w:val="0"/>
        <w:vanish w:val="0"/>
        <w:color w:val="143156"/>
        <w:spacing w:val="22"/>
        <w:kern w:val="16"/>
        <w:position w:val="0"/>
        <w:sz w:val="24"/>
        <w:vertAlign w:val="baseline"/>
      </w:r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9" w15:restartNumberingAfterBreak="0">
    <w:nsid w:val="5E750BB6"/>
    <w:multiLevelType w:val="hybridMultilevel"/>
    <w:tmpl w:val="FFDAEFCA"/>
    <w:lvl w:ilvl="0" w:tplc="FFFFFFFF">
      <w:start w:val="1"/>
      <w:numFmt w:val="lowerLetter"/>
      <w:lvlText w:val="%1)"/>
      <w:lvlJc w:val="left"/>
      <w:pPr>
        <w:ind w:left="720" w:hanging="360"/>
      </w:p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1F4E26"/>
    <w:multiLevelType w:val="hybridMultilevel"/>
    <w:tmpl w:val="7E3C4468"/>
    <w:lvl w:ilvl="0" w:tplc="9E7EE45A">
      <w:start w:val="2"/>
      <w:numFmt w:val="decimal"/>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1" w15:restartNumberingAfterBreak="0">
    <w:nsid w:val="60D63A73"/>
    <w:multiLevelType w:val="hybridMultilevel"/>
    <w:tmpl w:val="AA563B4C"/>
    <w:lvl w:ilvl="0" w:tplc="0C090017">
      <w:start w:val="1"/>
      <w:numFmt w:val="lowerLetter"/>
      <w:lvlText w:val="%1)"/>
      <w:lvlJc w:val="left"/>
      <w:pPr>
        <w:ind w:left="720" w:hanging="360"/>
      </w:pPr>
    </w:lvl>
    <w:lvl w:ilvl="1" w:tplc="4A4E124C">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3E5A3A"/>
    <w:multiLevelType w:val="hybridMultilevel"/>
    <w:tmpl w:val="7960C3E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3" w15:restartNumberingAfterBreak="0">
    <w:nsid w:val="67613579"/>
    <w:multiLevelType w:val="hybridMultilevel"/>
    <w:tmpl w:val="43CA0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877C7"/>
    <w:multiLevelType w:val="hybridMultilevel"/>
    <w:tmpl w:val="DF06732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5" w15:restartNumberingAfterBreak="0">
    <w:nsid w:val="6F335365"/>
    <w:multiLevelType w:val="hybridMultilevel"/>
    <w:tmpl w:val="F57C5564"/>
    <w:lvl w:ilvl="0" w:tplc="0C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7D5A2FD0"/>
    <w:multiLevelType w:val="hybridMultilevel"/>
    <w:tmpl w:val="E3AE2A32"/>
    <w:lvl w:ilvl="0" w:tplc="9326A3A2">
      <w:start w:val="1"/>
      <w:numFmt w:val="decimal"/>
      <w:pStyle w:val="ListParagraph"/>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16cid:durableId="1764448971">
    <w:abstractNumId w:val="0"/>
  </w:num>
  <w:num w:numId="2" w16cid:durableId="115755132">
    <w:abstractNumId w:val="1"/>
  </w:num>
  <w:num w:numId="3" w16cid:durableId="64188049">
    <w:abstractNumId w:val="18"/>
  </w:num>
  <w:num w:numId="4" w16cid:durableId="1800957383">
    <w:abstractNumId w:val="26"/>
  </w:num>
  <w:num w:numId="5" w16cid:durableId="1230388379">
    <w:abstractNumId w:val="21"/>
  </w:num>
  <w:num w:numId="6" w16cid:durableId="1763336882">
    <w:abstractNumId w:val="10"/>
  </w:num>
  <w:num w:numId="7" w16cid:durableId="2069647161">
    <w:abstractNumId w:val="19"/>
  </w:num>
  <w:num w:numId="8" w16cid:durableId="526721433">
    <w:abstractNumId w:val="9"/>
  </w:num>
  <w:num w:numId="9" w16cid:durableId="1892568275">
    <w:abstractNumId w:val="23"/>
  </w:num>
  <w:num w:numId="10" w16cid:durableId="534389487">
    <w:abstractNumId w:val="22"/>
  </w:num>
  <w:num w:numId="11" w16cid:durableId="1500392307">
    <w:abstractNumId w:val="11"/>
  </w:num>
  <w:num w:numId="12" w16cid:durableId="634944212">
    <w:abstractNumId w:val="24"/>
  </w:num>
  <w:num w:numId="13" w16cid:durableId="357198663">
    <w:abstractNumId w:val="16"/>
  </w:num>
  <w:num w:numId="14" w16cid:durableId="1725526457">
    <w:abstractNumId w:val="4"/>
  </w:num>
  <w:num w:numId="15" w16cid:durableId="2034261064">
    <w:abstractNumId w:val="3"/>
  </w:num>
  <w:num w:numId="16" w16cid:durableId="225261376">
    <w:abstractNumId w:val="17"/>
  </w:num>
  <w:num w:numId="17" w16cid:durableId="1771007363">
    <w:abstractNumId w:val="2"/>
  </w:num>
  <w:num w:numId="18" w16cid:durableId="1162045510">
    <w:abstractNumId w:val="6"/>
  </w:num>
  <w:num w:numId="19" w16cid:durableId="2069761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7758158">
    <w:abstractNumId w:val="20"/>
  </w:num>
  <w:num w:numId="21" w16cid:durableId="1078093188">
    <w:abstractNumId w:val="8"/>
  </w:num>
  <w:num w:numId="22" w16cid:durableId="732432868">
    <w:abstractNumId w:val="15"/>
  </w:num>
  <w:num w:numId="23" w16cid:durableId="1751612342">
    <w:abstractNumId w:val="14"/>
  </w:num>
  <w:num w:numId="24" w16cid:durableId="1554122551">
    <w:abstractNumId w:val="13"/>
  </w:num>
  <w:num w:numId="25" w16cid:durableId="2005816582">
    <w:abstractNumId w:val="7"/>
  </w:num>
  <w:num w:numId="26" w16cid:durableId="264769479">
    <w:abstractNumId w:val="25"/>
  </w:num>
  <w:num w:numId="27" w16cid:durableId="10402787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8E"/>
    <w:rsid w:val="00007ED5"/>
    <w:rsid w:val="000101BF"/>
    <w:rsid w:val="00013D4E"/>
    <w:rsid w:val="00015D34"/>
    <w:rsid w:val="00016829"/>
    <w:rsid w:val="00017614"/>
    <w:rsid w:val="00027610"/>
    <w:rsid w:val="00030DE9"/>
    <w:rsid w:val="0003324E"/>
    <w:rsid w:val="000425B5"/>
    <w:rsid w:val="00042851"/>
    <w:rsid w:val="00042A2E"/>
    <w:rsid w:val="00043D48"/>
    <w:rsid w:val="00045515"/>
    <w:rsid w:val="0005044E"/>
    <w:rsid w:val="00050924"/>
    <w:rsid w:val="00062B49"/>
    <w:rsid w:val="00063999"/>
    <w:rsid w:val="00065701"/>
    <w:rsid w:val="00071CEC"/>
    <w:rsid w:val="00071F72"/>
    <w:rsid w:val="00073E1B"/>
    <w:rsid w:val="00073F8A"/>
    <w:rsid w:val="00074921"/>
    <w:rsid w:val="0008250F"/>
    <w:rsid w:val="000833ED"/>
    <w:rsid w:val="000855CF"/>
    <w:rsid w:val="0008631E"/>
    <w:rsid w:val="000972C1"/>
    <w:rsid w:val="000A3724"/>
    <w:rsid w:val="000C2103"/>
    <w:rsid w:val="000C3577"/>
    <w:rsid w:val="000C49B4"/>
    <w:rsid w:val="000C705E"/>
    <w:rsid w:val="000D03E8"/>
    <w:rsid w:val="000D3208"/>
    <w:rsid w:val="000D4178"/>
    <w:rsid w:val="000D5B1E"/>
    <w:rsid w:val="000E0868"/>
    <w:rsid w:val="000E57DC"/>
    <w:rsid w:val="000F5028"/>
    <w:rsid w:val="00106005"/>
    <w:rsid w:val="0011023A"/>
    <w:rsid w:val="0012348B"/>
    <w:rsid w:val="00123A2C"/>
    <w:rsid w:val="001240A1"/>
    <w:rsid w:val="00127184"/>
    <w:rsid w:val="0013214D"/>
    <w:rsid w:val="00142243"/>
    <w:rsid w:val="00150BC0"/>
    <w:rsid w:val="00150C96"/>
    <w:rsid w:val="00151F0F"/>
    <w:rsid w:val="00161169"/>
    <w:rsid w:val="001734AC"/>
    <w:rsid w:val="00175E22"/>
    <w:rsid w:val="00177642"/>
    <w:rsid w:val="001804FE"/>
    <w:rsid w:val="00184668"/>
    <w:rsid w:val="00185559"/>
    <w:rsid w:val="001925D7"/>
    <w:rsid w:val="001A069F"/>
    <w:rsid w:val="001A479C"/>
    <w:rsid w:val="001A50B9"/>
    <w:rsid w:val="001A552A"/>
    <w:rsid w:val="001B69E0"/>
    <w:rsid w:val="001D0546"/>
    <w:rsid w:val="001D05D5"/>
    <w:rsid w:val="001D1206"/>
    <w:rsid w:val="001D234F"/>
    <w:rsid w:val="001D5408"/>
    <w:rsid w:val="001E1599"/>
    <w:rsid w:val="001E2698"/>
    <w:rsid w:val="001E599C"/>
    <w:rsid w:val="001E6577"/>
    <w:rsid w:val="001F42F1"/>
    <w:rsid w:val="001F57CE"/>
    <w:rsid w:val="001F60B6"/>
    <w:rsid w:val="001F6A2B"/>
    <w:rsid w:val="00202088"/>
    <w:rsid w:val="00203BA5"/>
    <w:rsid w:val="00206C5F"/>
    <w:rsid w:val="00211BC9"/>
    <w:rsid w:val="00221DC0"/>
    <w:rsid w:val="002229ED"/>
    <w:rsid w:val="00222EFC"/>
    <w:rsid w:val="0023591B"/>
    <w:rsid w:val="00235DBF"/>
    <w:rsid w:val="0023795B"/>
    <w:rsid w:val="00240417"/>
    <w:rsid w:val="00246866"/>
    <w:rsid w:val="00257898"/>
    <w:rsid w:val="00261645"/>
    <w:rsid w:val="00270230"/>
    <w:rsid w:val="002702A1"/>
    <w:rsid w:val="00271524"/>
    <w:rsid w:val="0027260F"/>
    <w:rsid w:val="00275D54"/>
    <w:rsid w:val="00277516"/>
    <w:rsid w:val="00280D7C"/>
    <w:rsid w:val="00281D03"/>
    <w:rsid w:val="00282C50"/>
    <w:rsid w:val="00290997"/>
    <w:rsid w:val="00294B30"/>
    <w:rsid w:val="002A171B"/>
    <w:rsid w:val="002A3956"/>
    <w:rsid w:val="002A6A20"/>
    <w:rsid w:val="002B34D7"/>
    <w:rsid w:val="002B364F"/>
    <w:rsid w:val="002B61D2"/>
    <w:rsid w:val="002B6F55"/>
    <w:rsid w:val="002C171F"/>
    <w:rsid w:val="002C2D79"/>
    <w:rsid w:val="002C3ED9"/>
    <w:rsid w:val="002D0971"/>
    <w:rsid w:val="002D4BB8"/>
    <w:rsid w:val="002F5D6E"/>
    <w:rsid w:val="00300003"/>
    <w:rsid w:val="00301A5B"/>
    <w:rsid w:val="00302F44"/>
    <w:rsid w:val="0030414A"/>
    <w:rsid w:val="00306020"/>
    <w:rsid w:val="0031159F"/>
    <w:rsid w:val="00316EA5"/>
    <w:rsid w:val="00336A0E"/>
    <w:rsid w:val="0034432A"/>
    <w:rsid w:val="00346345"/>
    <w:rsid w:val="00350F06"/>
    <w:rsid w:val="00367278"/>
    <w:rsid w:val="003742AB"/>
    <w:rsid w:val="00386BA7"/>
    <w:rsid w:val="003A18E3"/>
    <w:rsid w:val="003A3B4B"/>
    <w:rsid w:val="003A3F07"/>
    <w:rsid w:val="003A5510"/>
    <w:rsid w:val="003B3AC3"/>
    <w:rsid w:val="003B3CED"/>
    <w:rsid w:val="003C14B3"/>
    <w:rsid w:val="003C1597"/>
    <w:rsid w:val="003C4D41"/>
    <w:rsid w:val="003C6C46"/>
    <w:rsid w:val="003D2056"/>
    <w:rsid w:val="003E104D"/>
    <w:rsid w:val="003E69D7"/>
    <w:rsid w:val="003F1EC6"/>
    <w:rsid w:val="003F3955"/>
    <w:rsid w:val="003F7457"/>
    <w:rsid w:val="003F7DF4"/>
    <w:rsid w:val="00401A3A"/>
    <w:rsid w:val="004032F1"/>
    <w:rsid w:val="00403727"/>
    <w:rsid w:val="00404598"/>
    <w:rsid w:val="00406077"/>
    <w:rsid w:val="004103AE"/>
    <w:rsid w:val="00415E5B"/>
    <w:rsid w:val="00425914"/>
    <w:rsid w:val="00431C74"/>
    <w:rsid w:val="0044577A"/>
    <w:rsid w:val="00447F09"/>
    <w:rsid w:val="004509D7"/>
    <w:rsid w:val="00450E42"/>
    <w:rsid w:val="00451EAB"/>
    <w:rsid w:val="004535DA"/>
    <w:rsid w:val="00455D93"/>
    <w:rsid w:val="0047085A"/>
    <w:rsid w:val="00475069"/>
    <w:rsid w:val="00477FE9"/>
    <w:rsid w:val="00487E31"/>
    <w:rsid w:val="00492555"/>
    <w:rsid w:val="0049627C"/>
    <w:rsid w:val="004B4127"/>
    <w:rsid w:val="004B7CB0"/>
    <w:rsid w:val="004C1A71"/>
    <w:rsid w:val="004C5F34"/>
    <w:rsid w:val="004C7360"/>
    <w:rsid w:val="004D09F6"/>
    <w:rsid w:val="004D1991"/>
    <w:rsid w:val="004D46B5"/>
    <w:rsid w:val="004D63F2"/>
    <w:rsid w:val="004E2D07"/>
    <w:rsid w:val="004F182B"/>
    <w:rsid w:val="004F33EA"/>
    <w:rsid w:val="0050124F"/>
    <w:rsid w:val="00505215"/>
    <w:rsid w:val="00506B12"/>
    <w:rsid w:val="00527B7B"/>
    <w:rsid w:val="00534F25"/>
    <w:rsid w:val="00537255"/>
    <w:rsid w:val="00537B3E"/>
    <w:rsid w:val="005457C6"/>
    <w:rsid w:val="0054599F"/>
    <w:rsid w:val="00545BC9"/>
    <w:rsid w:val="00552D86"/>
    <w:rsid w:val="00555312"/>
    <w:rsid w:val="00555E03"/>
    <w:rsid w:val="005640D6"/>
    <w:rsid w:val="00565F46"/>
    <w:rsid w:val="0057275B"/>
    <w:rsid w:val="00572EDD"/>
    <w:rsid w:val="005738D3"/>
    <w:rsid w:val="00573C29"/>
    <w:rsid w:val="00584CEF"/>
    <w:rsid w:val="005873E0"/>
    <w:rsid w:val="00592EEE"/>
    <w:rsid w:val="005A1726"/>
    <w:rsid w:val="005A26AF"/>
    <w:rsid w:val="005A6B1C"/>
    <w:rsid w:val="005A7C59"/>
    <w:rsid w:val="005B3CDB"/>
    <w:rsid w:val="005C0DD7"/>
    <w:rsid w:val="005C3062"/>
    <w:rsid w:val="005C6B5C"/>
    <w:rsid w:val="005C70FC"/>
    <w:rsid w:val="005C729E"/>
    <w:rsid w:val="005D1599"/>
    <w:rsid w:val="005D1C77"/>
    <w:rsid w:val="005D3721"/>
    <w:rsid w:val="005D73F5"/>
    <w:rsid w:val="005E3960"/>
    <w:rsid w:val="005F1D9A"/>
    <w:rsid w:val="00600C92"/>
    <w:rsid w:val="0061241C"/>
    <w:rsid w:val="00617C50"/>
    <w:rsid w:val="00620742"/>
    <w:rsid w:val="00626DC7"/>
    <w:rsid w:val="00627DE9"/>
    <w:rsid w:val="006323D8"/>
    <w:rsid w:val="006328A0"/>
    <w:rsid w:val="00634126"/>
    <w:rsid w:val="00640AF3"/>
    <w:rsid w:val="006420D3"/>
    <w:rsid w:val="0064329F"/>
    <w:rsid w:val="00643DA1"/>
    <w:rsid w:val="00646F26"/>
    <w:rsid w:val="00647A1A"/>
    <w:rsid w:val="006535A0"/>
    <w:rsid w:val="00661AC6"/>
    <w:rsid w:val="006620AE"/>
    <w:rsid w:val="006669C1"/>
    <w:rsid w:val="00666CC9"/>
    <w:rsid w:val="0067203C"/>
    <w:rsid w:val="00672071"/>
    <w:rsid w:val="00674058"/>
    <w:rsid w:val="00677DF4"/>
    <w:rsid w:val="00693175"/>
    <w:rsid w:val="006960EA"/>
    <w:rsid w:val="00696783"/>
    <w:rsid w:val="006975DD"/>
    <w:rsid w:val="006A06BD"/>
    <w:rsid w:val="006A4C0D"/>
    <w:rsid w:val="006B0A0D"/>
    <w:rsid w:val="006B2002"/>
    <w:rsid w:val="006B34BB"/>
    <w:rsid w:val="006C5A0D"/>
    <w:rsid w:val="006C6786"/>
    <w:rsid w:val="006D7A34"/>
    <w:rsid w:val="006E5B4B"/>
    <w:rsid w:val="006E6788"/>
    <w:rsid w:val="006F599C"/>
    <w:rsid w:val="006F5B04"/>
    <w:rsid w:val="006F79F6"/>
    <w:rsid w:val="007023A1"/>
    <w:rsid w:val="007055A0"/>
    <w:rsid w:val="0070578C"/>
    <w:rsid w:val="00710E8A"/>
    <w:rsid w:val="00720080"/>
    <w:rsid w:val="0072102B"/>
    <w:rsid w:val="0072757C"/>
    <w:rsid w:val="00730354"/>
    <w:rsid w:val="00732EAE"/>
    <w:rsid w:val="00733E01"/>
    <w:rsid w:val="0074761D"/>
    <w:rsid w:val="00752A17"/>
    <w:rsid w:val="00755712"/>
    <w:rsid w:val="007610E2"/>
    <w:rsid w:val="007624A0"/>
    <w:rsid w:val="007648F3"/>
    <w:rsid w:val="007726A4"/>
    <w:rsid w:val="00780895"/>
    <w:rsid w:val="007817FD"/>
    <w:rsid w:val="00784EF2"/>
    <w:rsid w:val="00795FE2"/>
    <w:rsid w:val="007A2AAB"/>
    <w:rsid w:val="007A49C5"/>
    <w:rsid w:val="007B0D82"/>
    <w:rsid w:val="007B44FE"/>
    <w:rsid w:val="007C61BA"/>
    <w:rsid w:val="007D2B01"/>
    <w:rsid w:val="007E0188"/>
    <w:rsid w:val="007E0C74"/>
    <w:rsid w:val="007E6126"/>
    <w:rsid w:val="007F381D"/>
    <w:rsid w:val="00806BCF"/>
    <w:rsid w:val="00807EFA"/>
    <w:rsid w:val="00812A3F"/>
    <w:rsid w:val="008159AD"/>
    <w:rsid w:val="00815E6A"/>
    <w:rsid w:val="008174C3"/>
    <w:rsid w:val="00817E80"/>
    <w:rsid w:val="00823ACA"/>
    <w:rsid w:val="00835854"/>
    <w:rsid w:val="008419B7"/>
    <w:rsid w:val="00851E09"/>
    <w:rsid w:val="00852A08"/>
    <w:rsid w:val="008549EB"/>
    <w:rsid w:val="008552DB"/>
    <w:rsid w:val="00861827"/>
    <w:rsid w:val="0086375A"/>
    <w:rsid w:val="008639BA"/>
    <w:rsid w:val="00876929"/>
    <w:rsid w:val="00877294"/>
    <w:rsid w:val="0088303D"/>
    <w:rsid w:val="00884F40"/>
    <w:rsid w:val="0089157F"/>
    <w:rsid w:val="0089296D"/>
    <w:rsid w:val="008A2428"/>
    <w:rsid w:val="008A3A74"/>
    <w:rsid w:val="008A43DD"/>
    <w:rsid w:val="008B0355"/>
    <w:rsid w:val="008B50D2"/>
    <w:rsid w:val="008C5862"/>
    <w:rsid w:val="008D1487"/>
    <w:rsid w:val="008D20F9"/>
    <w:rsid w:val="008D387D"/>
    <w:rsid w:val="008D5E33"/>
    <w:rsid w:val="008E03B1"/>
    <w:rsid w:val="008E473E"/>
    <w:rsid w:val="008F7384"/>
    <w:rsid w:val="008F7A4F"/>
    <w:rsid w:val="009009EA"/>
    <w:rsid w:val="00901836"/>
    <w:rsid w:val="00901E63"/>
    <w:rsid w:val="009064BC"/>
    <w:rsid w:val="00907B76"/>
    <w:rsid w:val="00910E71"/>
    <w:rsid w:val="0091174F"/>
    <w:rsid w:val="009222A1"/>
    <w:rsid w:val="00924BDF"/>
    <w:rsid w:val="00937A7C"/>
    <w:rsid w:val="00941AD2"/>
    <w:rsid w:val="009500C0"/>
    <w:rsid w:val="00950D9E"/>
    <w:rsid w:val="0095131C"/>
    <w:rsid w:val="009535C4"/>
    <w:rsid w:val="009547B0"/>
    <w:rsid w:val="009642AE"/>
    <w:rsid w:val="00964AE3"/>
    <w:rsid w:val="00976B07"/>
    <w:rsid w:val="0099144D"/>
    <w:rsid w:val="00992E52"/>
    <w:rsid w:val="00997CF8"/>
    <w:rsid w:val="00997E40"/>
    <w:rsid w:val="009A4C4E"/>
    <w:rsid w:val="009A5464"/>
    <w:rsid w:val="009A6C53"/>
    <w:rsid w:val="009B3408"/>
    <w:rsid w:val="009C020D"/>
    <w:rsid w:val="009C135E"/>
    <w:rsid w:val="009C3436"/>
    <w:rsid w:val="009C4764"/>
    <w:rsid w:val="009D021A"/>
    <w:rsid w:val="009D4653"/>
    <w:rsid w:val="009D633F"/>
    <w:rsid w:val="009D7D24"/>
    <w:rsid w:val="009E17F5"/>
    <w:rsid w:val="009E18D1"/>
    <w:rsid w:val="00A04125"/>
    <w:rsid w:val="00A04ECE"/>
    <w:rsid w:val="00A051E4"/>
    <w:rsid w:val="00A054EC"/>
    <w:rsid w:val="00A12B00"/>
    <w:rsid w:val="00A1589F"/>
    <w:rsid w:val="00A17B9C"/>
    <w:rsid w:val="00A20D00"/>
    <w:rsid w:val="00A24C55"/>
    <w:rsid w:val="00A4237D"/>
    <w:rsid w:val="00A425F4"/>
    <w:rsid w:val="00A45295"/>
    <w:rsid w:val="00A456C5"/>
    <w:rsid w:val="00A50D1B"/>
    <w:rsid w:val="00A52214"/>
    <w:rsid w:val="00A52628"/>
    <w:rsid w:val="00A52B86"/>
    <w:rsid w:val="00A5332B"/>
    <w:rsid w:val="00A55828"/>
    <w:rsid w:val="00A578C2"/>
    <w:rsid w:val="00A61CEE"/>
    <w:rsid w:val="00A62140"/>
    <w:rsid w:val="00A6358C"/>
    <w:rsid w:val="00A6447D"/>
    <w:rsid w:val="00A67B5F"/>
    <w:rsid w:val="00A712C3"/>
    <w:rsid w:val="00A76F5B"/>
    <w:rsid w:val="00A7750E"/>
    <w:rsid w:val="00A80A47"/>
    <w:rsid w:val="00A80B3F"/>
    <w:rsid w:val="00A8149C"/>
    <w:rsid w:val="00A82E2B"/>
    <w:rsid w:val="00A858F4"/>
    <w:rsid w:val="00A92E5F"/>
    <w:rsid w:val="00A93561"/>
    <w:rsid w:val="00A95B46"/>
    <w:rsid w:val="00A97297"/>
    <w:rsid w:val="00AA30DE"/>
    <w:rsid w:val="00AA5229"/>
    <w:rsid w:val="00AB1F5F"/>
    <w:rsid w:val="00AB3591"/>
    <w:rsid w:val="00AC245A"/>
    <w:rsid w:val="00AC3B60"/>
    <w:rsid w:val="00AC5F91"/>
    <w:rsid w:val="00AD01A4"/>
    <w:rsid w:val="00AD142D"/>
    <w:rsid w:val="00AD34EE"/>
    <w:rsid w:val="00AD4900"/>
    <w:rsid w:val="00AE1675"/>
    <w:rsid w:val="00AE1AFF"/>
    <w:rsid w:val="00AE2C87"/>
    <w:rsid w:val="00AE3C1B"/>
    <w:rsid w:val="00AF4604"/>
    <w:rsid w:val="00AF480D"/>
    <w:rsid w:val="00AF7EA4"/>
    <w:rsid w:val="00B07417"/>
    <w:rsid w:val="00B07C04"/>
    <w:rsid w:val="00B13B97"/>
    <w:rsid w:val="00B14D78"/>
    <w:rsid w:val="00B16A1F"/>
    <w:rsid w:val="00B203A3"/>
    <w:rsid w:val="00B20DA9"/>
    <w:rsid w:val="00B20E30"/>
    <w:rsid w:val="00B31BAB"/>
    <w:rsid w:val="00B33590"/>
    <w:rsid w:val="00B36495"/>
    <w:rsid w:val="00B43099"/>
    <w:rsid w:val="00B43B3D"/>
    <w:rsid w:val="00B472F4"/>
    <w:rsid w:val="00B540D6"/>
    <w:rsid w:val="00B54CC0"/>
    <w:rsid w:val="00B6366A"/>
    <w:rsid w:val="00B7194A"/>
    <w:rsid w:val="00B729E6"/>
    <w:rsid w:val="00B73E16"/>
    <w:rsid w:val="00B75303"/>
    <w:rsid w:val="00B76327"/>
    <w:rsid w:val="00B810D4"/>
    <w:rsid w:val="00B844F2"/>
    <w:rsid w:val="00B91248"/>
    <w:rsid w:val="00B94841"/>
    <w:rsid w:val="00B95E8A"/>
    <w:rsid w:val="00B964F2"/>
    <w:rsid w:val="00B97FEF"/>
    <w:rsid w:val="00BA2E57"/>
    <w:rsid w:val="00BA7F33"/>
    <w:rsid w:val="00BB6D13"/>
    <w:rsid w:val="00BC260D"/>
    <w:rsid w:val="00BC5A33"/>
    <w:rsid w:val="00BC67E3"/>
    <w:rsid w:val="00BD0545"/>
    <w:rsid w:val="00BD64C3"/>
    <w:rsid w:val="00BD677D"/>
    <w:rsid w:val="00BD6D3E"/>
    <w:rsid w:val="00BE0F32"/>
    <w:rsid w:val="00BE2CA7"/>
    <w:rsid w:val="00BE4065"/>
    <w:rsid w:val="00BE45E1"/>
    <w:rsid w:val="00BE45F7"/>
    <w:rsid w:val="00BE7F5A"/>
    <w:rsid w:val="00BF035B"/>
    <w:rsid w:val="00C01741"/>
    <w:rsid w:val="00C02DC5"/>
    <w:rsid w:val="00C0614D"/>
    <w:rsid w:val="00C10CA9"/>
    <w:rsid w:val="00C16E6F"/>
    <w:rsid w:val="00C21D9D"/>
    <w:rsid w:val="00C27640"/>
    <w:rsid w:val="00C3108E"/>
    <w:rsid w:val="00C3349D"/>
    <w:rsid w:val="00C34185"/>
    <w:rsid w:val="00C45419"/>
    <w:rsid w:val="00C525A4"/>
    <w:rsid w:val="00C5273E"/>
    <w:rsid w:val="00C57581"/>
    <w:rsid w:val="00C70F4F"/>
    <w:rsid w:val="00C7222D"/>
    <w:rsid w:val="00C74807"/>
    <w:rsid w:val="00C748A1"/>
    <w:rsid w:val="00C7751A"/>
    <w:rsid w:val="00C80365"/>
    <w:rsid w:val="00C8598A"/>
    <w:rsid w:val="00C95AAF"/>
    <w:rsid w:val="00C95E83"/>
    <w:rsid w:val="00C9633B"/>
    <w:rsid w:val="00CA092F"/>
    <w:rsid w:val="00CA35D8"/>
    <w:rsid w:val="00CA48DA"/>
    <w:rsid w:val="00CB038C"/>
    <w:rsid w:val="00CB08FC"/>
    <w:rsid w:val="00CB1D93"/>
    <w:rsid w:val="00CB31F3"/>
    <w:rsid w:val="00CB50DB"/>
    <w:rsid w:val="00CB560B"/>
    <w:rsid w:val="00CC06B4"/>
    <w:rsid w:val="00CC1D0A"/>
    <w:rsid w:val="00CC45E2"/>
    <w:rsid w:val="00CD205D"/>
    <w:rsid w:val="00CD2D26"/>
    <w:rsid w:val="00CE1679"/>
    <w:rsid w:val="00CE4E6A"/>
    <w:rsid w:val="00CE60F9"/>
    <w:rsid w:val="00CF34FC"/>
    <w:rsid w:val="00CF39CE"/>
    <w:rsid w:val="00D01C01"/>
    <w:rsid w:val="00D0401B"/>
    <w:rsid w:val="00D07BA9"/>
    <w:rsid w:val="00D239AA"/>
    <w:rsid w:val="00D23DEF"/>
    <w:rsid w:val="00D24C47"/>
    <w:rsid w:val="00D3238B"/>
    <w:rsid w:val="00D32A0E"/>
    <w:rsid w:val="00D3542B"/>
    <w:rsid w:val="00D54050"/>
    <w:rsid w:val="00D559DB"/>
    <w:rsid w:val="00D7257A"/>
    <w:rsid w:val="00D74A7F"/>
    <w:rsid w:val="00D93D1F"/>
    <w:rsid w:val="00D96152"/>
    <w:rsid w:val="00DA54AA"/>
    <w:rsid w:val="00DC6FBE"/>
    <w:rsid w:val="00DC799B"/>
    <w:rsid w:val="00DD01EE"/>
    <w:rsid w:val="00DD0581"/>
    <w:rsid w:val="00DD2765"/>
    <w:rsid w:val="00DE36B7"/>
    <w:rsid w:val="00DE5012"/>
    <w:rsid w:val="00DF4949"/>
    <w:rsid w:val="00DF515C"/>
    <w:rsid w:val="00E010D6"/>
    <w:rsid w:val="00E069D6"/>
    <w:rsid w:val="00E10E0F"/>
    <w:rsid w:val="00E11F36"/>
    <w:rsid w:val="00E143BD"/>
    <w:rsid w:val="00E1553D"/>
    <w:rsid w:val="00E168C0"/>
    <w:rsid w:val="00E17619"/>
    <w:rsid w:val="00E20D15"/>
    <w:rsid w:val="00E229F6"/>
    <w:rsid w:val="00E26FE9"/>
    <w:rsid w:val="00E27126"/>
    <w:rsid w:val="00E40F99"/>
    <w:rsid w:val="00E414C1"/>
    <w:rsid w:val="00E41E96"/>
    <w:rsid w:val="00E4674E"/>
    <w:rsid w:val="00E47768"/>
    <w:rsid w:val="00E51817"/>
    <w:rsid w:val="00E567CD"/>
    <w:rsid w:val="00E57D18"/>
    <w:rsid w:val="00E627AE"/>
    <w:rsid w:val="00E64743"/>
    <w:rsid w:val="00E66893"/>
    <w:rsid w:val="00E66DFE"/>
    <w:rsid w:val="00E67141"/>
    <w:rsid w:val="00E67B2D"/>
    <w:rsid w:val="00E67B95"/>
    <w:rsid w:val="00E7136E"/>
    <w:rsid w:val="00E71913"/>
    <w:rsid w:val="00E74AE5"/>
    <w:rsid w:val="00E76358"/>
    <w:rsid w:val="00E77E88"/>
    <w:rsid w:val="00E84F42"/>
    <w:rsid w:val="00E85FE5"/>
    <w:rsid w:val="00E9513F"/>
    <w:rsid w:val="00E95BB1"/>
    <w:rsid w:val="00EA0B1A"/>
    <w:rsid w:val="00EA2464"/>
    <w:rsid w:val="00EA4423"/>
    <w:rsid w:val="00EA45FD"/>
    <w:rsid w:val="00EA4B45"/>
    <w:rsid w:val="00EA7538"/>
    <w:rsid w:val="00EB2EF8"/>
    <w:rsid w:val="00EB5034"/>
    <w:rsid w:val="00EB54B1"/>
    <w:rsid w:val="00EB62D1"/>
    <w:rsid w:val="00EC5CA8"/>
    <w:rsid w:val="00EC7BBA"/>
    <w:rsid w:val="00ED4D81"/>
    <w:rsid w:val="00ED5570"/>
    <w:rsid w:val="00EE03D8"/>
    <w:rsid w:val="00EE17C1"/>
    <w:rsid w:val="00EE2EBE"/>
    <w:rsid w:val="00EE7C1A"/>
    <w:rsid w:val="00F033DD"/>
    <w:rsid w:val="00F04252"/>
    <w:rsid w:val="00F06CDA"/>
    <w:rsid w:val="00F11089"/>
    <w:rsid w:val="00F22ED9"/>
    <w:rsid w:val="00F23723"/>
    <w:rsid w:val="00F2477C"/>
    <w:rsid w:val="00F26BA6"/>
    <w:rsid w:val="00F31209"/>
    <w:rsid w:val="00F42B01"/>
    <w:rsid w:val="00F42FFC"/>
    <w:rsid w:val="00F4754F"/>
    <w:rsid w:val="00F55C2D"/>
    <w:rsid w:val="00F56880"/>
    <w:rsid w:val="00F574F8"/>
    <w:rsid w:val="00F64258"/>
    <w:rsid w:val="00F66240"/>
    <w:rsid w:val="00F664A0"/>
    <w:rsid w:val="00F66703"/>
    <w:rsid w:val="00F729DD"/>
    <w:rsid w:val="00F7307D"/>
    <w:rsid w:val="00F73DE3"/>
    <w:rsid w:val="00F819EF"/>
    <w:rsid w:val="00F9505F"/>
    <w:rsid w:val="00F95565"/>
    <w:rsid w:val="00F96F4A"/>
    <w:rsid w:val="00FA0AB7"/>
    <w:rsid w:val="00FA19D0"/>
    <w:rsid w:val="00FA298E"/>
    <w:rsid w:val="00FA4D3B"/>
    <w:rsid w:val="00FA590A"/>
    <w:rsid w:val="00FB6CF7"/>
    <w:rsid w:val="00FC2CD4"/>
    <w:rsid w:val="00FD463D"/>
    <w:rsid w:val="00FD788F"/>
    <w:rsid w:val="00FD7DBC"/>
    <w:rsid w:val="00FE5B1E"/>
    <w:rsid w:val="01BFAB0C"/>
    <w:rsid w:val="01CBE9B3"/>
    <w:rsid w:val="0207D89E"/>
    <w:rsid w:val="027C2D83"/>
    <w:rsid w:val="06348284"/>
    <w:rsid w:val="06509757"/>
    <w:rsid w:val="06622FEA"/>
    <w:rsid w:val="081732C2"/>
    <w:rsid w:val="081FF1B2"/>
    <w:rsid w:val="0851A5D9"/>
    <w:rsid w:val="086EB769"/>
    <w:rsid w:val="08E43305"/>
    <w:rsid w:val="093E2CFD"/>
    <w:rsid w:val="099BD0B7"/>
    <w:rsid w:val="0A0BD35A"/>
    <w:rsid w:val="0A66860C"/>
    <w:rsid w:val="0A8ED954"/>
    <w:rsid w:val="0B0608E5"/>
    <w:rsid w:val="0B8F4F6F"/>
    <w:rsid w:val="0C08EDD0"/>
    <w:rsid w:val="0C2AA9B5"/>
    <w:rsid w:val="0C385D00"/>
    <w:rsid w:val="0D8ADABF"/>
    <w:rsid w:val="0DBC0591"/>
    <w:rsid w:val="0E8A74E3"/>
    <w:rsid w:val="0FE87E54"/>
    <w:rsid w:val="104337F1"/>
    <w:rsid w:val="10BE01E2"/>
    <w:rsid w:val="10E2C869"/>
    <w:rsid w:val="1132E573"/>
    <w:rsid w:val="11D2ADDA"/>
    <w:rsid w:val="120D20FE"/>
    <w:rsid w:val="1318F51A"/>
    <w:rsid w:val="134B52A6"/>
    <w:rsid w:val="139971D6"/>
    <w:rsid w:val="13E4C3AB"/>
    <w:rsid w:val="13FAC2E4"/>
    <w:rsid w:val="14114AA6"/>
    <w:rsid w:val="1544314B"/>
    <w:rsid w:val="15619D9F"/>
    <w:rsid w:val="15B1F602"/>
    <w:rsid w:val="1601934A"/>
    <w:rsid w:val="16A5A75F"/>
    <w:rsid w:val="16D3B30B"/>
    <w:rsid w:val="177DA4AE"/>
    <w:rsid w:val="18390434"/>
    <w:rsid w:val="183D0C2B"/>
    <w:rsid w:val="191175FA"/>
    <w:rsid w:val="19A9BF01"/>
    <w:rsid w:val="19F491BE"/>
    <w:rsid w:val="1A217DAE"/>
    <w:rsid w:val="1A7DE448"/>
    <w:rsid w:val="1A8E23A1"/>
    <w:rsid w:val="1AC7500D"/>
    <w:rsid w:val="1B8DBE64"/>
    <w:rsid w:val="1C883676"/>
    <w:rsid w:val="1CADEA56"/>
    <w:rsid w:val="1CCE5C67"/>
    <w:rsid w:val="1CEC19BD"/>
    <w:rsid w:val="1D130262"/>
    <w:rsid w:val="1D905558"/>
    <w:rsid w:val="1E180CA4"/>
    <w:rsid w:val="1EBFDC03"/>
    <w:rsid w:val="1F648B8B"/>
    <w:rsid w:val="204804B1"/>
    <w:rsid w:val="211B81AE"/>
    <w:rsid w:val="2133B9B2"/>
    <w:rsid w:val="21A2D162"/>
    <w:rsid w:val="2245377E"/>
    <w:rsid w:val="22C14273"/>
    <w:rsid w:val="23479BF0"/>
    <w:rsid w:val="23DB7ABD"/>
    <w:rsid w:val="24417B4F"/>
    <w:rsid w:val="244D0841"/>
    <w:rsid w:val="249A24B7"/>
    <w:rsid w:val="24E36C51"/>
    <w:rsid w:val="255890C5"/>
    <w:rsid w:val="259204EB"/>
    <w:rsid w:val="28582AAE"/>
    <w:rsid w:val="2882C3A1"/>
    <w:rsid w:val="2A0158AE"/>
    <w:rsid w:val="2A226BFC"/>
    <w:rsid w:val="2C0A5FE5"/>
    <w:rsid w:val="2C36E2A4"/>
    <w:rsid w:val="2D0EC481"/>
    <w:rsid w:val="2E46EE71"/>
    <w:rsid w:val="2E5860F8"/>
    <w:rsid w:val="2F4F4CD7"/>
    <w:rsid w:val="2FB0C1AA"/>
    <w:rsid w:val="2FC68B08"/>
    <w:rsid w:val="3026DB03"/>
    <w:rsid w:val="32158E15"/>
    <w:rsid w:val="32173C6A"/>
    <w:rsid w:val="321A4A22"/>
    <w:rsid w:val="33C2D17E"/>
    <w:rsid w:val="354D2ED7"/>
    <w:rsid w:val="360CAB30"/>
    <w:rsid w:val="36E6B8C4"/>
    <w:rsid w:val="3772A6F3"/>
    <w:rsid w:val="39299822"/>
    <w:rsid w:val="39483D2D"/>
    <w:rsid w:val="397305C1"/>
    <w:rsid w:val="39F57589"/>
    <w:rsid w:val="3B32309C"/>
    <w:rsid w:val="3C1786C0"/>
    <w:rsid w:val="3C7CC143"/>
    <w:rsid w:val="3CC9270B"/>
    <w:rsid w:val="3DA7A421"/>
    <w:rsid w:val="3FDD48CC"/>
    <w:rsid w:val="40C5D5C9"/>
    <w:rsid w:val="417E872B"/>
    <w:rsid w:val="418122CB"/>
    <w:rsid w:val="424ED7FB"/>
    <w:rsid w:val="42659C48"/>
    <w:rsid w:val="42AA7306"/>
    <w:rsid w:val="4321AE99"/>
    <w:rsid w:val="43376A1C"/>
    <w:rsid w:val="43949E87"/>
    <w:rsid w:val="44008B02"/>
    <w:rsid w:val="45B733C9"/>
    <w:rsid w:val="47095757"/>
    <w:rsid w:val="4912E572"/>
    <w:rsid w:val="4ADC93AD"/>
    <w:rsid w:val="4AEB6DEA"/>
    <w:rsid w:val="4B0B2F70"/>
    <w:rsid w:val="4B4D884A"/>
    <w:rsid w:val="4BAC3011"/>
    <w:rsid w:val="4BC33552"/>
    <w:rsid w:val="4C15FAD1"/>
    <w:rsid w:val="4E21732A"/>
    <w:rsid w:val="4F4BE01E"/>
    <w:rsid w:val="4F934D4D"/>
    <w:rsid w:val="503E2552"/>
    <w:rsid w:val="50C437C6"/>
    <w:rsid w:val="50DAE583"/>
    <w:rsid w:val="520B655C"/>
    <w:rsid w:val="5223D5A8"/>
    <w:rsid w:val="523BF7A1"/>
    <w:rsid w:val="52AB7BF2"/>
    <w:rsid w:val="52C2F9AC"/>
    <w:rsid w:val="5398F4AF"/>
    <w:rsid w:val="553F8A0B"/>
    <w:rsid w:val="556F0F44"/>
    <w:rsid w:val="56FECFFE"/>
    <w:rsid w:val="571E71E9"/>
    <w:rsid w:val="577D1FD1"/>
    <w:rsid w:val="58208EF9"/>
    <w:rsid w:val="5866C87D"/>
    <w:rsid w:val="59DFC732"/>
    <w:rsid w:val="5A12AD9D"/>
    <w:rsid w:val="5B50A232"/>
    <w:rsid w:val="5B5B32D3"/>
    <w:rsid w:val="5C26585F"/>
    <w:rsid w:val="5D248589"/>
    <w:rsid w:val="5D3492D1"/>
    <w:rsid w:val="5E47F716"/>
    <w:rsid w:val="5E59C96A"/>
    <w:rsid w:val="5F4786B9"/>
    <w:rsid w:val="60E0834D"/>
    <w:rsid w:val="62907AE8"/>
    <w:rsid w:val="62AD882E"/>
    <w:rsid w:val="636E9A4F"/>
    <w:rsid w:val="63E3D5BF"/>
    <w:rsid w:val="64E7A19E"/>
    <w:rsid w:val="655D10FA"/>
    <w:rsid w:val="65E72F2E"/>
    <w:rsid w:val="6606A6C1"/>
    <w:rsid w:val="669B42C8"/>
    <w:rsid w:val="67935A29"/>
    <w:rsid w:val="68214A5B"/>
    <w:rsid w:val="683A847D"/>
    <w:rsid w:val="6848C4CA"/>
    <w:rsid w:val="68A84FB6"/>
    <w:rsid w:val="68EBD8FB"/>
    <w:rsid w:val="68FB3E45"/>
    <w:rsid w:val="699CB81F"/>
    <w:rsid w:val="69C2FC7C"/>
    <w:rsid w:val="6ACB90CA"/>
    <w:rsid w:val="6CB1D2E3"/>
    <w:rsid w:val="6D06B398"/>
    <w:rsid w:val="6D46F541"/>
    <w:rsid w:val="6D4E7CFC"/>
    <w:rsid w:val="6D685FAF"/>
    <w:rsid w:val="6E853A6A"/>
    <w:rsid w:val="6E8C10C5"/>
    <w:rsid w:val="6EDE5F96"/>
    <w:rsid w:val="6F2A23F0"/>
    <w:rsid w:val="6FF6D96F"/>
    <w:rsid w:val="700B2C13"/>
    <w:rsid w:val="708E06E4"/>
    <w:rsid w:val="7107EBCE"/>
    <w:rsid w:val="733C3141"/>
    <w:rsid w:val="73BC3985"/>
    <w:rsid w:val="73E9E649"/>
    <w:rsid w:val="74271759"/>
    <w:rsid w:val="74A4074E"/>
    <w:rsid w:val="74FAC520"/>
    <w:rsid w:val="75BDE90E"/>
    <w:rsid w:val="75DECBB8"/>
    <w:rsid w:val="75E22026"/>
    <w:rsid w:val="75E8BF36"/>
    <w:rsid w:val="765140E5"/>
    <w:rsid w:val="76824AFD"/>
    <w:rsid w:val="76D9E0D2"/>
    <w:rsid w:val="7725E67C"/>
    <w:rsid w:val="78C26F52"/>
    <w:rsid w:val="79774D78"/>
    <w:rsid w:val="79EC4962"/>
    <w:rsid w:val="7A54EE48"/>
    <w:rsid w:val="7AAFFDFA"/>
    <w:rsid w:val="7B16A545"/>
    <w:rsid w:val="7C30296D"/>
    <w:rsid w:val="7D67BA08"/>
    <w:rsid w:val="7D79994A"/>
    <w:rsid w:val="7E3DDCB0"/>
    <w:rsid w:val="7F09D2F8"/>
    <w:rsid w:val="7F1AF4E4"/>
    <w:rsid w:val="7F9A8D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94A1B"/>
  <w15:chartTrackingRefBased/>
  <w15:docId w15:val="{00B20664-36AA-4810-AC41-82093702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45"/>
    <w:pPr>
      <w:spacing w:before="120" w:after="120" w:line="259" w:lineRule="auto"/>
      <w:ind w:left="170"/>
      <w:jc w:val="left"/>
    </w:pPr>
    <w:rPr>
      <w:rFonts w:ascii="Verdana" w:hAnsi="Verdana"/>
      <w:lang w:val="en-AU"/>
    </w:rPr>
  </w:style>
  <w:style w:type="paragraph" w:styleId="Heading1">
    <w:name w:val="heading 1"/>
    <w:basedOn w:val="Normal"/>
    <w:next w:val="Normal"/>
    <w:link w:val="Heading1Char"/>
    <w:uiPriority w:val="9"/>
    <w:qFormat/>
    <w:rsid w:val="006B2002"/>
    <w:pPr>
      <w:keepNext/>
      <w:keepLines/>
      <w:spacing w:before="240"/>
      <w:outlineLvl w:val="0"/>
    </w:pPr>
    <w:rPr>
      <w:rFonts w:ascii="Palatino Linotype" w:eastAsiaTheme="majorEastAsia" w:hAnsi="Palatino Linotype" w:cstheme="majorBidi"/>
      <w:b/>
      <w:color w:val="143156"/>
      <w:sz w:val="40"/>
      <w:szCs w:val="32"/>
    </w:rPr>
  </w:style>
  <w:style w:type="paragraph" w:styleId="Heading2">
    <w:name w:val="heading 2"/>
    <w:basedOn w:val="Normal"/>
    <w:next w:val="Normal"/>
    <w:link w:val="Heading2Char"/>
    <w:uiPriority w:val="9"/>
    <w:unhideWhenUsed/>
    <w:qFormat/>
    <w:rsid w:val="006B2002"/>
    <w:pPr>
      <w:keepNext/>
      <w:keepLines/>
      <w:spacing w:before="240" w:after="0"/>
      <w:outlineLvl w:val="1"/>
    </w:pPr>
    <w:rPr>
      <w:rFonts w:ascii="Palatino Linotype" w:eastAsiaTheme="majorEastAsia" w:hAnsi="Palatino Linotype" w:cstheme="majorBidi"/>
      <w:color w:val="143156"/>
      <w:sz w:val="36"/>
      <w:szCs w:val="26"/>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221DC0"/>
    <w:pPr>
      <w:keepNext/>
      <w:keepLines/>
      <w:spacing w:before="40"/>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6B2002"/>
    <w:rPr>
      <w:rFonts w:ascii="Palatino Linotype" w:eastAsiaTheme="majorEastAsia" w:hAnsi="Palatino Linotype" w:cstheme="majorBidi"/>
      <w:b/>
      <w:color w:val="143156"/>
      <w:sz w:val="40"/>
      <w:szCs w:val="32"/>
      <w:lang w:val="en-AU"/>
    </w:rPr>
  </w:style>
  <w:style w:type="character" w:customStyle="1" w:styleId="Heading2Char">
    <w:name w:val="Heading 2 Char"/>
    <w:basedOn w:val="DefaultParagraphFont"/>
    <w:link w:val="Heading2"/>
    <w:uiPriority w:val="9"/>
    <w:rsid w:val="006B2002"/>
    <w:rPr>
      <w:rFonts w:ascii="Palatino Linotype" w:eastAsiaTheme="majorEastAsia" w:hAnsi="Palatino Linotype" w:cstheme="majorBidi"/>
      <w:color w:val="143156"/>
      <w:sz w:val="36"/>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uiPriority w:val="34"/>
    <w:qFormat/>
    <w:rsid w:val="00565F46"/>
    <w:pPr>
      <w:keepNext/>
      <w:numPr>
        <w:numId w:val="4"/>
      </w:numPr>
    </w:pPr>
  </w:style>
  <w:style w:type="paragraph" w:styleId="FootnoteText">
    <w:name w:val="footnote text"/>
    <w:basedOn w:val="Normal"/>
    <w:link w:val="FootnoteTextChar"/>
    <w:uiPriority w:val="99"/>
    <w:semiHidden/>
    <w:unhideWhenUsed/>
    <w:qFormat/>
    <w:rsid w:val="00050924"/>
    <w:rPr>
      <w:sz w:val="16"/>
      <w:szCs w:val="20"/>
    </w:rPr>
  </w:style>
  <w:style w:type="character" w:customStyle="1" w:styleId="FootnoteTextChar">
    <w:name w:val="Footnote Text Char"/>
    <w:basedOn w:val="DefaultParagraphFont"/>
    <w:link w:val="FootnoteText"/>
    <w:uiPriority w:val="99"/>
    <w:semiHidden/>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221DC0"/>
    <w:rPr>
      <w:rFonts w:ascii="Palatino Linotype" w:eastAsiaTheme="majorEastAsia" w:hAnsi="Palatino Linotype" w:cstheme="majorBidi"/>
      <w:b/>
      <w:iCs/>
      <w:color w:val="143156"/>
      <w:sz w:val="28"/>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A62140"/>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AB1F5F"/>
    <w:pPr>
      <w:keepNext/>
      <w:spacing w:before="240"/>
    </w:pPr>
    <w:rPr>
      <w:b/>
      <w:color w:val="CE2028"/>
    </w:rPr>
  </w:style>
  <w:style w:type="character" w:customStyle="1" w:styleId="RecommendationChar">
    <w:name w:val="Recommendation Char"/>
    <w:basedOn w:val="DefaultParagraphFont"/>
    <w:link w:val="Recommendation"/>
    <w:rsid w:val="00A62140"/>
    <w:rPr>
      <w:rFonts w:ascii="Verdana" w:hAnsi="Verdana"/>
      <w:b/>
      <w:color w:val="CE2028"/>
      <w:lang w:val="en-AU"/>
    </w:rPr>
  </w:style>
  <w:style w:type="character" w:customStyle="1" w:styleId="SummaryChar">
    <w:name w:val="Summary Char"/>
    <w:basedOn w:val="RecommendationChar"/>
    <w:link w:val="Summary"/>
    <w:rsid w:val="00AB1F5F"/>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tabs>
        <w:tab w:val="clear" w:pos="502"/>
        <w:tab w:val="num" w:pos="360"/>
      </w:tabs>
      <w:ind w:left="360"/>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aliases w:val="List Paragraph 2"/>
    <w:basedOn w:val="List"/>
    <w:next w:val="List3"/>
    <w:uiPriority w:val="99"/>
    <w:unhideWhenUsed/>
    <w:qFormat/>
    <w:rsid w:val="00DF4949"/>
    <w:pPr>
      <w:numPr>
        <w:numId w:val="3"/>
      </w:numPr>
    </w:pPr>
    <w:rPr>
      <w:b/>
    </w:r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styleId="CommentSubject">
    <w:name w:val="annotation subject"/>
    <w:basedOn w:val="CommentText"/>
    <w:next w:val="CommentText"/>
    <w:link w:val="CommentSubjectChar"/>
    <w:uiPriority w:val="99"/>
    <w:semiHidden/>
    <w:unhideWhenUsed/>
    <w:rsid w:val="00506B12"/>
    <w:pPr>
      <w:spacing w:line="240" w:lineRule="auto"/>
    </w:pPr>
    <w:rPr>
      <w:b/>
      <w:bCs/>
      <w:sz w:val="20"/>
    </w:rPr>
  </w:style>
  <w:style w:type="character" w:customStyle="1" w:styleId="CommentSubjectChar">
    <w:name w:val="Comment Subject Char"/>
    <w:basedOn w:val="CommentTextChar"/>
    <w:link w:val="CommentSubject"/>
    <w:uiPriority w:val="99"/>
    <w:semiHidden/>
    <w:rsid w:val="00506B12"/>
    <w:rPr>
      <w:rFonts w:ascii="Verdana" w:hAnsi="Verdana"/>
      <w:b/>
      <w:bCs/>
      <w:color w:val="000000" w:themeColor="text1"/>
      <w:sz w:val="20"/>
      <w:szCs w:val="20"/>
      <w:lang w:val="en-AU"/>
    </w:rPr>
  </w:style>
  <w:style w:type="character" w:styleId="UnresolvedMention">
    <w:name w:val="Unresolved Mention"/>
    <w:basedOn w:val="DefaultParagraphFont"/>
    <w:uiPriority w:val="99"/>
    <w:semiHidden/>
    <w:unhideWhenUsed/>
    <w:rsid w:val="00506B12"/>
    <w:rPr>
      <w:color w:val="605E5C"/>
      <w:shd w:val="clear" w:color="auto" w:fill="E1DFDD"/>
    </w:rPr>
  </w:style>
  <w:style w:type="character" w:customStyle="1" w:styleId="cf01">
    <w:name w:val="cf01"/>
    <w:basedOn w:val="DefaultParagraphFont"/>
    <w:rsid w:val="005A7C59"/>
    <w:rPr>
      <w:rFonts w:ascii="Segoe UI" w:hAnsi="Segoe UI" w:cs="Segoe UI" w:hint="default"/>
      <w:sz w:val="18"/>
      <w:szCs w:val="18"/>
    </w:rPr>
  </w:style>
  <w:style w:type="paragraph" w:styleId="Revision">
    <w:name w:val="Revision"/>
    <w:hidden/>
    <w:uiPriority w:val="99"/>
    <w:semiHidden/>
    <w:rsid w:val="001F6A2B"/>
    <w:pPr>
      <w:spacing w:after="0"/>
      <w:jc w:val="left"/>
    </w:pPr>
    <w:rPr>
      <w:rFonts w:ascii="Verdana" w:hAnsi="Verdana"/>
      <w:lang w:val="en-AU"/>
    </w:rPr>
  </w:style>
  <w:style w:type="paragraph" w:customStyle="1" w:styleId="ActHead5">
    <w:name w:val="ActHead 5"/>
    <w:aliases w:val="s"/>
    <w:basedOn w:val="Normal"/>
    <w:next w:val="Normal"/>
    <w:link w:val="ActHead5Char"/>
    <w:qFormat/>
    <w:rsid w:val="00302F44"/>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302F44"/>
  </w:style>
  <w:style w:type="character" w:customStyle="1" w:styleId="ActHead5Char">
    <w:name w:val="ActHead 5 Char"/>
    <w:aliases w:val="s Char"/>
    <w:link w:val="ActHead5"/>
    <w:locked/>
    <w:rsid w:val="00302F44"/>
    <w:rPr>
      <w:rFonts w:ascii="Times New Roman" w:eastAsia="Times New Roman" w:hAnsi="Times New Roman" w:cs="Times New Roman"/>
      <w:b/>
      <w:kern w:val="28"/>
      <w:sz w:val="24"/>
      <w:szCs w:val="20"/>
      <w:lang w:val="en-AU" w:eastAsia="en-AU"/>
    </w:rPr>
  </w:style>
  <w:style w:type="character" w:customStyle="1" w:styleId="cf11">
    <w:name w:val="cf11"/>
    <w:basedOn w:val="DefaultParagraphFont"/>
    <w:rsid w:val="00C16E6F"/>
    <w:rPr>
      <w:rFonts w:ascii="Segoe UI" w:hAnsi="Segoe UI" w:cs="Segoe UI" w:hint="default"/>
      <w:color w:val="0563C1"/>
      <w:sz w:val="18"/>
      <w:szCs w:val="18"/>
      <w:u w:val="single"/>
    </w:rPr>
  </w:style>
  <w:style w:type="character" w:customStyle="1" w:styleId="cf21">
    <w:name w:val="cf21"/>
    <w:basedOn w:val="DefaultParagraphFont"/>
    <w:rsid w:val="00C16E6F"/>
    <w:rPr>
      <w:rFonts w:ascii="Segoe UI" w:hAnsi="Segoe UI" w:cs="Segoe UI" w:hint="default"/>
      <w:color w:val="0563C1"/>
      <w:sz w:val="18"/>
      <w:szCs w:val="18"/>
      <w:u w:val="single"/>
    </w:rPr>
  </w:style>
  <w:style w:type="character" w:customStyle="1" w:styleId="normaltextrun">
    <w:name w:val="normaltextrun"/>
    <w:basedOn w:val="DefaultParagraphFont"/>
    <w:rsid w:val="00106005"/>
  </w:style>
  <w:style w:type="character" w:customStyle="1" w:styleId="gmail-apple-converted-space">
    <w:name w:val="gmail-apple-converted-space"/>
    <w:basedOn w:val="DefaultParagraphFont"/>
    <w:rsid w:val="00403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953560050">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60CC9CA60D454CBF7CD72DEB11BB19" ma:contentTypeVersion="14" ma:contentTypeDescription="Create a new document." ma:contentTypeScope="" ma:versionID="b22a2d4c9d2542738e405209f811c6c2">
  <xsd:schema xmlns:xsd="http://www.w3.org/2001/XMLSchema" xmlns:xs="http://www.w3.org/2001/XMLSchema" xmlns:p="http://schemas.microsoft.com/office/2006/metadata/properties" xmlns:ns2="aad989e3-f207-4a18-a152-9d0c16c51a42" xmlns:ns3="15acc887-f8a1-4db7-ad1e-232341b68c9b" targetNamespace="http://schemas.microsoft.com/office/2006/metadata/properties" ma:root="true" ma:fieldsID="d78aada0efd0a62d4bfa8f9fc01e9662" ns2:_="" ns3:_="">
    <xsd:import namespace="aad989e3-f207-4a18-a152-9d0c16c51a42"/>
    <xsd:import namespace="15acc887-f8a1-4db7-ad1e-232341b68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89e3-f207-4a18-a152-9d0c16c5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82b209-38ac-43bc-ac0f-90467f5471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acc887-f8a1-4db7-ad1e-232341b68c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e7cb3d5-b225-4fe9-9770-5f04ed67790c}" ma:internalName="TaxCatchAll" ma:showField="CatchAllData" ma:web="15acc887-f8a1-4db7-ad1e-232341b68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acc887-f8a1-4db7-ad1e-232341b68c9b" xsi:nil="true"/>
    <lcf76f155ced4ddcb4097134ff3c332f xmlns="aad989e3-f207-4a18-a152-9d0c16c51a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B647B-6D48-4EEB-8D16-47ECB3EFE6B5}">
  <ds:schemaRefs>
    <ds:schemaRef ds:uri="http://schemas.openxmlformats.org/officeDocument/2006/bibliography"/>
  </ds:schemaRefs>
</ds:datastoreItem>
</file>

<file path=customXml/itemProps2.xml><?xml version="1.0" encoding="utf-8"?>
<ds:datastoreItem xmlns:ds="http://schemas.openxmlformats.org/officeDocument/2006/customXml" ds:itemID="{1611253B-6D08-481F-A603-62785F9A9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89e3-f207-4a18-a152-9d0c16c51a42"/>
    <ds:schemaRef ds:uri="15acc887-f8a1-4db7-ad1e-232341b6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31062-E15E-46E4-8BB8-21F3ABE25EF9}">
  <ds:schemaRefs>
    <ds:schemaRef ds:uri="http://schemas.microsoft.com/sharepoint/v3/contenttype/forms"/>
  </ds:schemaRefs>
</ds:datastoreItem>
</file>

<file path=customXml/itemProps4.xml><?xml version="1.0" encoding="utf-8"?>
<ds:datastoreItem xmlns:ds="http://schemas.openxmlformats.org/officeDocument/2006/customXml" ds:itemID="{6CC3A1E5-6FE5-4212-854A-D408C13F0DD3}">
  <ds:schemaRefs>
    <ds:schemaRef ds:uri="http://schemas.microsoft.com/office/2006/metadata/properties"/>
    <ds:schemaRef ds:uri="http://schemas.microsoft.com/office/infopath/2007/PartnerControls"/>
    <ds:schemaRef ds:uri="15acc887-f8a1-4db7-ad1e-232341b68c9b"/>
    <ds:schemaRef ds:uri="aad989e3-f207-4a18-a152-9d0c16c51a42"/>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4454</Words>
  <Characters>25393</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29788</CharactersWithSpaces>
  <SharedDoc>false</SharedDoc>
  <HLinks>
    <vt:vector size="36" baseType="variant">
      <vt:variant>
        <vt:i4>2687018</vt:i4>
      </vt:variant>
      <vt:variant>
        <vt:i4>9</vt:i4>
      </vt:variant>
      <vt:variant>
        <vt:i4>0</vt:i4>
      </vt:variant>
      <vt:variant>
        <vt:i4>5</vt:i4>
      </vt:variant>
      <vt:variant>
        <vt:lpwstr>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vt:lpwstr>
      </vt:variant>
      <vt:variant>
        <vt:lpwstr/>
      </vt:variant>
      <vt:variant>
        <vt:i4>4063357</vt:i4>
      </vt:variant>
      <vt:variant>
        <vt:i4>6</vt:i4>
      </vt:variant>
      <vt:variant>
        <vt:i4>0</vt:i4>
      </vt:variant>
      <vt:variant>
        <vt:i4>5</vt:i4>
      </vt:variant>
      <vt:variant>
        <vt:lpwstr>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vt:lpwstr>
      </vt:variant>
      <vt:variant>
        <vt:lpwstr/>
      </vt:variant>
      <vt:variant>
        <vt:i4>2687018</vt:i4>
      </vt:variant>
      <vt:variant>
        <vt:i4>3</vt:i4>
      </vt:variant>
      <vt:variant>
        <vt:i4>0</vt:i4>
      </vt:variant>
      <vt:variant>
        <vt:i4>5</vt:i4>
      </vt:variant>
      <vt:variant>
        <vt:lpwstr>https://aus01.safelinks.protection.outlook.com/?url=https%3A%2F%2Fwww.pmc.gov.au%2Fresources%2F10-year-plan%2Fabout&amp;data=05%7C02%7Crochelle%40acoss.org.au%7Cdac5fc240df24b56edea08dc629db9c1%7C024e32c4ad4b4be2866eebf5b9989332%7C0%7C0%7C638493677556844036%7CUnknown%7CTWFpbGZsb3d8eyJWIjoiMC4wLjAwMDAiLCJQIjoiV2luMzIiLCJBTiI6Ik1haWwiLCJXVCI6Mn0%3D%7C0%7C%7C%7C&amp;sdata=6Ow0u9GsjK83dhPvdDLA1eLgP8Rce7qyGmi6URCwgU8%3D&amp;reserved=0</vt:lpwstr>
      </vt:variant>
      <vt:variant>
        <vt:lpwstr/>
      </vt:variant>
      <vt:variant>
        <vt:i4>4063357</vt:i4>
      </vt:variant>
      <vt:variant>
        <vt:i4>0</vt:i4>
      </vt:variant>
      <vt:variant>
        <vt:i4>0</vt:i4>
      </vt:variant>
      <vt:variant>
        <vt:i4>5</vt:i4>
      </vt:variant>
      <vt:variant>
        <vt:lpwstr>https://aus01.safelinks.protection.outlook.com/?url=https%3A%2F%2Fgenderequality.gov.au%2Fsites%2Fdefault%2Ffiles%2F2024-03%2Fworking-for-women-a-strategy-for-gender-equality.pdf&amp;data=05%7C02%7Crochelle%40acoss.org.au%7Cdac5fc240df24b56edea08dc629db9c1%7C024e32c4ad4b4be2866eebf5b9989332%7C0%7C0%7C638493677556832119%7CUnknown%7CTWFpbGZsb3d8eyJWIjoiMC4wLjAwMDAiLCJQIjoiV2luMzIiLCJBTiI6Ik1haWwiLCJXVCI6Mn0%3D%7C0%7C%7C%7C&amp;sdata=uFIFJTCN9PaLWfCp%2FWJnMTSeBL5DFfB7ie8dmv7nq6c%3D&amp;reserved=0</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Rochelle Braaf</cp:lastModifiedBy>
  <cp:revision>364</cp:revision>
  <dcterms:created xsi:type="dcterms:W3CDTF">2024-04-17T16:40:00Z</dcterms:created>
  <dcterms:modified xsi:type="dcterms:W3CDTF">2024-04-26T21:58:00Z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0x0101000B60CC9CA60D454CBF7CD72DEB11BB19</vt:lpwstr>
  </property>
  <property fmtid="{D5CDD505-2E9C-101B-9397-08002B2CF9AE}" pid="3" name="Order">
    <vt:r8>2600</vt:r8>
  </property>
  <property fmtid="{D5CDD505-2E9C-101B-9397-08002B2CF9AE}" pid="4" name="MediaServiceImageTags">
    <vt:lpwstr/>
  </property>
</Properties>
</file>