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v:background id="_x0000_s2049" o:bwmode="white">
      <v:fill r:id="rId7" o:title="Word Document Background 2" type="tile"/>
    </v:background>
  </w:background>
  <w:body>
    <w:p w14:paraId="4928669B" w14:textId="0EF16489" w:rsidR="007F7E86" w:rsidRDefault="007F7E86" w:rsidP="0033158A">
      <w:pPr>
        <w:pStyle w:val="Heading1"/>
        <w:rPr>
          <w:rFonts w:ascii="Segoe UI" w:hAnsi="Segoe UI"/>
          <w:sz w:val="18"/>
          <w:szCs w:val="18"/>
        </w:rPr>
      </w:pPr>
      <w:r>
        <w:rPr>
          <w:rStyle w:val="normaltextrun"/>
          <w:rFonts w:cs="Segoe UI"/>
          <w:bCs/>
          <w:sz w:val="56"/>
          <w:szCs w:val="56"/>
        </w:rPr>
        <w:t xml:space="preserve">Submission </w:t>
      </w:r>
      <w:r w:rsidR="00F80F6A">
        <w:rPr>
          <w:rStyle w:val="normaltextrun"/>
          <w:rFonts w:cs="Segoe UI"/>
          <w:bCs/>
          <w:sz w:val="56"/>
          <w:szCs w:val="56"/>
        </w:rPr>
        <w:t>to the Electricity and Energy Sector Plan</w:t>
      </w:r>
    </w:p>
    <w:p w14:paraId="2DF51988" w14:textId="64D32A7B" w:rsidR="007F7E86" w:rsidRDefault="004C7327" w:rsidP="0033158A">
      <w:pPr>
        <w:pStyle w:val="paragraph"/>
        <w:rPr>
          <w:rFonts w:ascii="Segoe UI" w:hAnsi="Segoe UI"/>
          <w:sz w:val="18"/>
          <w:szCs w:val="18"/>
        </w:rPr>
      </w:pPr>
      <w:r>
        <w:rPr>
          <w:rStyle w:val="normaltextrun"/>
          <w:rFonts w:ascii="Palatino Linotype" w:hAnsi="Palatino Linotype" w:cs="Segoe UI"/>
          <w:color w:val="143156"/>
          <w:sz w:val="40"/>
          <w:szCs w:val="40"/>
        </w:rPr>
        <w:t>Department of Climate Change Energy Environment and Water</w:t>
      </w:r>
    </w:p>
    <w:p w14:paraId="2EE14C5A" w14:textId="4C7A01C1" w:rsidR="007F7E86" w:rsidRDefault="00673641" w:rsidP="0033158A">
      <w:pPr>
        <w:pStyle w:val="paragraph"/>
        <w:rPr>
          <w:rFonts w:ascii="Segoe UI" w:hAnsi="Segoe UI"/>
          <w:sz w:val="18"/>
          <w:szCs w:val="18"/>
        </w:rPr>
      </w:pPr>
      <w:r>
        <w:rPr>
          <w:rStyle w:val="normaltextrun"/>
          <w:rFonts w:ascii="Palatino Linotype" w:hAnsi="Palatino Linotype" w:cs="Segoe UI"/>
          <w:color w:val="143156"/>
          <w:sz w:val="28"/>
          <w:szCs w:val="28"/>
        </w:rPr>
        <w:t xml:space="preserve">2 </w:t>
      </w:r>
      <w:r w:rsidR="314E8CB9" w:rsidRPr="3622F810">
        <w:rPr>
          <w:rStyle w:val="normaltextrun"/>
          <w:rFonts w:ascii="Palatino Linotype" w:hAnsi="Palatino Linotype" w:cs="Segoe UI"/>
          <w:color w:val="143156"/>
          <w:sz w:val="28"/>
          <w:szCs w:val="28"/>
        </w:rPr>
        <w:t>May</w:t>
      </w:r>
      <w:r>
        <w:rPr>
          <w:rStyle w:val="normaltextrun"/>
          <w:rFonts w:ascii="Palatino Linotype" w:hAnsi="Palatino Linotype" w:cs="Segoe UI"/>
          <w:color w:val="143156"/>
          <w:sz w:val="28"/>
          <w:szCs w:val="28"/>
        </w:rPr>
        <w:t xml:space="preserve"> </w:t>
      </w:r>
      <w:r w:rsidR="007F7E86">
        <w:rPr>
          <w:rStyle w:val="normaltextrun"/>
          <w:rFonts w:ascii="Palatino Linotype" w:hAnsi="Palatino Linotype" w:cs="Segoe UI"/>
          <w:color w:val="143156"/>
          <w:sz w:val="28"/>
          <w:szCs w:val="28"/>
        </w:rPr>
        <w:t>202</w:t>
      </w:r>
      <w:r>
        <w:rPr>
          <w:rStyle w:val="normaltextrun"/>
          <w:rFonts w:ascii="Palatino Linotype" w:hAnsi="Palatino Linotype" w:cs="Segoe UI"/>
          <w:color w:val="143156"/>
          <w:sz w:val="28"/>
          <w:szCs w:val="28"/>
        </w:rPr>
        <w:t>4</w:t>
      </w:r>
      <w:r w:rsidR="007F7E86">
        <w:rPr>
          <w:rStyle w:val="eop"/>
          <w:rFonts w:ascii="Palatino Linotype" w:hAnsi="Palatino Linotype" w:cs="Segoe UI"/>
          <w:color w:val="143156"/>
          <w:sz w:val="28"/>
          <w:szCs w:val="28"/>
        </w:rPr>
        <w:t> </w:t>
      </w:r>
    </w:p>
    <w:p w14:paraId="143AD949" w14:textId="77777777" w:rsidR="007F7E86" w:rsidRDefault="007F7E86" w:rsidP="0033158A">
      <w:pPr>
        <w:pStyle w:val="paragraph"/>
        <w:rPr>
          <w:rFonts w:ascii="Segoe UI" w:hAnsi="Segoe UI"/>
          <w:sz w:val="18"/>
          <w:szCs w:val="18"/>
        </w:rPr>
      </w:pPr>
      <w:r>
        <w:rPr>
          <w:rStyle w:val="normaltextrun"/>
          <w:rFonts w:ascii="Verdana" w:hAnsi="Verdana" w:cs="Segoe UI"/>
          <w:b/>
          <w:bCs/>
          <w:color w:val="CE2028"/>
          <w:sz w:val="22"/>
          <w:szCs w:val="22"/>
        </w:rPr>
        <w:t>About ACOSS</w:t>
      </w:r>
      <w:r>
        <w:rPr>
          <w:rStyle w:val="eop"/>
          <w:rFonts w:ascii="Verdana" w:hAnsi="Verdana" w:cs="Segoe UI"/>
          <w:b/>
          <w:bCs/>
          <w:color w:val="CE2028"/>
          <w:sz w:val="22"/>
          <w:szCs w:val="22"/>
        </w:rPr>
        <w:t> </w:t>
      </w:r>
    </w:p>
    <w:p w14:paraId="30AE8F07" w14:textId="6E4D9358" w:rsidR="007F7E86" w:rsidRDefault="007F7E86" w:rsidP="0033158A">
      <w:pPr>
        <w:rPr>
          <w:rStyle w:val="eop"/>
        </w:rPr>
      </w:pPr>
      <w:r w:rsidRPr="00945C90">
        <w:rPr>
          <w:rStyle w:val="normaltextrun"/>
        </w:rPr>
        <w:t xml:space="preserve">The Australian Council of Social Service (ACOSS) is a national voice in support of people affected by poverty, </w:t>
      </w:r>
      <w:proofErr w:type="gramStart"/>
      <w:r w:rsidRPr="00945C90">
        <w:rPr>
          <w:rStyle w:val="normaltextrun"/>
        </w:rPr>
        <w:t>disadvantage</w:t>
      </w:r>
      <w:proofErr w:type="gramEnd"/>
      <w:r w:rsidRPr="00945C90">
        <w:rPr>
          <w:rStyle w:val="normaltextrun"/>
        </w:rPr>
        <w:t xml:space="preserve"> and inequality, and is the peak body for the community services and civil society sector. ACOSS consists of a network of approximately 4000 organisations and individuals across Australia in metro, regional and remote areas. Our vision is an end to poverty in all its forms; economies that are fair, </w:t>
      </w:r>
      <w:proofErr w:type="gramStart"/>
      <w:r w:rsidRPr="00945C90">
        <w:rPr>
          <w:rStyle w:val="normaltextrun"/>
        </w:rPr>
        <w:t>sustainable</w:t>
      </w:r>
      <w:proofErr w:type="gramEnd"/>
      <w:r w:rsidRPr="00945C90">
        <w:rPr>
          <w:rStyle w:val="normaltextrun"/>
        </w:rPr>
        <w:t xml:space="preserve"> and resilient; and communities that are just, peaceful and inclusive. </w:t>
      </w:r>
      <w:r w:rsidRPr="00945C90">
        <w:rPr>
          <w:rStyle w:val="eop"/>
        </w:rPr>
        <w:t> </w:t>
      </w:r>
    </w:p>
    <w:p w14:paraId="328B0C3A" w14:textId="45172C94" w:rsidR="000C40F2" w:rsidRDefault="005A55A0" w:rsidP="0033158A">
      <w:r>
        <w:t xml:space="preserve">Climate change and an </w:t>
      </w:r>
      <w:r w:rsidR="00E71CD7">
        <w:t>inequ</w:t>
      </w:r>
      <w:r w:rsidR="41A6A756">
        <w:t>itable</w:t>
      </w:r>
      <w:r>
        <w:t xml:space="preserve"> and </w:t>
      </w:r>
      <w:r w:rsidR="00E71CD7">
        <w:t xml:space="preserve">non-inclusive transition to a </w:t>
      </w:r>
      <w:r w:rsidR="000C40F2">
        <w:t>clean</w:t>
      </w:r>
      <w:r w:rsidR="00E71CD7">
        <w:t xml:space="preserve"> economy and more resilient society is a threat</w:t>
      </w:r>
      <w:r w:rsidR="000C40F2">
        <w:t xml:space="preserve"> to our vision.</w:t>
      </w:r>
    </w:p>
    <w:p w14:paraId="33B1BA4A" w14:textId="08474E14" w:rsidR="007F7E86" w:rsidRPr="00ED2051" w:rsidRDefault="007F7E86" w:rsidP="0033158A">
      <w:r w:rsidRPr="00ED2051">
        <w:t xml:space="preserve">Climate change disproportionately impacts people who face disadvantage including people on low incomes, people with disability, people with chronic health issues and Aboriginal and Torres Strait Islander peoples. </w:t>
      </w:r>
    </w:p>
    <w:p w14:paraId="44446BF2" w14:textId="41707EA6" w:rsidR="007F7E86" w:rsidRPr="00ED2051" w:rsidRDefault="007F7E86" w:rsidP="0033158A">
      <w:r w:rsidRPr="00ED2051">
        <w:t>A rapid transition to net zero emissions, consistent with limiting global warming to 1.5 degrees C, is therefore critical to reducing the impact on people facing disadvantage. This will require Australia prioritising emission reductions this decade and aim for net zero emissions by 2035.</w:t>
      </w:r>
    </w:p>
    <w:p w14:paraId="4276144E" w14:textId="66B321A3" w:rsidR="00B35115" w:rsidRDefault="007F7E86" w:rsidP="0033158A">
      <w:pPr>
        <w:rPr>
          <w:sz w:val="22"/>
          <w:szCs w:val="22"/>
        </w:rPr>
      </w:pPr>
      <w:r w:rsidRPr="00ED2051">
        <w:t>However, to achieve benefits for everybody, the transition to net zero emissions must be fair and inclusive. Putting people with the least at the centre of policy design means we can rapidly reduce emissions, poverty, and inequality in Australia.</w:t>
      </w:r>
      <w:r w:rsidR="00B27A22">
        <w:rPr>
          <w:sz w:val="22"/>
          <w:szCs w:val="22"/>
        </w:rPr>
        <w:tab/>
      </w:r>
    </w:p>
    <w:p w14:paraId="6FC6DE31" w14:textId="020B9D37" w:rsidR="00447D3C" w:rsidRDefault="00447D3C" w:rsidP="00447D3C">
      <w:pPr>
        <w:pStyle w:val="Heading1"/>
      </w:pPr>
      <w:r>
        <w:t>Summary</w:t>
      </w:r>
    </w:p>
    <w:p w14:paraId="5986AEE1" w14:textId="77777777" w:rsidR="00D64AE1" w:rsidRDefault="00D64AE1" w:rsidP="00D64AE1">
      <w:pPr>
        <w:rPr>
          <w:rStyle w:val="eop"/>
        </w:rPr>
      </w:pPr>
      <w:r w:rsidRPr="006119DF">
        <w:rPr>
          <w:rStyle w:val="normaltextrun"/>
        </w:rPr>
        <w:t xml:space="preserve">ACOSS welcomes the opportunity to make a submission to the </w:t>
      </w:r>
      <w:r w:rsidRPr="3622F810">
        <w:rPr>
          <w:rStyle w:val="normaltextrun"/>
        </w:rPr>
        <w:t>Federal Government’s</w:t>
      </w:r>
      <w:r>
        <w:rPr>
          <w:rStyle w:val="normaltextrun"/>
        </w:rPr>
        <w:t xml:space="preserve"> consultation on Electricity and Energy Sector Plan Discussion Paper</w:t>
      </w:r>
      <w:r w:rsidRPr="006119DF">
        <w:rPr>
          <w:rStyle w:val="normaltextrun"/>
        </w:rPr>
        <w:t xml:space="preserve">. </w:t>
      </w:r>
      <w:r w:rsidRPr="006119DF">
        <w:rPr>
          <w:rStyle w:val="eop"/>
        </w:rPr>
        <w:t> </w:t>
      </w:r>
    </w:p>
    <w:p w14:paraId="4D6CDB25" w14:textId="77777777" w:rsidR="00DD62A5" w:rsidRDefault="00D64AE1" w:rsidP="00D64AE1">
      <w:pPr>
        <w:rPr>
          <w:shd w:val="clear" w:color="auto" w:fill="FFFFFF"/>
        </w:rPr>
      </w:pPr>
      <w:r w:rsidRPr="001002AB">
        <w:rPr>
          <w:shd w:val="clear" w:color="auto" w:fill="FFFFFF"/>
        </w:rPr>
        <w:t xml:space="preserve">The energy system is changing rapidly and profoundly as part of the inevitable </w:t>
      </w:r>
      <w:r>
        <w:rPr>
          <w:shd w:val="clear" w:color="auto" w:fill="FFFFFF"/>
        </w:rPr>
        <w:t xml:space="preserve">and necessary </w:t>
      </w:r>
      <w:r w:rsidRPr="001002AB">
        <w:rPr>
          <w:shd w:val="clear" w:color="auto" w:fill="FFFFFF"/>
        </w:rPr>
        <w:t xml:space="preserve">transition to cleaner energy. </w:t>
      </w:r>
      <w:r w:rsidR="00732151">
        <w:rPr>
          <w:shd w:val="clear" w:color="auto" w:fill="FFFFFF"/>
        </w:rPr>
        <w:t xml:space="preserve">Rapidly transitioning to clean energy is essential </w:t>
      </w:r>
      <w:r w:rsidR="00691AC3">
        <w:rPr>
          <w:shd w:val="clear" w:color="auto" w:fill="FFFFFF"/>
        </w:rPr>
        <w:t>to</w:t>
      </w:r>
      <w:r w:rsidR="00F97CAF">
        <w:rPr>
          <w:shd w:val="clear" w:color="auto" w:fill="FFFFFF"/>
        </w:rPr>
        <w:t xml:space="preserve"> tackle the climate crisis which impacts people </w:t>
      </w:r>
      <w:r w:rsidR="00E64F4A">
        <w:rPr>
          <w:shd w:val="clear" w:color="auto" w:fill="FFFFFF"/>
        </w:rPr>
        <w:t>experiencing</w:t>
      </w:r>
      <w:r w:rsidR="00F97CAF">
        <w:rPr>
          <w:shd w:val="clear" w:color="auto" w:fill="FFFFFF"/>
        </w:rPr>
        <w:t xml:space="preserve"> disadvantage first, worth and longest</w:t>
      </w:r>
      <w:r w:rsidR="00E64F4A">
        <w:rPr>
          <w:shd w:val="clear" w:color="auto" w:fill="FFFFFF"/>
        </w:rPr>
        <w:t xml:space="preserve">. </w:t>
      </w:r>
    </w:p>
    <w:p w14:paraId="70DA66C0" w14:textId="181B6FDE" w:rsidR="007E6976" w:rsidRDefault="00D64AE1" w:rsidP="00D64AE1">
      <w:pPr>
        <w:rPr>
          <w:rStyle w:val="normaltextrun"/>
          <w:rFonts w:cstheme="minorBidi"/>
          <w:color w:val="000000"/>
          <w:shd w:val="clear" w:color="auto" w:fill="FFFFFF"/>
        </w:rPr>
      </w:pPr>
      <w:r w:rsidRPr="003048EF">
        <w:rPr>
          <w:shd w:val="clear" w:color="auto" w:fill="FFFFFF"/>
        </w:rPr>
        <w:lastRenderedPageBreak/>
        <w:t>However,</w:t>
      </w:r>
      <w:r>
        <w:rPr>
          <w:b/>
          <w:bCs/>
          <w:shd w:val="clear" w:color="auto" w:fill="FFFFFF"/>
        </w:rPr>
        <w:t xml:space="preserve"> </w:t>
      </w:r>
      <w:r w:rsidRPr="1B4F636D">
        <w:rPr>
          <w:rStyle w:val="normaltextrun"/>
          <w:rFonts w:cstheme="minorBidi"/>
          <w:color w:val="000000"/>
          <w:shd w:val="clear" w:color="auto" w:fill="FFFFFF"/>
        </w:rPr>
        <w:t xml:space="preserve">energy transition policies continue to be poorly targeted and inequitable, largely benefiting people with wealth, </w:t>
      </w:r>
      <w:proofErr w:type="gramStart"/>
      <w:r w:rsidRPr="1B4F636D">
        <w:rPr>
          <w:rStyle w:val="normaltextrun"/>
          <w:rFonts w:cstheme="minorBidi"/>
          <w:color w:val="000000"/>
          <w:shd w:val="clear" w:color="auto" w:fill="FFFFFF"/>
        </w:rPr>
        <w:t>choice</w:t>
      </w:r>
      <w:proofErr w:type="gramEnd"/>
      <w:r w:rsidRPr="1B4F636D">
        <w:rPr>
          <w:rStyle w:val="normaltextrun"/>
          <w:rFonts w:cstheme="minorBidi"/>
          <w:color w:val="000000"/>
          <w:shd w:val="clear" w:color="auto" w:fill="FFFFFF"/>
        </w:rPr>
        <w:t xml:space="preserve"> and control. This leaves people experiencing disadvantage paying disproportionately more for </w:t>
      </w:r>
      <w:r w:rsidR="3262E6DC" w:rsidRPr="12A4CA7B">
        <w:rPr>
          <w:rStyle w:val="normaltextrun"/>
          <w:rFonts w:cstheme="minorBidi"/>
          <w:color w:val="000000"/>
          <w:shd w:val="clear" w:color="auto" w:fill="FFFFFF"/>
        </w:rPr>
        <w:t>the</w:t>
      </w:r>
      <w:r w:rsidR="3F87EEC5" w:rsidRPr="12A4CA7B">
        <w:rPr>
          <w:rStyle w:val="normaltextrun"/>
          <w:rFonts w:cstheme="minorBidi"/>
          <w:color w:val="000000"/>
          <w:shd w:val="clear" w:color="auto" w:fill="FFFFFF"/>
        </w:rPr>
        <w:t>ir</w:t>
      </w:r>
      <w:r w:rsidRPr="1B4F636D">
        <w:rPr>
          <w:rStyle w:val="normaltextrun"/>
          <w:rFonts w:cstheme="minorBidi"/>
          <w:color w:val="000000"/>
          <w:shd w:val="clear" w:color="auto" w:fill="FFFFFF"/>
        </w:rPr>
        <w:t xml:space="preserve"> energy bills and towards the cost of the transition to clean energy, while missing out on the benefits delivered through energy efficiency, electrification, rooftop solar, batteries, electric vehicles, or potential new jobs.</w:t>
      </w:r>
      <w:r w:rsidR="00DD62A5">
        <w:rPr>
          <w:rStyle w:val="normaltextrun"/>
          <w:rFonts w:cstheme="minorBidi"/>
          <w:color w:val="000000"/>
          <w:shd w:val="clear" w:color="auto" w:fill="FFFFFF"/>
        </w:rPr>
        <w:t xml:space="preserve"> </w:t>
      </w:r>
    </w:p>
    <w:p w14:paraId="7C413D73" w14:textId="2ADD2EB6" w:rsidR="007F40F5" w:rsidRPr="00DD62A5" w:rsidRDefault="007F40F5" w:rsidP="00D64AE1">
      <w:pPr>
        <w:rPr>
          <w:rStyle w:val="normaltextrun"/>
          <w:rFonts w:cstheme="minorBidi"/>
          <w:color w:val="000000"/>
          <w:shd w:val="clear" w:color="auto" w:fill="FFFFFF"/>
        </w:rPr>
      </w:pPr>
      <w:r w:rsidRPr="00B51D58">
        <w:rPr>
          <w:rStyle w:val="eop"/>
          <w:rFonts w:cs="Calibri"/>
          <w:color w:val="000000"/>
          <w:shd w:val="clear" w:color="auto" w:fill="FFFFFF"/>
        </w:rPr>
        <w:t xml:space="preserve">According to the Australian Energy </w:t>
      </w:r>
      <w:r w:rsidR="6DAE6307" w:rsidRPr="00B51D58">
        <w:rPr>
          <w:rStyle w:val="eop"/>
          <w:rFonts w:cs="Calibri"/>
          <w:color w:val="000000"/>
          <w:shd w:val="clear" w:color="auto" w:fill="FFFFFF"/>
        </w:rPr>
        <w:t>Regulator</w:t>
      </w:r>
      <w:r w:rsidR="7F3D5076" w:rsidRPr="00B51D58">
        <w:rPr>
          <w:rStyle w:val="eop"/>
          <w:rFonts w:cs="Calibri"/>
          <w:color w:val="000000"/>
          <w:shd w:val="clear" w:color="auto" w:fill="FFFFFF"/>
        </w:rPr>
        <w:t>'</w:t>
      </w:r>
      <w:r w:rsidR="6DAE6307">
        <w:rPr>
          <w:rStyle w:val="normaltextrun"/>
          <w:rFonts w:cs="Calibri"/>
          <w:color w:val="000000"/>
          <w:shd w:val="clear" w:color="auto" w:fill="FFFFFF"/>
          <w:lang w:val="en-GB"/>
        </w:rPr>
        <w:t>s</w:t>
      </w:r>
      <w:r>
        <w:rPr>
          <w:rStyle w:val="normaltextrun"/>
          <w:rFonts w:cs="Calibri"/>
          <w:color w:val="000000"/>
          <w:shd w:val="clear" w:color="auto" w:fill="FFFFFF"/>
          <w:lang w:val="en-GB"/>
        </w:rPr>
        <w:t xml:space="preserve"> </w:t>
      </w:r>
      <w:r w:rsidRPr="1B4F636D">
        <w:rPr>
          <w:rStyle w:val="normaltextrun"/>
          <w:rFonts w:cs="Calibri"/>
          <w:i/>
          <w:color w:val="000000"/>
          <w:shd w:val="clear" w:color="auto" w:fill="FFFFFF"/>
          <w:lang w:val="en-GB"/>
        </w:rPr>
        <w:t>State of the Energy Market</w:t>
      </w:r>
      <w:r>
        <w:rPr>
          <w:rStyle w:val="normaltextrun"/>
          <w:rFonts w:cs="Calibri"/>
          <w:color w:val="000000"/>
          <w:shd w:val="clear" w:color="auto" w:fill="FFFFFF"/>
          <w:lang w:val="en-GB"/>
        </w:rPr>
        <w:t xml:space="preserve"> </w:t>
      </w:r>
      <w:r w:rsidRPr="1B4F636D">
        <w:rPr>
          <w:rStyle w:val="normaltextrun"/>
          <w:rFonts w:cs="Calibri"/>
          <w:i/>
          <w:iCs/>
          <w:color w:val="000000"/>
          <w:shd w:val="clear" w:color="auto" w:fill="FFFFFF"/>
          <w:lang w:val="en-GB"/>
        </w:rPr>
        <w:t>Report</w:t>
      </w:r>
      <w:r w:rsidRPr="1B4F636D">
        <w:rPr>
          <w:rStyle w:val="normaltextrun"/>
          <w:rFonts w:cs="Calibri"/>
          <w:i/>
          <w:color w:val="000000"/>
          <w:shd w:val="clear" w:color="auto" w:fill="FFFFFF"/>
          <w:lang w:val="en-GB"/>
        </w:rPr>
        <w:t xml:space="preserve"> 2023</w:t>
      </w:r>
      <w:r>
        <w:rPr>
          <w:rStyle w:val="normaltextrun"/>
          <w:rFonts w:cs="Calibri"/>
          <w:color w:val="000000"/>
          <w:shd w:val="clear" w:color="auto" w:fill="FFFFFF"/>
          <w:lang w:val="en-GB"/>
        </w:rPr>
        <w:t>,</w:t>
      </w:r>
      <w:r w:rsidRPr="00B51D58">
        <w:rPr>
          <w:rStyle w:val="normaltextrun"/>
          <w:rFonts w:cs="Calibri"/>
          <w:color w:val="000000"/>
          <w:shd w:val="clear" w:color="auto" w:fill="FFFFFF"/>
          <w:lang w:val="en-GB"/>
        </w:rPr>
        <w:t xml:space="preserve"> energy equity, particularly affordability, remains a significant concern in energy markets.</w:t>
      </w:r>
      <w:r w:rsidRPr="00B51D58">
        <w:rPr>
          <w:rStyle w:val="FootnoteReference"/>
          <w:rFonts w:cs="Calibri"/>
          <w:color w:val="000000"/>
          <w:shd w:val="clear" w:color="auto" w:fill="FFFFFF"/>
          <w:lang w:val="en-GB"/>
        </w:rPr>
        <w:footnoteReference w:id="2"/>
      </w:r>
    </w:p>
    <w:p w14:paraId="675EAF78" w14:textId="130AA02C" w:rsidR="0088294C" w:rsidRDefault="0088294C" w:rsidP="00D64AE1">
      <w:pPr>
        <w:rPr>
          <w:shd w:val="clear" w:color="auto" w:fill="FFFFFF"/>
        </w:rPr>
      </w:pPr>
      <w:r>
        <w:rPr>
          <w:shd w:val="clear" w:color="auto" w:fill="FFFFFF"/>
        </w:rPr>
        <w:t xml:space="preserve">It is therefore critical that the Electricity and Energy Sector </w:t>
      </w:r>
      <w:r w:rsidR="0D3CD019">
        <w:rPr>
          <w:shd w:val="clear" w:color="auto" w:fill="FFFFFF"/>
        </w:rPr>
        <w:t xml:space="preserve">Plan is </w:t>
      </w:r>
      <w:r w:rsidR="13B537FD">
        <w:rPr>
          <w:shd w:val="clear" w:color="auto" w:fill="FFFFFF"/>
        </w:rPr>
        <w:t xml:space="preserve">focused </w:t>
      </w:r>
      <w:r w:rsidR="002108E1">
        <w:rPr>
          <w:shd w:val="clear" w:color="auto" w:fill="FFFFFF"/>
        </w:rPr>
        <w:t xml:space="preserve">on how we can </w:t>
      </w:r>
      <w:r w:rsidR="002108E1" w:rsidRPr="00FD4A03">
        <w:rPr>
          <w:b/>
          <w:bCs/>
          <w:shd w:val="clear" w:color="auto" w:fill="FFFFFF"/>
        </w:rPr>
        <w:t xml:space="preserve">reduce </w:t>
      </w:r>
      <w:r w:rsidR="00D70A41" w:rsidRPr="00FD4A03">
        <w:rPr>
          <w:b/>
          <w:bCs/>
          <w:shd w:val="clear" w:color="auto" w:fill="FFFFFF"/>
        </w:rPr>
        <w:t>emissions</w:t>
      </w:r>
      <w:r w:rsidR="002108E1" w:rsidRPr="00FD4A03">
        <w:rPr>
          <w:b/>
          <w:bCs/>
          <w:shd w:val="clear" w:color="auto" w:fill="FFFFFF"/>
        </w:rPr>
        <w:t xml:space="preserve"> this decade</w:t>
      </w:r>
      <w:r w:rsidR="002108E1">
        <w:rPr>
          <w:shd w:val="clear" w:color="auto" w:fill="FFFFFF"/>
        </w:rPr>
        <w:t xml:space="preserve"> and </w:t>
      </w:r>
      <w:r w:rsidR="002108E1" w:rsidRPr="00075A51">
        <w:rPr>
          <w:b/>
          <w:bCs/>
          <w:shd w:val="clear" w:color="auto" w:fill="FFFFFF"/>
        </w:rPr>
        <w:t xml:space="preserve">do it in a fair, </w:t>
      </w:r>
      <w:r w:rsidR="00D70A41" w:rsidRPr="00075A51">
        <w:rPr>
          <w:b/>
          <w:bCs/>
          <w:shd w:val="clear" w:color="auto" w:fill="FFFFFF"/>
        </w:rPr>
        <w:t>equitable</w:t>
      </w:r>
      <w:r w:rsidR="002108E1" w:rsidRPr="00075A51">
        <w:rPr>
          <w:b/>
          <w:bCs/>
          <w:shd w:val="clear" w:color="auto" w:fill="FFFFFF"/>
        </w:rPr>
        <w:t xml:space="preserve"> and inclusive way</w:t>
      </w:r>
      <w:r w:rsidR="00D70A41">
        <w:rPr>
          <w:shd w:val="clear" w:color="auto" w:fill="FFFFFF"/>
        </w:rPr>
        <w:t>.</w:t>
      </w:r>
    </w:p>
    <w:p w14:paraId="305F5E26" w14:textId="77777777" w:rsidR="005D18C0" w:rsidRDefault="00D64AE1" w:rsidP="005D18C0">
      <w:pPr>
        <w:rPr>
          <w:rStyle w:val="eop"/>
        </w:rPr>
      </w:pPr>
      <w:r>
        <w:rPr>
          <w:rStyle w:val="eop"/>
        </w:rPr>
        <w:t xml:space="preserve">ACOSS welcomes the inclusion of ‘equity’ and ‘affordability’ in the Electricity and Energy Sector Plan Vision and Objectives. </w:t>
      </w:r>
      <w:r w:rsidR="004318AF">
        <w:rPr>
          <w:rStyle w:val="eop"/>
        </w:rPr>
        <w:t>Our submission will focus on how the Energy Sector Plan can better achieve this.</w:t>
      </w:r>
      <w:r w:rsidR="00EF2D98">
        <w:rPr>
          <w:rStyle w:val="eop"/>
        </w:rPr>
        <w:t xml:space="preserve"> Key priorities include:</w:t>
      </w:r>
    </w:p>
    <w:p w14:paraId="7E8B1497" w14:textId="06E3360F" w:rsidR="00991E49" w:rsidRDefault="005D18C0" w:rsidP="00A96744">
      <w:pPr>
        <w:pStyle w:val="ListParagraph"/>
      </w:pPr>
      <w:r>
        <w:rPr>
          <w:rStyle w:val="eop"/>
        </w:rPr>
        <w:t xml:space="preserve">Aim for </w:t>
      </w:r>
      <w:r w:rsidR="00991E49" w:rsidRPr="005D18C0">
        <w:rPr>
          <w:b/>
          <w:bCs/>
        </w:rPr>
        <w:t>zero</w:t>
      </w:r>
      <w:r w:rsidR="00991E49">
        <w:t xml:space="preserve"> emissions before </w:t>
      </w:r>
      <w:proofErr w:type="gramStart"/>
      <w:r w:rsidR="00991E49">
        <w:t>2035</w:t>
      </w:r>
      <w:r w:rsidR="0087557A">
        <w:t>;</w:t>
      </w:r>
      <w:proofErr w:type="gramEnd"/>
    </w:p>
    <w:p w14:paraId="1953ED09" w14:textId="1B3D69B5" w:rsidR="004318AF" w:rsidRDefault="00FD4A03" w:rsidP="00A96744">
      <w:pPr>
        <w:pStyle w:val="ListParagraph"/>
      </w:pPr>
      <w:r>
        <w:t xml:space="preserve">Amend the National Energy Agreement and the National Energy Objectives (NEO) to include equity and </w:t>
      </w:r>
      <w:proofErr w:type="gramStart"/>
      <w:r>
        <w:t>affordability</w:t>
      </w:r>
      <w:r w:rsidR="0087557A">
        <w:t>;</w:t>
      </w:r>
      <w:proofErr w:type="gramEnd"/>
    </w:p>
    <w:p w14:paraId="1A0AEB49" w14:textId="7681343A" w:rsidR="00FD4A03" w:rsidRDefault="005D18C0" w:rsidP="00A96744">
      <w:pPr>
        <w:pStyle w:val="ListParagraph"/>
        <w:rPr>
          <w:rStyle w:val="eop"/>
        </w:rPr>
      </w:pPr>
      <w:r>
        <w:t>E</w:t>
      </w:r>
      <w:r w:rsidR="00D7042E">
        <w:t xml:space="preserve">levate energy efficiency and demand management embracing the ‘efficiency first’ </w:t>
      </w:r>
      <w:proofErr w:type="gramStart"/>
      <w:r w:rsidR="00D7042E">
        <w:t>principle</w:t>
      </w:r>
      <w:r w:rsidR="0087557A">
        <w:t>;</w:t>
      </w:r>
      <w:proofErr w:type="gramEnd"/>
    </w:p>
    <w:p w14:paraId="4DFC315F" w14:textId="06120FCC" w:rsidR="00A96744" w:rsidRDefault="004C22D4" w:rsidP="00A96744">
      <w:pPr>
        <w:pStyle w:val="ListParagraph"/>
        <w:rPr>
          <w:rStyle w:val="eop"/>
        </w:rPr>
      </w:pPr>
      <w:r>
        <w:rPr>
          <w:rStyle w:val="eop"/>
        </w:rPr>
        <w:t xml:space="preserve">Phase out gas </w:t>
      </w:r>
      <w:r w:rsidR="00740515">
        <w:rPr>
          <w:rStyle w:val="eop"/>
        </w:rPr>
        <w:t>quickly and orderly</w:t>
      </w:r>
      <w:r w:rsidR="006D5051">
        <w:rPr>
          <w:rStyle w:val="eop"/>
        </w:rPr>
        <w:t xml:space="preserve"> </w:t>
      </w:r>
      <w:r>
        <w:rPr>
          <w:rStyle w:val="eop"/>
        </w:rPr>
        <w:t>and electrify</w:t>
      </w:r>
      <w:r w:rsidR="00BC1C41">
        <w:rPr>
          <w:rStyle w:val="eop"/>
        </w:rPr>
        <w:t xml:space="preserve"> homes</w:t>
      </w:r>
      <w:r w:rsidR="00121727">
        <w:rPr>
          <w:rStyle w:val="eop"/>
        </w:rPr>
        <w:t>, with supports for people experiencing disadvantage</w:t>
      </w:r>
      <w:r w:rsidR="0087557A">
        <w:rPr>
          <w:rStyle w:val="eop"/>
        </w:rPr>
        <w:t>;</w:t>
      </w:r>
      <w:r w:rsidR="00A96744">
        <w:rPr>
          <w:rStyle w:val="eop"/>
        </w:rPr>
        <w:t xml:space="preserve"> </w:t>
      </w:r>
    </w:p>
    <w:p w14:paraId="4F33E3C1" w14:textId="0B5FC82A" w:rsidR="00A96744" w:rsidRDefault="00A96744" w:rsidP="00A96744">
      <w:pPr>
        <w:pStyle w:val="ListParagraph"/>
      </w:pPr>
      <w:r>
        <w:t xml:space="preserve">Accelerate home energy upgrades (thermal efficiency, electrification, solar, prioritising low-income and First Nations </w:t>
      </w:r>
      <w:proofErr w:type="gramStart"/>
      <w:r>
        <w:t>Housing</w:t>
      </w:r>
      <w:r w:rsidR="0087557A">
        <w:t>;</w:t>
      </w:r>
      <w:proofErr w:type="gramEnd"/>
      <w:r>
        <w:t xml:space="preserve"> </w:t>
      </w:r>
    </w:p>
    <w:p w14:paraId="39350155" w14:textId="748EAB9A" w:rsidR="00E7140F" w:rsidRDefault="00A96744" w:rsidP="00E7140F">
      <w:pPr>
        <w:pStyle w:val="ListParagraph"/>
      </w:pPr>
      <w:r>
        <w:t xml:space="preserve">Establish an energy equity workstream in the Energy Ministers Energy Transformation </w:t>
      </w:r>
      <w:proofErr w:type="gramStart"/>
      <w:r>
        <w:t>partnership</w:t>
      </w:r>
      <w:r w:rsidR="0087557A">
        <w:t>;</w:t>
      </w:r>
      <w:proofErr w:type="gramEnd"/>
    </w:p>
    <w:p w14:paraId="510262F9" w14:textId="77777777" w:rsidR="004310E0" w:rsidRDefault="00E7140F" w:rsidP="004310E0">
      <w:pPr>
        <w:pStyle w:val="ListParagraph"/>
      </w:pPr>
      <w:r>
        <w:t>Shift green schemes off electricity bills and on to government budgets</w:t>
      </w:r>
      <w:r w:rsidR="004310E0">
        <w:t>.</w:t>
      </w:r>
    </w:p>
    <w:p w14:paraId="7E3F98C5" w14:textId="720FFD9E" w:rsidR="00857450" w:rsidRDefault="00870F40" w:rsidP="005635E4">
      <w:pPr>
        <w:pStyle w:val="ListParagraph"/>
      </w:pPr>
      <w:r>
        <w:t xml:space="preserve">Introduce conditions including employment and community </w:t>
      </w:r>
      <w:r w:rsidR="00826441">
        <w:t xml:space="preserve">benefit sharing to </w:t>
      </w:r>
      <w:r w:rsidR="0087557A">
        <w:t>investments; and</w:t>
      </w:r>
    </w:p>
    <w:p w14:paraId="6DAF5245" w14:textId="1C5A84C3" w:rsidR="004310E0" w:rsidRPr="004310E0" w:rsidRDefault="004310E0" w:rsidP="005635E4">
      <w:pPr>
        <w:pStyle w:val="ListParagraph"/>
      </w:pPr>
      <w:r>
        <w:t>The Government fund and deploy an implementation plan that outlines a clear pathway to bridge the gap between the number of clean economy workers we have now, and what we need to realise our emissions reduction goals</w:t>
      </w:r>
      <w:r w:rsidR="4FFBEECD">
        <w:t>. This should include</w:t>
      </w:r>
      <w:r>
        <w:t xml:space="preserve"> </w:t>
      </w:r>
      <w:r w:rsidR="005635E4">
        <w:t xml:space="preserve">a focus on training and employment </w:t>
      </w:r>
      <w:r w:rsidRPr="00D70873">
        <w:t>for people unemployed long-term, First Nations people, people with disability, and others marginalised in the labour market, including through social procurement guidelines and employment and training programs targeting those groups</w:t>
      </w:r>
    </w:p>
    <w:p w14:paraId="7E71A55B" w14:textId="0E8CEBFE" w:rsidR="00447D3C" w:rsidRPr="00447D3C" w:rsidRDefault="00C772CA" w:rsidP="00447D3C">
      <w:pPr>
        <w:pStyle w:val="Summary"/>
        <w:rPr>
          <w:rStyle w:val="Hyperlink"/>
          <w:color w:val="C00000"/>
          <w:u w:val="none"/>
        </w:rPr>
      </w:pPr>
      <w:r>
        <w:rPr>
          <w:rStyle w:val="Hyperlink"/>
          <w:color w:val="C00000"/>
          <w:u w:val="none"/>
        </w:rPr>
        <w:t>R</w:t>
      </w:r>
      <w:r w:rsidR="00447D3C" w:rsidRPr="00447D3C">
        <w:rPr>
          <w:rStyle w:val="Hyperlink"/>
          <w:color w:val="C00000"/>
          <w:u w:val="none"/>
        </w:rPr>
        <w:t>ecommendations</w:t>
      </w:r>
    </w:p>
    <w:p w14:paraId="68E18B44" w14:textId="77777777" w:rsidR="00447D3C" w:rsidRDefault="00447D3C" w:rsidP="00447D3C">
      <w:r>
        <w:rPr>
          <w:b/>
          <w:color w:val="CC0000"/>
        </w:rPr>
        <w:t>Recommendation 1:</w:t>
      </w:r>
      <w:r>
        <w:t xml:space="preserve"> In order for Australia to do our fair share to limit global warming to 1.5 degrees the Electricity and Energy Sector plan should be aiming to reduce emissions further and faster than other sectors and this decade; and achieve </w:t>
      </w:r>
      <w:r w:rsidRPr="00840744">
        <w:rPr>
          <w:b/>
          <w:bCs/>
        </w:rPr>
        <w:t>zero</w:t>
      </w:r>
      <w:r>
        <w:t xml:space="preserve"> emissions before 2035.</w:t>
      </w:r>
      <w:r>
        <w:tab/>
      </w:r>
    </w:p>
    <w:p w14:paraId="2FA8AF9B" w14:textId="77777777" w:rsidR="00447D3C" w:rsidRDefault="00447D3C" w:rsidP="00447D3C">
      <w:r>
        <w:rPr>
          <w:b/>
          <w:color w:val="CC0000"/>
        </w:rPr>
        <w:lastRenderedPageBreak/>
        <w:t>Recommendation 2:</w:t>
      </w:r>
      <w:r>
        <w:t xml:space="preserve"> Amend the National Energy Agreement and the National Energy Objectives (NEO) to include equity and affordability.</w:t>
      </w:r>
    </w:p>
    <w:p w14:paraId="7565A978" w14:textId="77777777" w:rsidR="00447D3C" w:rsidRDefault="00447D3C" w:rsidP="00447D3C">
      <w:r>
        <w:rPr>
          <w:b/>
          <w:color w:val="CC0000"/>
        </w:rPr>
        <w:t>Recommendation 3:</w:t>
      </w:r>
      <w:r>
        <w:t xml:space="preserve"> The Federal Government amend the Climate Change Act 2022 to insert fairness, equity and inclusion objectives, </w:t>
      </w:r>
      <w:proofErr w:type="gramStart"/>
      <w:r>
        <w:t>principles</w:t>
      </w:r>
      <w:proofErr w:type="gramEnd"/>
      <w:r>
        <w:t xml:space="preserve"> and processes, to guide policies, programs and process to ensure benefits are fairly shared, people’s lives are better and that no-one is left behind in the transformation.</w:t>
      </w:r>
    </w:p>
    <w:p w14:paraId="58234A77" w14:textId="77777777" w:rsidR="00447D3C" w:rsidRDefault="00447D3C" w:rsidP="00447D3C">
      <w:r>
        <w:rPr>
          <w:b/>
          <w:color w:val="CC0000"/>
        </w:rPr>
        <w:t>Recommendation 4:</w:t>
      </w:r>
      <w:r>
        <w:t xml:space="preserve"> The Energy and Electricity sector plan should elevate energy efficiency and demand management to make them an equal partner to new infrastructure in the transition, embracing the ‘efficiency first’ principle.</w:t>
      </w:r>
    </w:p>
    <w:p w14:paraId="5CECAA65" w14:textId="77777777" w:rsidR="00447D3C" w:rsidRPr="00DE0CDF" w:rsidRDefault="00447D3C" w:rsidP="00447D3C">
      <w:pPr>
        <w:pStyle w:val="List3"/>
        <w:ind w:left="0" w:firstLine="0"/>
      </w:pPr>
      <w:r>
        <w:rPr>
          <w:b/>
          <w:color w:val="CC0000"/>
        </w:rPr>
        <w:t xml:space="preserve">Recommendation 5: </w:t>
      </w:r>
      <w:r w:rsidRPr="00DE0CDF">
        <w:t>The Government should establish principles to guide investment decision, including:</w:t>
      </w:r>
    </w:p>
    <w:p w14:paraId="7E51C57F" w14:textId="77777777" w:rsidR="00447D3C" w:rsidRDefault="00447D3C" w:rsidP="00447D3C">
      <w:pPr>
        <w:pStyle w:val="List3"/>
        <w:numPr>
          <w:ilvl w:val="0"/>
          <w:numId w:val="9"/>
        </w:numPr>
        <w:ind w:left="360"/>
      </w:pPr>
      <w:r>
        <w:t>Public investment should prioritise measures that will support people experiencing financial and social disadvantage.</w:t>
      </w:r>
    </w:p>
    <w:p w14:paraId="22128D0E" w14:textId="77777777" w:rsidR="00447D3C" w:rsidRDefault="00447D3C" w:rsidP="00447D3C">
      <w:pPr>
        <w:pStyle w:val="List3"/>
        <w:numPr>
          <w:ilvl w:val="0"/>
          <w:numId w:val="10"/>
        </w:numPr>
        <w:ind w:left="360"/>
      </w:pPr>
      <w:r>
        <w:t xml:space="preserve">Where public investment supports industry investment, conditions should be put on those investments </w:t>
      </w:r>
      <w:r w:rsidRPr="00DB0D5D">
        <w:t>to deliver long term benefit to communities, workers and industries</w:t>
      </w:r>
      <w:r w:rsidRPr="00F8589A">
        <w:rPr>
          <w:b/>
          <w:bCs/>
        </w:rPr>
        <w:t xml:space="preserve"> </w:t>
      </w:r>
      <w:r w:rsidRPr="00F8589A">
        <w:t>and foster community support that is critical for a successful transition</w:t>
      </w:r>
      <w:r>
        <w:t>.</w:t>
      </w:r>
    </w:p>
    <w:p w14:paraId="3CBA0590" w14:textId="77777777" w:rsidR="00447D3C" w:rsidRDefault="00447D3C" w:rsidP="00447D3C">
      <w:pPr>
        <w:pStyle w:val="List3"/>
        <w:numPr>
          <w:ilvl w:val="0"/>
          <w:numId w:val="10"/>
        </w:numPr>
        <w:ind w:left="360"/>
      </w:pPr>
      <w:r>
        <w:t>Recouping investments from electricity bills be avoided.</w:t>
      </w:r>
    </w:p>
    <w:p w14:paraId="477436FC" w14:textId="77777777" w:rsidR="00447D3C" w:rsidRDefault="00447D3C" w:rsidP="00447D3C">
      <w:pPr>
        <w:pStyle w:val="List3"/>
        <w:numPr>
          <w:ilvl w:val="0"/>
          <w:numId w:val="10"/>
        </w:numPr>
        <w:ind w:left="360"/>
      </w:pPr>
      <w:r>
        <w:t>Government must support and resource First Nations’ decision making, self-determination and free prior informed consent to e</w:t>
      </w:r>
      <w:r w:rsidRPr="00245667">
        <w:t xml:space="preserve">nable First Nations people and organisations to </w:t>
      </w:r>
      <w:r>
        <w:t xml:space="preserve">have a say in, </w:t>
      </w:r>
      <w:r w:rsidRPr="006362E8">
        <w:t>participate</w:t>
      </w:r>
      <w:r w:rsidRPr="00245667">
        <w:t xml:space="preserve"> in</w:t>
      </w:r>
      <w:r>
        <w:t xml:space="preserve"> and benefit from</w:t>
      </w:r>
      <w:r w:rsidRPr="00245667">
        <w:t xml:space="preserve"> clean energy projects where they hold land interests</w:t>
      </w:r>
      <w:r>
        <w:t>.</w:t>
      </w:r>
    </w:p>
    <w:p w14:paraId="506E3AF0" w14:textId="41836058" w:rsidR="00447D3C" w:rsidRDefault="00447D3C" w:rsidP="00447D3C">
      <w:r w:rsidRPr="005D20E5">
        <w:rPr>
          <w:b/>
          <w:bCs/>
          <w:color w:val="CE2028"/>
        </w:rPr>
        <w:t>Recommendation 6:</w:t>
      </w:r>
      <w:r w:rsidRPr="005D20E5">
        <w:t xml:space="preserve"> </w:t>
      </w:r>
      <w:r w:rsidR="002249DA" w:rsidRPr="005D20E5">
        <w:t xml:space="preserve">The Federal Government should either </w:t>
      </w:r>
      <w:r w:rsidRPr="005D20E5">
        <w:t>re-introduce an economy-wide cap and trade scheme or expand the existing safeguard mechanisms to include more facilities and increase the carbon price. Depending on how the scheme or mechanism is implemented, compensation for people on low incomes for transitional costs arising from the carbon price and/or supports for household to access measures to reduce energy costs, would need to be considered.</w:t>
      </w:r>
    </w:p>
    <w:p w14:paraId="2FD7D76A" w14:textId="77777777" w:rsidR="00447D3C" w:rsidRPr="00683106" w:rsidRDefault="00447D3C" w:rsidP="00447D3C">
      <w:r w:rsidRPr="00741773">
        <w:rPr>
          <w:b/>
          <w:bCs/>
          <w:color w:val="CE2028"/>
        </w:rPr>
        <w:t xml:space="preserve">Recommendation 7: </w:t>
      </w:r>
      <w:r w:rsidRPr="1B4F636D">
        <w:rPr>
          <w:b/>
          <w:bCs/>
          <w:color w:val="CE2028"/>
        </w:rPr>
        <w:t>T</w:t>
      </w:r>
      <w:r>
        <w:t>he</w:t>
      </w:r>
      <w:r w:rsidRPr="00683106">
        <w:t xml:space="preserve"> Federal Government rapidly phase out all fossil fuel subsidies, </w:t>
      </w:r>
      <w:proofErr w:type="gramStart"/>
      <w:r w:rsidRPr="00683106">
        <w:t>rebates</w:t>
      </w:r>
      <w:proofErr w:type="gramEnd"/>
      <w:r w:rsidRPr="00683106">
        <w:t xml:space="preserve"> and tax credits, and repurpose revenue to help industries and people experiencing financial and social disadvantage transition to renewable energy sources and more efficient operations.</w:t>
      </w:r>
    </w:p>
    <w:p w14:paraId="066FC944" w14:textId="77777777" w:rsidR="00447D3C" w:rsidRPr="001401B4" w:rsidRDefault="00447D3C" w:rsidP="00447D3C">
      <w:r w:rsidRPr="00741773">
        <w:rPr>
          <w:b/>
          <w:bCs/>
          <w:color w:val="CE2028"/>
        </w:rPr>
        <w:t xml:space="preserve">Recommendation 8: </w:t>
      </w:r>
      <w:r w:rsidRPr="001401B4">
        <w:t>Introduce a 10% commonwealth royalty on offshore gas resources.</w:t>
      </w:r>
    </w:p>
    <w:p w14:paraId="0988DB52" w14:textId="77777777" w:rsidR="00447D3C" w:rsidRPr="00730925" w:rsidRDefault="00447D3C" w:rsidP="00447D3C">
      <w:r w:rsidRPr="00730925">
        <w:rPr>
          <w:b/>
          <w:color w:val="CC0000"/>
        </w:rPr>
        <w:t xml:space="preserve">Recommendation </w:t>
      </w:r>
      <w:r>
        <w:rPr>
          <w:b/>
          <w:color w:val="CC0000"/>
        </w:rPr>
        <w:t>9</w:t>
      </w:r>
      <w:r w:rsidRPr="00730925">
        <w:rPr>
          <w:b/>
          <w:color w:val="CC0000"/>
        </w:rPr>
        <w:t>:</w:t>
      </w:r>
      <w:r w:rsidRPr="00730925">
        <w:rPr>
          <w:b/>
        </w:rPr>
        <w:t xml:space="preserve"> </w:t>
      </w:r>
      <w:r w:rsidRPr="00730925">
        <w:t>Put in place a strategy, with timelines, to phase out gas and support electrification</w:t>
      </w:r>
      <w:r>
        <w:t>, along with thermal efficiency and solar upgrades</w:t>
      </w:r>
      <w:r w:rsidRPr="00730925">
        <w:t xml:space="preserve"> in existing homes with targeted support for people on low-incomes and policies for rental properties, to ensure a fair and inclusive transition.</w:t>
      </w:r>
    </w:p>
    <w:p w14:paraId="6252934E" w14:textId="77777777" w:rsidR="00447D3C" w:rsidRPr="00730925" w:rsidRDefault="00447D3C" w:rsidP="00447D3C">
      <w:r w:rsidRPr="00730925">
        <w:rPr>
          <w:b/>
          <w:color w:val="CC0000"/>
        </w:rPr>
        <w:t xml:space="preserve">Recommendation </w:t>
      </w:r>
      <w:r>
        <w:rPr>
          <w:b/>
          <w:color w:val="CC0000"/>
        </w:rPr>
        <w:t>10</w:t>
      </w:r>
      <w:r w:rsidRPr="00730925">
        <w:rPr>
          <w:b/>
          <w:color w:val="CC0000"/>
        </w:rPr>
        <w:t>:</w:t>
      </w:r>
      <w:r w:rsidRPr="00730925">
        <w:t xml:space="preserve"> All jurisdictions implement the new 7-star NatHERS rating and energy budget in all jurisdictions by the end of 2023.</w:t>
      </w:r>
    </w:p>
    <w:p w14:paraId="14EA1239" w14:textId="77777777" w:rsidR="00447D3C" w:rsidRPr="00730925" w:rsidRDefault="00447D3C" w:rsidP="00447D3C">
      <w:pPr>
        <w:rPr>
          <w:b/>
        </w:rPr>
      </w:pPr>
      <w:r w:rsidRPr="00730925">
        <w:rPr>
          <w:b/>
          <w:color w:val="CC0000"/>
        </w:rPr>
        <w:t xml:space="preserve">Recommendation </w:t>
      </w:r>
      <w:r>
        <w:rPr>
          <w:b/>
          <w:color w:val="CC0000"/>
        </w:rPr>
        <w:t>11</w:t>
      </w:r>
      <w:r w:rsidRPr="00730925">
        <w:rPr>
          <w:b/>
        </w:rPr>
        <w:t xml:space="preserve">: </w:t>
      </w:r>
      <w:r w:rsidRPr="00730925">
        <w:t>Federal Government support new social housing development to meet at least 7.5 plus star rating, with all properties electric and renewable-powered, including through providing access to additional funding if needed</w:t>
      </w:r>
      <w:r w:rsidRPr="00730925">
        <w:rPr>
          <w:b/>
        </w:rPr>
        <w:t>.</w:t>
      </w:r>
    </w:p>
    <w:p w14:paraId="72C9C3FC" w14:textId="77777777" w:rsidR="00447D3C" w:rsidRPr="00730925" w:rsidRDefault="00447D3C" w:rsidP="00447D3C">
      <w:r w:rsidRPr="00730925">
        <w:rPr>
          <w:b/>
          <w:color w:val="CC0000"/>
        </w:rPr>
        <w:lastRenderedPageBreak/>
        <w:t xml:space="preserve">Recommendation </w:t>
      </w:r>
      <w:r>
        <w:rPr>
          <w:b/>
          <w:color w:val="CC0000"/>
        </w:rPr>
        <w:t>12</w:t>
      </w:r>
      <w:r w:rsidRPr="00730925">
        <w:rPr>
          <w:b/>
          <w:color w:val="CC0000"/>
        </w:rPr>
        <w:t>:</w:t>
      </w:r>
      <w:r w:rsidRPr="00730925">
        <w:t xml:space="preserve"> The next update to new build standards should aim to achieve zero carbon homes (best practice thermal efficiency, all-electric, powered by renewable). </w:t>
      </w:r>
    </w:p>
    <w:p w14:paraId="41708BFD" w14:textId="77777777" w:rsidR="00447D3C" w:rsidRPr="00296674" w:rsidRDefault="00447D3C" w:rsidP="00447D3C">
      <w:r w:rsidRPr="00730925">
        <w:rPr>
          <w:b/>
          <w:color w:val="CC0000"/>
        </w:rPr>
        <w:t xml:space="preserve">Recommendations </w:t>
      </w:r>
      <w:r>
        <w:rPr>
          <w:b/>
          <w:color w:val="CC0000"/>
        </w:rPr>
        <w:t>13</w:t>
      </w:r>
      <w:r w:rsidRPr="00730925">
        <w:rPr>
          <w:b/>
          <w:color w:val="CC0000"/>
        </w:rPr>
        <w:t>:</w:t>
      </w:r>
      <w:r w:rsidRPr="00730925">
        <w:rPr>
          <w:b/>
        </w:rPr>
        <w:t xml:space="preserve"> </w:t>
      </w:r>
      <w:r w:rsidRPr="00730925">
        <w:t xml:space="preserve">The Federal </w:t>
      </w:r>
      <w:r>
        <w:t>Government</w:t>
      </w:r>
      <w:r w:rsidRPr="00730925">
        <w:t xml:space="preserve"> works with state and territory jurisdictions to end gas connections to new builds.</w:t>
      </w:r>
    </w:p>
    <w:p w14:paraId="15B7430D" w14:textId="77777777" w:rsidR="00447D3C" w:rsidRDefault="00447D3C" w:rsidP="00447D3C">
      <w:pPr>
        <w:rPr>
          <w:rStyle w:val="normaltextrun"/>
        </w:rPr>
      </w:pPr>
      <w:r w:rsidRPr="00296674">
        <w:rPr>
          <w:rStyle w:val="normaltextrun"/>
          <w:b/>
          <w:bCs/>
          <w:color w:val="C00000"/>
        </w:rPr>
        <w:t xml:space="preserve">Recommendation </w:t>
      </w:r>
      <w:r>
        <w:rPr>
          <w:rStyle w:val="normaltextrun"/>
          <w:b/>
          <w:bCs/>
          <w:color w:val="C00000"/>
        </w:rPr>
        <w:t>14</w:t>
      </w:r>
      <w:r w:rsidRPr="00296674">
        <w:rPr>
          <w:rStyle w:val="normaltextrun"/>
          <w:b/>
          <w:bCs/>
          <w:color w:val="C00000"/>
        </w:rPr>
        <w:t>:</w:t>
      </w:r>
      <w:r w:rsidRPr="00296674">
        <w:rPr>
          <w:rStyle w:val="normaltextrun"/>
          <w:color w:val="C00000"/>
        </w:rPr>
        <w:t xml:space="preserve"> </w:t>
      </w:r>
      <w:r w:rsidRPr="00296674">
        <w:rPr>
          <w:rStyle w:val="normaltextrun"/>
        </w:rPr>
        <w:t>Investigate a phase out of the sale of gas appliances. Complementary measures will be needed to support people on low incomes to electrify.  </w:t>
      </w:r>
    </w:p>
    <w:p w14:paraId="329410E8" w14:textId="77777777" w:rsidR="00447D3C" w:rsidRDefault="00447D3C" w:rsidP="00447D3C">
      <w:pPr>
        <w:rPr>
          <w:shd w:val="clear" w:color="auto" w:fill="FFFFFF"/>
        </w:rPr>
      </w:pPr>
      <w:r w:rsidRPr="00730925">
        <w:rPr>
          <w:b/>
          <w:color w:val="CC0000"/>
        </w:rPr>
        <w:t>Recommendation 1</w:t>
      </w:r>
      <w:r>
        <w:rPr>
          <w:b/>
          <w:color w:val="CC0000"/>
        </w:rPr>
        <w:t>5</w:t>
      </w:r>
      <w:r w:rsidRPr="00730925">
        <w:rPr>
          <w:b/>
          <w:color w:val="CC0000"/>
        </w:rPr>
        <w:t xml:space="preserve"> </w:t>
      </w:r>
      <w:r w:rsidRPr="00730925">
        <w:rPr>
          <w:shd w:val="clear" w:color="auto" w:fill="FFFFFF"/>
        </w:rPr>
        <w:t>Eliminate inefficient appliances sold in Australia by tightening requirements and expanding eligible appliances via the Greenhouse and Energy Minimum Standards (GEMS). </w:t>
      </w:r>
    </w:p>
    <w:p w14:paraId="75595D2F" w14:textId="77777777" w:rsidR="00447D3C" w:rsidRDefault="00447D3C" w:rsidP="00447D3C">
      <w:pPr>
        <w:rPr>
          <w:shd w:val="clear" w:color="auto" w:fill="FFFFFF"/>
        </w:rPr>
      </w:pPr>
      <w:r w:rsidRPr="007D3B04">
        <w:rPr>
          <w:b/>
          <w:bCs/>
          <w:color w:val="C00000"/>
        </w:rPr>
        <w:t xml:space="preserve">Recommendation </w:t>
      </w:r>
      <w:r>
        <w:rPr>
          <w:b/>
          <w:bCs/>
          <w:color w:val="C00000"/>
        </w:rPr>
        <w:t>1</w:t>
      </w:r>
      <w:r w:rsidRPr="007D3B04">
        <w:rPr>
          <w:b/>
          <w:bCs/>
          <w:color w:val="C00000"/>
        </w:rPr>
        <w:t>6:</w:t>
      </w:r>
      <w:r w:rsidRPr="007D3B04">
        <w:rPr>
          <w:color w:val="C00000"/>
        </w:rPr>
        <w:t xml:space="preserve"> </w:t>
      </w:r>
      <w:r w:rsidRPr="007D3B04">
        <w:t>Remove high costs and disincentives to disconnect from gas networks</w:t>
      </w:r>
      <w:r>
        <w:t>.</w:t>
      </w:r>
    </w:p>
    <w:p w14:paraId="0058CA2A" w14:textId="77777777" w:rsidR="00447D3C" w:rsidRPr="00B91AED" w:rsidRDefault="00447D3C" w:rsidP="00447D3C">
      <w:pPr>
        <w:pStyle w:val="NoSpacing"/>
        <w:rPr>
          <w:rStyle w:val="eop"/>
          <w:sz w:val="21"/>
          <w:szCs w:val="21"/>
        </w:rPr>
      </w:pPr>
      <w:r w:rsidRPr="00B4399F">
        <w:rPr>
          <w:rStyle w:val="eop"/>
          <w:b/>
          <w:color w:val="C00000"/>
          <w:sz w:val="21"/>
          <w:szCs w:val="21"/>
          <w:shd w:val="clear" w:color="auto" w:fill="FFFFFF"/>
        </w:rPr>
        <w:t>Recommendation 17:</w:t>
      </w:r>
      <w:r w:rsidRPr="007D3B04">
        <w:rPr>
          <w:rStyle w:val="eop"/>
          <w:color w:val="C00000"/>
          <w:shd w:val="clear" w:color="auto" w:fill="FFFFFF"/>
        </w:rPr>
        <w:t xml:space="preserve"> </w:t>
      </w:r>
      <w:r w:rsidRPr="00B91AED">
        <w:rPr>
          <w:rStyle w:val="eop"/>
          <w:sz w:val="21"/>
          <w:szCs w:val="21"/>
          <w:shd w:val="clear" w:color="auto" w:fill="FFFFFF"/>
        </w:rPr>
        <w:t>Put in place targeted policies to help people on low-incomes and renters electrify (in addition to energy efficiency improvements and access to solar), including:</w:t>
      </w:r>
    </w:p>
    <w:p w14:paraId="69506AEC" w14:textId="77777777" w:rsidR="00447D3C" w:rsidRPr="007D3B04" w:rsidRDefault="00447D3C" w:rsidP="00447D3C">
      <w:pPr>
        <w:pStyle w:val="NoSpacing"/>
        <w:numPr>
          <w:ilvl w:val="0"/>
          <w:numId w:val="18"/>
        </w:numPr>
        <w:pBdr>
          <w:top w:val="nil"/>
          <w:left w:val="nil"/>
          <w:bottom w:val="nil"/>
          <w:right w:val="nil"/>
          <w:between w:val="nil"/>
          <w:bar w:val="nil"/>
        </w:pBdr>
        <w:spacing w:before="120" w:after="120" w:line="259" w:lineRule="auto"/>
        <w:rPr>
          <w:sz w:val="21"/>
          <w:szCs w:val="21"/>
        </w:rPr>
      </w:pPr>
      <w:r w:rsidRPr="4F5FD904">
        <w:rPr>
          <w:sz w:val="21"/>
          <w:szCs w:val="21"/>
        </w:rPr>
        <w:t xml:space="preserve">Federal Government support for </w:t>
      </w:r>
      <w:r w:rsidRPr="4F5FD904">
        <w:rPr>
          <w:b/>
          <w:bCs/>
          <w:sz w:val="21"/>
          <w:szCs w:val="21"/>
        </w:rPr>
        <w:t>new</w:t>
      </w:r>
      <w:r w:rsidRPr="4F5FD904">
        <w:rPr>
          <w:sz w:val="21"/>
          <w:szCs w:val="21"/>
        </w:rPr>
        <w:t xml:space="preserve"> social housing development to meet at least 7.5 plus star rating, with all properties electric and renewable-powered, including through providing access to additional funding if needed</w:t>
      </w:r>
      <w:r w:rsidRPr="4F5FD904">
        <w:rPr>
          <w:b/>
          <w:bCs/>
          <w:sz w:val="21"/>
          <w:szCs w:val="21"/>
        </w:rPr>
        <w:t>.</w:t>
      </w:r>
    </w:p>
    <w:p w14:paraId="4D22CC62" w14:textId="77777777" w:rsidR="00447D3C" w:rsidRPr="007D3B04" w:rsidRDefault="00447D3C" w:rsidP="00447D3C">
      <w:pPr>
        <w:pStyle w:val="NoSpacing"/>
        <w:numPr>
          <w:ilvl w:val="0"/>
          <w:numId w:val="18"/>
        </w:numPr>
        <w:pBdr>
          <w:top w:val="nil"/>
          <w:left w:val="nil"/>
          <w:bottom w:val="nil"/>
          <w:right w:val="nil"/>
          <w:between w:val="nil"/>
          <w:bar w:val="nil"/>
        </w:pBdr>
        <w:spacing w:before="120" w:after="120" w:line="259" w:lineRule="auto"/>
        <w:rPr>
          <w:sz w:val="21"/>
          <w:szCs w:val="21"/>
        </w:rPr>
      </w:pPr>
      <w:r w:rsidRPr="007D3B04">
        <w:rPr>
          <w:sz w:val="21"/>
          <w:szCs w:val="21"/>
        </w:rPr>
        <w:t xml:space="preserve">Mandating minimum energy efficiency performance standards for rental properties, as part of broader standards for what constitutes healthy and habitable rental housing, with the aim to improve efficiency, electrify and install solar. The minimum energy efficiency performance standards are aligned with the </w:t>
      </w:r>
      <w:hyperlink r:id="rId12">
        <w:r w:rsidRPr="007D3B04">
          <w:rPr>
            <w:color w:val="1155CC"/>
            <w:sz w:val="21"/>
            <w:szCs w:val="21"/>
            <w:u w:val="single"/>
          </w:rPr>
          <w:t>Community Sector Blueprint</w:t>
        </w:r>
      </w:hyperlink>
      <w:r w:rsidRPr="007D3B04">
        <w:rPr>
          <w:sz w:val="21"/>
          <w:szCs w:val="21"/>
        </w:rPr>
        <w:t xml:space="preserve"> for energy efficiency rental standards.</w:t>
      </w:r>
      <w:r w:rsidRPr="007D3B04">
        <w:rPr>
          <w:sz w:val="21"/>
          <w:szCs w:val="21"/>
          <w:vertAlign w:val="superscript"/>
        </w:rPr>
        <w:footnoteReference w:id="3"/>
      </w:r>
      <w:r w:rsidRPr="007D3B04">
        <w:rPr>
          <w:sz w:val="21"/>
          <w:szCs w:val="21"/>
        </w:rPr>
        <w:t xml:space="preserve"> </w:t>
      </w:r>
    </w:p>
    <w:p w14:paraId="4B079C00" w14:textId="77777777" w:rsidR="00447D3C" w:rsidRPr="007D3B04" w:rsidRDefault="00447D3C" w:rsidP="00447D3C">
      <w:pPr>
        <w:pStyle w:val="NoSpacing"/>
        <w:numPr>
          <w:ilvl w:val="0"/>
          <w:numId w:val="18"/>
        </w:numPr>
        <w:pBdr>
          <w:top w:val="nil"/>
          <w:left w:val="nil"/>
          <w:bottom w:val="nil"/>
          <w:right w:val="nil"/>
          <w:between w:val="nil"/>
          <w:bar w:val="nil"/>
        </w:pBdr>
        <w:spacing w:before="120" w:after="120" w:line="259" w:lineRule="auto"/>
        <w:rPr>
          <w:sz w:val="21"/>
          <w:szCs w:val="21"/>
        </w:rPr>
      </w:pPr>
      <w:r w:rsidRPr="007D3B04">
        <w:rPr>
          <w:sz w:val="21"/>
          <w:szCs w:val="21"/>
        </w:rPr>
        <w:t xml:space="preserve">Amend the property repairs, </w:t>
      </w:r>
      <w:proofErr w:type="gramStart"/>
      <w:r w:rsidRPr="007D3B04">
        <w:rPr>
          <w:sz w:val="21"/>
          <w:szCs w:val="21"/>
        </w:rPr>
        <w:t>maintenance</w:t>
      </w:r>
      <w:proofErr w:type="gramEnd"/>
      <w:r w:rsidRPr="007D3B04">
        <w:rPr>
          <w:sz w:val="21"/>
          <w:szCs w:val="21"/>
        </w:rPr>
        <w:t xml:space="preserve"> and capital expenditure tax rebate to require appliance replacement with energy efficient, electric appliances.</w:t>
      </w:r>
    </w:p>
    <w:p w14:paraId="7DF88204" w14:textId="77777777" w:rsidR="00447D3C" w:rsidRPr="00734BB5" w:rsidRDefault="00447D3C" w:rsidP="00447D3C">
      <w:pPr>
        <w:pStyle w:val="NormalWeb"/>
        <w:numPr>
          <w:ilvl w:val="0"/>
          <w:numId w:val="18"/>
        </w:numPr>
        <w:spacing w:before="0" w:beforeAutospacing="0" w:after="0" w:afterAutospacing="0"/>
        <w:rPr>
          <w:rFonts w:ascii="Verdana" w:eastAsiaTheme="minorEastAsia" w:hAnsi="Verdana" w:cs="Calibri"/>
          <w:sz w:val="21"/>
          <w:szCs w:val="21"/>
          <w:lang w:val="en-US"/>
        </w:rPr>
      </w:pPr>
      <w:r w:rsidRPr="701E3B23">
        <w:rPr>
          <w:rFonts w:ascii="Verdana" w:hAnsi="Verdana" w:cs="Calibri"/>
          <w:color w:val="000000" w:themeColor="text1"/>
          <w:sz w:val="21"/>
          <w:szCs w:val="21"/>
          <w:lang w:val="en-US"/>
        </w:rPr>
        <w:t xml:space="preserve">Establish a Special Purpose Funding Vehicle, with an initial Federal Government injection of $2 billion over four years - matched by the states and territories, and topped up by other sources – to accelerate and scale up energy upgrades tailored across low-income housing tenure types. Use the funds to do the </w:t>
      </w:r>
      <w:r w:rsidRPr="701E3B23">
        <w:rPr>
          <w:rStyle w:val="xgrame"/>
          <w:rFonts w:ascii="Verdana" w:hAnsi="Verdana" w:cs="Calibri"/>
          <w:color w:val="000000" w:themeColor="text1"/>
          <w:sz w:val="21"/>
          <w:szCs w:val="21"/>
          <w:lang w:val="en-US"/>
        </w:rPr>
        <w:t>following.</w:t>
      </w:r>
    </w:p>
    <w:p w14:paraId="41A0C160" w14:textId="77777777" w:rsidR="00447D3C" w:rsidRPr="007D3B04" w:rsidRDefault="00447D3C" w:rsidP="00447D3C">
      <w:pPr>
        <w:pStyle w:val="NoSpacing"/>
        <w:numPr>
          <w:ilvl w:val="1"/>
          <w:numId w:val="18"/>
        </w:numPr>
        <w:pBdr>
          <w:top w:val="nil"/>
          <w:left w:val="nil"/>
          <w:bottom w:val="nil"/>
          <w:right w:val="nil"/>
          <w:between w:val="nil"/>
          <w:bar w:val="nil"/>
        </w:pBdr>
        <w:spacing w:before="120" w:after="120" w:line="259" w:lineRule="auto"/>
        <w:ind w:left="720"/>
        <w:rPr>
          <w:sz w:val="21"/>
          <w:szCs w:val="21"/>
        </w:rPr>
      </w:pPr>
      <w:r w:rsidRPr="007D3B04">
        <w:rPr>
          <w:sz w:val="21"/>
          <w:szCs w:val="21"/>
        </w:rPr>
        <w:t xml:space="preserve">Implement a 7-year program to fund retrofits (efficiency, electrification and solar) for social housing (public and community housing) and First Nations </w:t>
      </w:r>
      <w:r w:rsidRPr="1B4F636D">
        <w:rPr>
          <w:sz w:val="21"/>
          <w:szCs w:val="21"/>
        </w:rPr>
        <w:t>controlled</w:t>
      </w:r>
      <w:r w:rsidRPr="007D3B04">
        <w:rPr>
          <w:sz w:val="21"/>
          <w:szCs w:val="21"/>
        </w:rPr>
        <w:t xml:space="preserve"> housing before 2030 (Prioritising First Nations housing). Governments need to budget for upgrades or replacement of stock (where it's not cost effective to upgrade) through additional funding to ensure there is not a reduction in present or future stock.</w:t>
      </w:r>
    </w:p>
    <w:p w14:paraId="4F274555" w14:textId="77777777" w:rsidR="00447D3C" w:rsidRDefault="00447D3C" w:rsidP="00447D3C">
      <w:pPr>
        <w:pStyle w:val="NoSpacing"/>
        <w:numPr>
          <w:ilvl w:val="1"/>
          <w:numId w:val="18"/>
        </w:numPr>
        <w:pBdr>
          <w:top w:val="nil"/>
          <w:left w:val="nil"/>
          <w:bottom w:val="nil"/>
          <w:right w:val="nil"/>
          <w:between w:val="nil"/>
          <w:bar w:val="nil"/>
        </w:pBdr>
        <w:spacing w:before="120" w:after="120" w:line="259" w:lineRule="auto"/>
        <w:ind w:left="720"/>
        <w:rPr>
          <w:sz w:val="21"/>
          <w:szCs w:val="21"/>
        </w:rPr>
      </w:pPr>
      <w:r w:rsidRPr="007D3B04">
        <w:rPr>
          <w:sz w:val="21"/>
          <w:szCs w:val="21"/>
        </w:rPr>
        <w:t>Implement a 7-year program to provide financial support to low-income owner occupiers to retrofit their homes (efficiency, electrification and solar)</w:t>
      </w:r>
      <w:r>
        <w:rPr>
          <w:sz w:val="21"/>
          <w:szCs w:val="21"/>
        </w:rPr>
        <w:t xml:space="preserve">. This could be done </w:t>
      </w:r>
      <w:r w:rsidRPr="007D3B04">
        <w:rPr>
          <w:sz w:val="21"/>
          <w:szCs w:val="21"/>
        </w:rPr>
        <w:t>through</w:t>
      </w:r>
      <w:r>
        <w:rPr>
          <w:sz w:val="21"/>
          <w:szCs w:val="21"/>
        </w:rPr>
        <w:t xml:space="preserve"> programs like:</w:t>
      </w:r>
    </w:p>
    <w:p w14:paraId="309BB655" w14:textId="77777777" w:rsidR="00447D3C" w:rsidRDefault="00447D3C" w:rsidP="00447D3C">
      <w:pPr>
        <w:pStyle w:val="NoSpacing"/>
        <w:numPr>
          <w:ilvl w:val="2"/>
          <w:numId w:val="18"/>
        </w:numPr>
        <w:pBdr>
          <w:top w:val="nil"/>
          <w:left w:val="nil"/>
          <w:bottom w:val="nil"/>
          <w:right w:val="nil"/>
          <w:between w:val="nil"/>
          <w:bar w:val="nil"/>
        </w:pBdr>
        <w:spacing w:before="120" w:after="120" w:line="259" w:lineRule="auto"/>
        <w:ind w:left="1170"/>
        <w:rPr>
          <w:sz w:val="21"/>
          <w:szCs w:val="21"/>
        </w:rPr>
      </w:pPr>
      <w:r w:rsidRPr="007D3B04">
        <w:rPr>
          <w:sz w:val="21"/>
          <w:szCs w:val="21"/>
        </w:rPr>
        <w:lastRenderedPageBreak/>
        <w:t>Environmental Upgrade Financing via local councils (which provides long-term finance that stays with the property and is recovered through council rates) plus subsidies</w:t>
      </w:r>
      <w:r>
        <w:rPr>
          <w:sz w:val="21"/>
          <w:szCs w:val="21"/>
        </w:rPr>
        <w:t>;</w:t>
      </w:r>
      <w:r w:rsidRPr="007D3B04">
        <w:rPr>
          <w:sz w:val="21"/>
          <w:szCs w:val="21"/>
        </w:rPr>
        <w:t xml:space="preserve"> or </w:t>
      </w:r>
    </w:p>
    <w:p w14:paraId="60AE964C" w14:textId="77777777" w:rsidR="00447D3C" w:rsidRPr="00377356" w:rsidRDefault="00447D3C" w:rsidP="00447D3C">
      <w:pPr>
        <w:pStyle w:val="NoSpacing"/>
        <w:numPr>
          <w:ilvl w:val="2"/>
          <w:numId w:val="18"/>
        </w:numPr>
        <w:pBdr>
          <w:top w:val="nil"/>
          <w:left w:val="nil"/>
          <w:bottom w:val="nil"/>
          <w:right w:val="nil"/>
          <w:between w:val="nil"/>
          <w:bar w:val="nil"/>
        </w:pBdr>
        <w:spacing w:before="120" w:after="120" w:line="259" w:lineRule="auto"/>
        <w:ind w:left="1170"/>
        <w:rPr>
          <w:sz w:val="21"/>
          <w:szCs w:val="21"/>
        </w:rPr>
      </w:pPr>
      <w:r>
        <w:rPr>
          <w:sz w:val="21"/>
          <w:szCs w:val="21"/>
        </w:rPr>
        <w:t>B</w:t>
      </w:r>
      <w:r w:rsidRPr="007D3B04">
        <w:rPr>
          <w:sz w:val="21"/>
          <w:szCs w:val="21"/>
        </w:rPr>
        <w:t xml:space="preserve">y providing access to no-interest loans and subsidies along the lines (with modifications) of the </w:t>
      </w:r>
      <w:r w:rsidRPr="007D3B04">
        <w:rPr>
          <w:rFonts w:eastAsia="MS Gothic"/>
          <w:kern w:val="24"/>
          <w:sz w:val="21"/>
          <w:szCs w:val="21"/>
        </w:rPr>
        <w:t xml:space="preserve">ACT </w:t>
      </w:r>
      <w:hyperlink r:id="rId13" w:history="1">
        <w:r w:rsidRPr="007D3B04">
          <w:rPr>
            <w:rFonts w:eastAsia="MS Gothic"/>
            <w:color w:val="0000FF"/>
            <w:kern w:val="24"/>
            <w:sz w:val="21"/>
            <w:szCs w:val="21"/>
            <w:u w:val="single"/>
          </w:rPr>
          <w:t>Sustainable Household Scheme</w:t>
        </w:r>
      </w:hyperlink>
      <w:r w:rsidRPr="007D3B04">
        <w:rPr>
          <w:rFonts w:eastAsia="MS Gothic"/>
          <w:kern w:val="24"/>
          <w:sz w:val="21"/>
          <w:szCs w:val="21"/>
          <w:u w:val="single"/>
        </w:rPr>
        <w:t>.</w:t>
      </w:r>
    </w:p>
    <w:p w14:paraId="24C8BD06" w14:textId="77777777" w:rsidR="00447D3C" w:rsidRDefault="00447D3C" w:rsidP="00447D3C">
      <w:pPr>
        <w:pStyle w:val="NoSpacing"/>
        <w:numPr>
          <w:ilvl w:val="1"/>
          <w:numId w:val="18"/>
        </w:numPr>
        <w:pBdr>
          <w:top w:val="nil"/>
          <w:left w:val="nil"/>
          <w:bottom w:val="nil"/>
          <w:right w:val="nil"/>
          <w:between w:val="nil"/>
          <w:bar w:val="nil"/>
        </w:pBdr>
        <w:spacing w:before="120" w:after="120" w:line="259" w:lineRule="auto"/>
        <w:ind w:left="720"/>
        <w:rPr>
          <w:sz w:val="21"/>
          <w:szCs w:val="21"/>
        </w:rPr>
      </w:pPr>
      <w:r w:rsidRPr="4F5FD904">
        <w:rPr>
          <w:sz w:val="21"/>
          <w:szCs w:val="21"/>
        </w:rPr>
        <w:t xml:space="preserve">To support minimum energy performance rental standards, provide </w:t>
      </w:r>
      <w:r>
        <w:rPr>
          <w:sz w:val="21"/>
          <w:szCs w:val="21"/>
        </w:rPr>
        <w:t xml:space="preserve">conditional </w:t>
      </w:r>
      <w:r w:rsidRPr="4F5FD904">
        <w:rPr>
          <w:sz w:val="21"/>
          <w:szCs w:val="21"/>
        </w:rPr>
        <w:t xml:space="preserve">financial support to </w:t>
      </w:r>
      <w:r w:rsidRPr="1B4F636D">
        <w:rPr>
          <w:sz w:val="21"/>
          <w:szCs w:val="21"/>
        </w:rPr>
        <w:t>landlords.</w:t>
      </w:r>
      <w:r w:rsidRPr="00953107">
        <w:rPr>
          <w:sz w:val="21"/>
          <w:szCs w:val="21"/>
        </w:rPr>
        <w:t xml:space="preserve"> </w:t>
      </w:r>
      <w:r>
        <w:rPr>
          <w:sz w:val="21"/>
          <w:szCs w:val="21"/>
        </w:rPr>
        <w:t xml:space="preserve">This could be done </w:t>
      </w:r>
      <w:r w:rsidRPr="007D3B04">
        <w:rPr>
          <w:sz w:val="21"/>
          <w:szCs w:val="21"/>
        </w:rPr>
        <w:t>through</w:t>
      </w:r>
      <w:r>
        <w:rPr>
          <w:sz w:val="21"/>
          <w:szCs w:val="21"/>
        </w:rPr>
        <w:t xml:space="preserve"> programs like:</w:t>
      </w:r>
    </w:p>
    <w:p w14:paraId="440859BC" w14:textId="77777777" w:rsidR="00447D3C" w:rsidRDefault="00447D3C" w:rsidP="00447D3C">
      <w:pPr>
        <w:pStyle w:val="NoSpacing"/>
        <w:numPr>
          <w:ilvl w:val="2"/>
          <w:numId w:val="18"/>
        </w:numPr>
        <w:pBdr>
          <w:top w:val="nil"/>
          <w:left w:val="nil"/>
          <w:bottom w:val="nil"/>
          <w:right w:val="nil"/>
          <w:between w:val="nil"/>
          <w:bar w:val="nil"/>
        </w:pBdr>
        <w:spacing w:before="120" w:after="120" w:line="259" w:lineRule="auto"/>
        <w:ind w:left="1080"/>
        <w:rPr>
          <w:sz w:val="21"/>
          <w:szCs w:val="21"/>
        </w:rPr>
      </w:pPr>
      <w:r w:rsidRPr="4F5FD904">
        <w:rPr>
          <w:sz w:val="21"/>
          <w:szCs w:val="21"/>
        </w:rPr>
        <w:t xml:space="preserve">Environmental Upgrade Financing via local councils (which provides long-term finance that stays with the property and is recovered through council rates) or </w:t>
      </w:r>
    </w:p>
    <w:p w14:paraId="0F6750E0" w14:textId="77777777" w:rsidR="00447D3C" w:rsidRPr="00734BB5" w:rsidRDefault="00447D3C" w:rsidP="00447D3C">
      <w:pPr>
        <w:pStyle w:val="NoSpacing"/>
        <w:numPr>
          <w:ilvl w:val="2"/>
          <w:numId w:val="18"/>
        </w:numPr>
        <w:pBdr>
          <w:top w:val="nil"/>
          <w:left w:val="nil"/>
          <w:bottom w:val="nil"/>
          <w:right w:val="nil"/>
          <w:between w:val="nil"/>
          <w:bar w:val="nil"/>
        </w:pBdr>
        <w:spacing w:before="120" w:after="120" w:line="259" w:lineRule="auto"/>
        <w:ind w:left="1080"/>
        <w:rPr>
          <w:sz w:val="21"/>
          <w:szCs w:val="21"/>
        </w:rPr>
      </w:pPr>
      <w:r>
        <w:rPr>
          <w:sz w:val="21"/>
          <w:szCs w:val="21"/>
        </w:rPr>
        <w:t>P</w:t>
      </w:r>
      <w:r w:rsidRPr="4F5FD904">
        <w:rPr>
          <w:sz w:val="21"/>
          <w:szCs w:val="21"/>
        </w:rPr>
        <w:t xml:space="preserve">rovide access to no-interest loans and potential subsidies. </w:t>
      </w:r>
      <w:r w:rsidRPr="00734BB5">
        <w:rPr>
          <w:sz w:val="21"/>
          <w:szCs w:val="21"/>
        </w:rPr>
        <w:t>A cap on rent rises above CPI, should be implemented if subsidies are provided.</w:t>
      </w:r>
    </w:p>
    <w:p w14:paraId="0996511C" w14:textId="77777777" w:rsidR="00447D3C" w:rsidRDefault="00447D3C" w:rsidP="00447D3C">
      <w:r w:rsidRPr="00730925">
        <w:rPr>
          <w:b/>
          <w:color w:val="CC0000"/>
        </w:rPr>
        <w:t>Recommendation 1</w:t>
      </w:r>
      <w:r>
        <w:rPr>
          <w:b/>
          <w:color w:val="CC0000"/>
        </w:rPr>
        <w:t>8</w:t>
      </w:r>
      <w:r w:rsidRPr="00730925">
        <w:rPr>
          <w:b/>
          <w:color w:val="CC0000"/>
        </w:rPr>
        <w:t xml:space="preserve">: </w:t>
      </w:r>
      <w:r w:rsidRPr="00730925">
        <w:t xml:space="preserve">Work with jurisdictional governments to investigate whether reform of relevant strata laws and/or new governance options is required to improve energy efficiency and </w:t>
      </w:r>
      <w:r>
        <w:t>electrification</w:t>
      </w:r>
      <w:r w:rsidRPr="00730925">
        <w:t xml:space="preserve"> in existing apartments. This may include, for example, limiting or prohibiting the ability of strata schemes to prevent or restrict upgrades or retrofits in individual strata lots that may be required to meet new mandated energy efficiency standards.</w:t>
      </w:r>
    </w:p>
    <w:p w14:paraId="66B24755" w14:textId="77777777" w:rsidR="00447D3C" w:rsidRPr="00730925" w:rsidRDefault="00447D3C" w:rsidP="00447D3C">
      <w:r w:rsidRPr="00730925">
        <w:rPr>
          <w:b/>
          <w:color w:val="CC0000"/>
        </w:rPr>
        <w:t>Recommendation 1</w:t>
      </w:r>
      <w:r>
        <w:rPr>
          <w:b/>
          <w:color w:val="CC0000"/>
        </w:rPr>
        <w:t>9</w:t>
      </w:r>
      <w:r w:rsidRPr="00730925">
        <w:rPr>
          <w:b/>
          <w:color w:val="CC0000"/>
        </w:rPr>
        <w:t xml:space="preserve"> </w:t>
      </w:r>
      <w:r w:rsidRPr="00730925">
        <w:rPr>
          <w:shd w:val="clear" w:color="auto" w:fill="FFFFFF"/>
        </w:rPr>
        <w:t xml:space="preserve">Set energy performance targets for </w:t>
      </w:r>
      <w:r>
        <w:rPr>
          <w:shd w:val="clear" w:color="auto" w:fill="FFFFFF"/>
        </w:rPr>
        <w:t xml:space="preserve">home energy upgrades </w:t>
      </w:r>
      <w:r w:rsidRPr="00730925">
        <w:rPr>
          <w:shd w:val="clear" w:color="auto" w:fill="FFFFFF"/>
        </w:rPr>
        <w:t>for low-income housing.</w:t>
      </w:r>
    </w:p>
    <w:p w14:paraId="60676F81" w14:textId="77777777" w:rsidR="00447D3C" w:rsidRPr="00730925" w:rsidRDefault="00447D3C" w:rsidP="00447D3C">
      <w:r w:rsidRPr="00730925">
        <w:rPr>
          <w:b/>
          <w:color w:val="CC0000"/>
        </w:rPr>
        <w:t xml:space="preserve">Recommendation </w:t>
      </w:r>
      <w:r>
        <w:rPr>
          <w:b/>
          <w:color w:val="CC0000"/>
        </w:rPr>
        <w:t>20</w:t>
      </w:r>
      <w:r w:rsidRPr="00730925">
        <w:rPr>
          <w:b/>
          <w:color w:val="CC0000"/>
        </w:rPr>
        <w:t>:</w:t>
      </w:r>
      <w:r w:rsidRPr="00730925">
        <w:rPr>
          <w:b/>
        </w:rPr>
        <w:t xml:space="preserve"> </w:t>
      </w:r>
      <w:r w:rsidRPr="00730925">
        <w:t>Urgently finalise and implement a national residential building energy performance rating system for existing homes.</w:t>
      </w:r>
    </w:p>
    <w:p w14:paraId="7B2D89B7" w14:textId="77777777" w:rsidR="00447D3C" w:rsidRPr="00730925" w:rsidRDefault="00447D3C" w:rsidP="00447D3C">
      <w:r w:rsidRPr="00730925">
        <w:rPr>
          <w:b/>
          <w:color w:val="CC0000"/>
        </w:rPr>
        <w:t xml:space="preserve">Recommendation </w:t>
      </w:r>
      <w:r>
        <w:rPr>
          <w:b/>
          <w:color w:val="CC0000"/>
        </w:rPr>
        <w:t>21</w:t>
      </w:r>
      <w:r w:rsidRPr="00730925">
        <w:rPr>
          <w:b/>
          <w:color w:val="CC0000"/>
        </w:rPr>
        <w:t>:</w:t>
      </w:r>
      <w:r w:rsidRPr="00730925">
        <w:rPr>
          <w:b/>
          <w:color w:val="E06666"/>
        </w:rPr>
        <w:t xml:space="preserve"> </w:t>
      </w:r>
      <w:r w:rsidRPr="00730925">
        <w:t xml:space="preserve">Introduce mandatory disclosure </w:t>
      </w:r>
      <w:r>
        <w:t xml:space="preserve">by 2025 </w:t>
      </w:r>
      <w:r w:rsidRPr="00730925">
        <w:t>of energy performance for all buildings when they are sold and leased.</w:t>
      </w:r>
    </w:p>
    <w:p w14:paraId="1D093A3A" w14:textId="77777777" w:rsidR="00447D3C" w:rsidRDefault="00447D3C" w:rsidP="00447D3C">
      <w:r w:rsidRPr="00730925">
        <w:rPr>
          <w:b/>
          <w:color w:val="CC0000"/>
        </w:rPr>
        <w:t xml:space="preserve">Recommendation </w:t>
      </w:r>
      <w:r>
        <w:rPr>
          <w:b/>
          <w:color w:val="CC0000"/>
        </w:rPr>
        <w:t>22</w:t>
      </w:r>
      <w:r w:rsidRPr="00730925">
        <w:rPr>
          <w:b/>
          <w:color w:val="CC0000"/>
        </w:rPr>
        <w:t>:</w:t>
      </w:r>
      <w:r w:rsidRPr="00730925">
        <w:t xml:space="preserve"> The Federal Government funds programs – like one-stop shops - to provide people with user-friendly and culturally appropriate information, </w:t>
      </w:r>
      <w:proofErr w:type="gramStart"/>
      <w:r w:rsidRPr="00730925">
        <w:t>tools</w:t>
      </w:r>
      <w:proofErr w:type="gramEnd"/>
      <w:r w:rsidRPr="00730925">
        <w:t xml:space="preserve"> and access to qualified trades, to understand energy performance ratings, electrification and the potential long-term benefits of energy performance measures, in order to encourage take-up beyond the minimum performance standard.</w:t>
      </w:r>
    </w:p>
    <w:p w14:paraId="060B8995" w14:textId="77777777" w:rsidR="00447D3C" w:rsidRPr="007D3B04" w:rsidRDefault="00447D3C" w:rsidP="00447D3C">
      <w:pPr>
        <w:pStyle w:val="Body"/>
        <w:ind w:left="0"/>
        <w:rPr>
          <w:sz w:val="21"/>
          <w:szCs w:val="21"/>
          <w:lang w:val="en-AU"/>
        </w:rPr>
      </w:pPr>
      <w:r w:rsidRPr="3D3EED71">
        <w:rPr>
          <w:b/>
          <w:color w:val="C00000"/>
          <w:sz w:val="21"/>
          <w:szCs w:val="21"/>
          <w:lang w:val="en-AU"/>
        </w:rPr>
        <w:t>Recommendation 23:</w:t>
      </w:r>
      <w:r w:rsidRPr="3D3EED71">
        <w:rPr>
          <w:color w:val="C00000"/>
          <w:sz w:val="21"/>
          <w:szCs w:val="21"/>
          <w:lang w:val="en-AU"/>
        </w:rPr>
        <w:t xml:space="preserve"> </w:t>
      </w:r>
      <w:r w:rsidRPr="3D3EED71">
        <w:rPr>
          <w:sz w:val="21"/>
          <w:szCs w:val="21"/>
          <w:lang w:val="en-AU"/>
        </w:rPr>
        <w:t>Culturally and linguistically appropriate education campaign on the benefits of electrification and the renewable transition.</w:t>
      </w:r>
    </w:p>
    <w:p w14:paraId="03A9C9B0" w14:textId="77777777" w:rsidR="00447D3C" w:rsidRDefault="00447D3C" w:rsidP="00447D3C">
      <w:pPr>
        <w:pStyle w:val="Body"/>
        <w:ind w:left="0"/>
        <w:rPr>
          <w:sz w:val="21"/>
          <w:szCs w:val="21"/>
          <w:lang w:val="en-AU"/>
        </w:rPr>
      </w:pPr>
      <w:r w:rsidRPr="3D3EED71">
        <w:rPr>
          <w:b/>
          <w:color w:val="C00000"/>
          <w:sz w:val="21"/>
          <w:szCs w:val="21"/>
          <w:lang w:val="en-AU"/>
        </w:rPr>
        <w:t>Recommendation 24:</w:t>
      </w:r>
      <w:r w:rsidRPr="3D3EED71">
        <w:rPr>
          <w:color w:val="C00000"/>
          <w:sz w:val="21"/>
          <w:szCs w:val="21"/>
          <w:lang w:val="en-AU"/>
        </w:rPr>
        <w:t xml:space="preserve"> </w:t>
      </w:r>
      <w:r w:rsidRPr="3D3EED71">
        <w:rPr>
          <w:sz w:val="21"/>
          <w:szCs w:val="21"/>
          <w:lang w:val="en-AU"/>
        </w:rPr>
        <w:t xml:space="preserve">Partner with building industry peak bodies, </w:t>
      </w:r>
      <w:proofErr w:type="gramStart"/>
      <w:r w:rsidRPr="3D3EED71">
        <w:rPr>
          <w:sz w:val="21"/>
          <w:szCs w:val="21"/>
          <w:lang w:val="en-AU"/>
        </w:rPr>
        <w:t>unions</w:t>
      </w:r>
      <w:proofErr w:type="gramEnd"/>
      <w:r w:rsidRPr="3D3EED71">
        <w:rPr>
          <w:sz w:val="21"/>
          <w:szCs w:val="21"/>
          <w:lang w:val="en-AU"/>
        </w:rPr>
        <w:t xml:space="preserve"> and trades associations to educate retailers, tradespeople and installers about great all-electric alternatives to gas appliances. There is an opportunity to train workers in the building and servicing of all-electric </w:t>
      </w:r>
      <w:proofErr w:type="gramStart"/>
      <w:r w:rsidRPr="3D3EED71">
        <w:rPr>
          <w:sz w:val="21"/>
          <w:szCs w:val="21"/>
          <w:lang w:val="en-AU"/>
        </w:rPr>
        <w:t>homes</w:t>
      </w:r>
      <w:proofErr w:type="gramEnd"/>
      <w:r w:rsidRPr="3D3EED71">
        <w:rPr>
          <w:sz w:val="21"/>
          <w:szCs w:val="21"/>
          <w:lang w:val="en-AU"/>
        </w:rPr>
        <w:t xml:space="preserve"> so tradespeople and installers know about all-electric alternatives. This could be facilitated through the New Energy Apprenticeships Initiative, as well as being directed by peak bodies, </w:t>
      </w:r>
      <w:proofErr w:type="gramStart"/>
      <w:r w:rsidRPr="3D3EED71">
        <w:rPr>
          <w:sz w:val="21"/>
          <w:szCs w:val="21"/>
          <w:lang w:val="en-AU"/>
        </w:rPr>
        <w:t>unions</w:t>
      </w:r>
      <w:proofErr w:type="gramEnd"/>
      <w:r w:rsidRPr="3D3EED71">
        <w:rPr>
          <w:sz w:val="21"/>
          <w:szCs w:val="21"/>
          <w:lang w:val="en-AU"/>
        </w:rPr>
        <w:t xml:space="preserve"> and trade associations. In particular, courses should be provided by education providers to upskill workers on how to shift away from gas and micro-credentials offered through the National Skills Agreement.</w:t>
      </w:r>
    </w:p>
    <w:p w14:paraId="23AB0D07" w14:textId="77777777" w:rsidR="00447D3C" w:rsidRPr="00296674" w:rsidRDefault="00447D3C" w:rsidP="00447D3C">
      <w:r w:rsidRPr="00296674">
        <w:rPr>
          <w:b/>
          <w:bCs/>
          <w:color w:val="C00000"/>
        </w:rPr>
        <w:t xml:space="preserve">Recommendation </w:t>
      </w:r>
      <w:r>
        <w:rPr>
          <w:b/>
          <w:bCs/>
          <w:color w:val="C00000"/>
        </w:rPr>
        <w:t>25</w:t>
      </w:r>
      <w:r w:rsidRPr="00296674">
        <w:rPr>
          <w:b/>
          <w:bCs/>
          <w:color w:val="C00000"/>
        </w:rPr>
        <w:t>:</w:t>
      </w:r>
      <w:r w:rsidRPr="00296674">
        <w:rPr>
          <w:color w:val="C00000"/>
        </w:rPr>
        <w:t xml:space="preserve"> </w:t>
      </w:r>
      <w:r w:rsidRPr="00296674">
        <w:t>The Federal Government works with jurisdictions and industry to ensure effective compliance with minimum standards through skills training and incentives, and improved mechanisms for dispute resolution and redress.</w:t>
      </w:r>
    </w:p>
    <w:p w14:paraId="741F7FD6" w14:textId="77777777" w:rsidR="00447D3C" w:rsidRPr="00730925" w:rsidRDefault="00447D3C" w:rsidP="00447D3C">
      <w:r w:rsidRPr="00730925">
        <w:rPr>
          <w:b/>
          <w:color w:val="CC0000"/>
        </w:rPr>
        <w:lastRenderedPageBreak/>
        <w:t xml:space="preserve">Recommendation </w:t>
      </w:r>
      <w:r>
        <w:rPr>
          <w:b/>
          <w:color w:val="CC0000"/>
        </w:rPr>
        <w:t>26</w:t>
      </w:r>
      <w:r w:rsidRPr="00730925">
        <w:rPr>
          <w:b/>
          <w:color w:val="CC0000"/>
        </w:rPr>
        <w:t>:</w:t>
      </w:r>
      <w:r w:rsidRPr="00730925">
        <w:rPr>
          <w:b/>
        </w:rPr>
        <w:t xml:space="preserve"> </w:t>
      </w:r>
      <w:r w:rsidRPr="00730925">
        <w:t xml:space="preserve">Commonwealth, </w:t>
      </w:r>
      <w:proofErr w:type="gramStart"/>
      <w:r w:rsidRPr="00730925">
        <w:t>state</w:t>
      </w:r>
      <w:proofErr w:type="gramEnd"/>
      <w:r w:rsidRPr="00730925">
        <w:t xml:space="preserve"> and territory governments require that the Integrated System Plan gives </w:t>
      </w:r>
      <w:r w:rsidRPr="00730925">
        <w:rPr>
          <w:b/>
        </w:rPr>
        <w:t>greater weighting</w:t>
      </w:r>
      <w:r w:rsidRPr="00730925">
        <w:t xml:space="preserve"> to electrification, energy efficiency and demand management opportunities in future plans. This activity could be supported by resourcing the development of an annual Energy Performance Statement of Opportunities.</w:t>
      </w:r>
    </w:p>
    <w:p w14:paraId="77781AB7" w14:textId="77777777" w:rsidR="00447D3C" w:rsidRPr="007D3B04" w:rsidRDefault="00447D3C" w:rsidP="00447D3C">
      <w:pPr>
        <w:pStyle w:val="Body"/>
        <w:ind w:left="0"/>
        <w:rPr>
          <w:sz w:val="21"/>
          <w:szCs w:val="21"/>
        </w:rPr>
      </w:pPr>
      <w:r w:rsidRPr="007D3B04">
        <w:rPr>
          <w:b/>
          <w:bCs/>
          <w:color w:val="C00000"/>
          <w:sz w:val="21"/>
          <w:szCs w:val="21"/>
        </w:rPr>
        <w:t xml:space="preserve">Recommendation </w:t>
      </w:r>
      <w:r>
        <w:rPr>
          <w:b/>
          <w:bCs/>
          <w:color w:val="C00000"/>
          <w:sz w:val="21"/>
          <w:szCs w:val="21"/>
        </w:rPr>
        <w:t>27</w:t>
      </w:r>
      <w:r w:rsidRPr="007D3B04">
        <w:rPr>
          <w:b/>
          <w:bCs/>
          <w:color w:val="C00000"/>
          <w:sz w:val="21"/>
          <w:szCs w:val="21"/>
        </w:rPr>
        <w:t>:</w:t>
      </w:r>
      <w:r w:rsidRPr="007D3B04">
        <w:rPr>
          <w:sz w:val="21"/>
          <w:szCs w:val="21"/>
        </w:rPr>
        <w:t xml:space="preserve"> </w:t>
      </w:r>
      <w:r>
        <w:rPr>
          <w:sz w:val="21"/>
          <w:szCs w:val="21"/>
        </w:rPr>
        <w:t>The Government m</w:t>
      </w:r>
      <w:r w:rsidRPr="007D3B04">
        <w:rPr>
          <w:sz w:val="21"/>
          <w:szCs w:val="21"/>
        </w:rPr>
        <w:t>odel the co-benefits, including economic, health, household savings, job creation of accelerating residential energy efficiency and electrification</w:t>
      </w:r>
      <w:r>
        <w:rPr>
          <w:sz w:val="21"/>
          <w:szCs w:val="21"/>
        </w:rPr>
        <w:t>.</w:t>
      </w:r>
    </w:p>
    <w:p w14:paraId="55A5E6ED" w14:textId="77777777" w:rsidR="00447D3C" w:rsidRDefault="00447D3C" w:rsidP="00447D3C">
      <w:pPr>
        <w:pStyle w:val="Body"/>
        <w:ind w:left="0"/>
        <w:rPr>
          <w:sz w:val="21"/>
          <w:szCs w:val="21"/>
        </w:rPr>
      </w:pPr>
      <w:r w:rsidRPr="007D3B04">
        <w:rPr>
          <w:b/>
          <w:bCs/>
          <w:color w:val="C00000"/>
          <w:sz w:val="21"/>
          <w:szCs w:val="21"/>
        </w:rPr>
        <w:t xml:space="preserve">Recommendation </w:t>
      </w:r>
      <w:r>
        <w:rPr>
          <w:b/>
          <w:bCs/>
          <w:color w:val="C00000"/>
          <w:sz w:val="21"/>
          <w:szCs w:val="21"/>
        </w:rPr>
        <w:t>28</w:t>
      </w:r>
      <w:r w:rsidRPr="007D3B04">
        <w:rPr>
          <w:b/>
          <w:bCs/>
          <w:color w:val="C00000"/>
          <w:sz w:val="21"/>
          <w:szCs w:val="21"/>
        </w:rPr>
        <w:t>:</w:t>
      </w:r>
      <w:r w:rsidRPr="007D3B04">
        <w:rPr>
          <w:sz w:val="21"/>
          <w:szCs w:val="21"/>
        </w:rPr>
        <w:t xml:space="preserve"> </w:t>
      </w:r>
      <w:r>
        <w:rPr>
          <w:sz w:val="21"/>
          <w:szCs w:val="21"/>
        </w:rPr>
        <w:t>The Government should m</w:t>
      </w:r>
      <w:r w:rsidRPr="007D3B04">
        <w:rPr>
          <w:sz w:val="21"/>
          <w:szCs w:val="21"/>
        </w:rPr>
        <w:t xml:space="preserve">odel the economic and consumer costs of keeping gas </w:t>
      </w:r>
      <w:r>
        <w:rPr>
          <w:sz w:val="21"/>
          <w:szCs w:val="21"/>
        </w:rPr>
        <w:t xml:space="preserve">and alterative gas options </w:t>
      </w:r>
      <w:r w:rsidRPr="007D3B04">
        <w:rPr>
          <w:sz w:val="21"/>
          <w:szCs w:val="21"/>
        </w:rPr>
        <w:t>in the system versus accelerating investment in demand reduction, energy efficiency and electrification.</w:t>
      </w:r>
    </w:p>
    <w:p w14:paraId="5898E318" w14:textId="77777777" w:rsidR="00447D3C" w:rsidRDefault="00447D3C" w:rsidP="00447D3C">
      <w:r>
        <w:rPr>
          <w:b/>
          <w:color w:val="CC0000"/>
        </w:rPr>
        <w:t>Recommendation 29:</w:t>
      </w:r>
      <w:r>
        <w:t xml:space="preserve"> The Government fund and deploy an implementation plan alongside the National Energy Workforce Strategy that outlines a clear pathway to bridge the gap between the number of clean economy workers we have now, and what we need to realise our 2030 and 2050 emissions reduction goals, and to deliver on energy performance and climate resilience retrofits. The plan should:</w:t>
      </w:r>
    </w:p>
    <w:p w14:paraId="7C4CF71E" w14:textId="77777777" w:rsidR="00447D3C" w:rsidRDefault="00447D3C" w:rsidP="00A96744">
      <w:pPr>
        <w:pStyle w:val="ListParagraph"/>
        <w:numPr>
          <w:ilvl w:val="0"/>
          <w:numId w:val="6"/>
        </w:numPr>
      </w:pPr>
      <w:r>
        <w:t xml:space="preserve">Provide quality, </w:t>
      </w:r>
      <w:proofErr w:type="gramStart"/>
      <w:r>
        <w:t>accessible</w:t>
      </w:r>
      <w:proofErr w:type="gramEnd"/>
      <w:r>
        <w:t xml:space="preserve"> and affordable education, training, re-skilling and upskilling opportunities targeting people unemployed long-term and others who are marginalised in the labour market, including </w:t>
      </w:r>
      <w:r w:rsidRPr="00D70873">
        <w:t xml:space="preserve">First Nations people, </w:t>
      </w:r>
      <w:r>
        <w:t>people with disability and women.</w:t>
      </w:r>
    </w:p>
    <w:p w14:paraId="2FB12D37" w14:textId="77777777" w:rsidR="00447D3C" w:rsidRDefault="00447D3C" w:rsidP="00A96744">
      <w:pPr>
        <w:pStyle w:val="ListParagraph"/>
        <w:numPr>
          <w:ilvl w:val="0"/>
          <w:numId w:val="6"/>
        </w:numPr>
      </w:pPr>
      <w:r w:rsidRPr="00D70873">
        <w:t>Promote meaningful employment for people unemployed long-term, First Nations people, people with disability, and others marginalised in the labour market, including through social procurement guidelines and employment and training programs targeting those groups</w:t>
      </w:r>
      <w:r>
        <w:t xml:space="preserve">. </w:t>
      </w:r>
    </w:p>
    <w:p w14:paraId="3B205F70" w14:textId="77777777" w:rsidR="00447D3C" w:rsidRDefault="00447D3C" w:rsidP="00A96744">
      <w:pPr>
        <w:pStyle w:val="ListParagraph"/>
        <w:numPr>
          <w:ilvl w:val="0"/>
          <w:numId w:val="6"/>
        </w:numPr>
      </w:pPr>
      <w:r>
        <w:t>Ensure clean job creation meets the needs of local communities, including by targeting jobs for groups who are long-term unemployed, through local employment and skills development partnerships, paid work experience and training for trades assistants.</w:t>
      </w:r>
    </w:p>
    <w:p w14:paraId="63FA17F6" w14:textId="77777777" w:rsidR="00447D3C" w:rsidRPr="00106F67" w:rsidRDefault="00447D3C" w:rsidP="00A96744">
      <w:pPr>
        <w:pStyle w:val="ListParagraph"/>
        <w:numPr>
          <w:ilvl w:val="0"/>
          <w:numId w:val="6"/>
        </w:numPr>
      </w:pPr>
      <w:r>
        <w:t xml:space="preserve">Be aligned with </w:t>
      </w:r>
      <w:r w:rsidRPr="00106005">
        <w:t xml:space="preserve">relevant economic participation/employment strategies, including the </w:t>
      </w:r>
      <w:hyperlink r:id="rId14" w:history="1">
        <w:r w:rsidRPr="00106005">
          <w:rPr>
            <w:rStyle w:val="Hyperlink"/>
          </w:rPr>
          <w:t>Strategy for Gender Equality</w:t>
        </w:r>
      </w:hyperlink>
      <w:r w:rsidRPr="00106005">
        <w:t xml:space="preserve"> and the </w:t>
      </w:r>
      <w:hyperlink r:id="rId15" w:history="1">
        <w:r w:rsidRPr="00106005">
          <w:rPr>
            <w:rStyle w:val="Hyperlink"/>
          </w:rPr>
          <w:t>Women’s Economic Equality Taskforce’s 10-year plan</w:t>
        </w:r>
      </w:hyperlink>
      <w:r w:rsidRPr="00106005">
        <w:t>, Disability Employment Strategy, </w:t>
      </w:r>
      <w:r>
        <w:t xml:space="preserve">and </w:t>
      </w:r>
      <w:r w:rsidRPr="00106005">
        <w:t>Closing the Gap employment targets</w:t>
      </w:r>
      <w:r>
        <w:t>.</w:t>
      </w:r>
    </w:p>
    <w:p w14:paraId="0C763520" w14:textId="77777777" w:rsidR="00447D3C" w:rsidRDefault="00447D3C" w:rsidP="00447D3C">
      <w:pPr>
        <w:pBdr>
          <w:top w:val="nil"/>
          <w:left w:val="nil"/>
          <w:bottom w:val="nil"/>
          <w:right w:val="nil"/>
          <w:between w:val="nil"/>
        </w:pBdr>
        <w:spacing w:before="0" w:line="256" w:lineRule="auto"/>
      </w:pPr>
      <w:r w:rsidRPr="005F3E65">
        <w:rPr>
          <w:b/>
          <w:color w:val="CC0000"/>
        </w:rPr>
        <w:t xml:space="preserve">Recommendation 30: </w:t>
      </w:r>
      <w:r w:rsidRPr="00FF2B78">
        <w:t>Review vision and implement principles to guide the electricity an</w:t>
      </w:r>
      <w:r>
        <w:t>d</w:t>
      </w:r>
      <w:r w:rsidRPr="00FF2B78">
        <w:t xml:space="preserve"> energy sector plan</w:t>
      </w:r>
      <w:r>
        <w:t xml:space="preserve"> (see </w:t>
      </w:r>
      <w:hyperlink r:id="rId16" w:history="1">
        <w:r w:rsidRPr="00073881">
          <w:rPr>
            <w:rStyle w:val="Hyperlink"/>
          </w:rPr>
          <w:t>ourPower</w:t>
        </w:r>
      </w:hyperlink>
      <w:r>
        <w:rPr>
          <w:rStyle w:val="Hyperlink"/>
        </w:rPr>
        <w:t xml:space="preserve"> for guidance)</w:t>
      </w:r>
    </w:p>
    <w:p w14:paraId="2DE0D0A9" w14:textId="77777777" w:rsidR="00447D3C" w:rsidRDefault="00447D3C" w:rsidP="00447D3C">
      <w:r>
        <w:rPr>
          <w:b/>
          <w:color w:val="CC0000"/>
        </w:rPr>
        <w:t xml:space="preserve">Recommendation 31: </w:t>
      </w:r>
      <w:r>
        <w:t xml:space="preserve"> An </w:t>
      </w:r>
      <w:r w:rsidRPr="000201C7">
        <w:t xml:space="preserve">Energy Equity and Inclusion workstream </w:t>
      </w:r>
      <w:r>
        <w:t xml:space="preserve">be added </w:t>
      </w:r>
      <w:r w:rsidRPr="000201C7">
        <w:t>to the National Energy Transformation Partnership</w:t>
      </w:r>
      <w:r w:rsidRPr="0052221F">
        <w:t xml:space="preserve"> </w:t>
      </w:r>
      <w:r>
        <w:t>to reduce energy hardship and ensure people and communities experiencing financial and social disadvantage benefit from and are not left behind in the energy transition.</w:t>
      </w:r>
    </w:p>
    <w:p w14:paraId="24B1BA8A" w14:textId="77777777" w:rsidR="00447D3C" w:rsidRDefault="00447D3C" w:rsidP="00447D3C">
      <w:pPr>
        <w:rPr>
          <w:color w:val="000000" w:themeColor="text1"/>
        </w:rPr>
      </w:pPr>
      <w:r>
        <w:rPr>
          <w:b/>
          <w:color w:val="CC0000"/>
        </w:rPr>
        <w:t xml:space="preserve">Recommendation 32: </w:t>
      </w:r>
      <w:r>
        <w:t xml:space="preserve"> Energy Ministers review and reform energy concessions to they are accessible, </w:t>
      </w:r>
      <w:proofErr w:type="gramStart"/>
      <w:r>
        <w:t>adequate</w:t>
      </w:r>
      <w:proofErr w:type="gramEnd"/>
      <w:r>
        <w:t xml:space="preserve"> and equitable.</w:t>
      </w:r>
    </w:p>
    <w:p w14:paraId="514DFD20" w14:textId="77777777" w:rsidR="00447D3C" w:rsidRPr="00700F5F" w:rsidRDefault="00447D3C" w:rsidP="00447D3C">
      <w:r>
        <w:rPr>
          <w:b/>
          <w:color w:val="CC0000"/>
        </w:rPr>
        <w:t xml:space="preserve">Recommendation 33: </w:t>
      </w:r>
      <w:r>
        <w:t xml:space="preserve"> Governments</w:t>
      </w:r>
      <w:r w:rsidRPr="00700F5F">
        <w:t xml:space="preserve"> to pursue retail, </w:t>
      </w:r>
      <w:proofErr w:type="gramStart"/>
      <w:r w:rsidRPr="00700F5F">
        <w:t>pricing</w:t>
      </w:r>
      <w:proofErr w:type="gramEnd"/>
      <w:r w:rsidRPr="00700F5F">
        <w:t xml:space="preserve"> and protection reform to ensure energy markets and protections are fit-for purpose. This should include:  </w:t>
      </w:r>
    </w:p>
    <w:p w14:paraId="37F488EC" w14:textId="77777777" w:rsidR="00447D3C" w:rsidRPr="00700F5F" w:rsidRDefault="00447D3C" w:rsidP="00A96744">
      <w:pPr>
        <w:pStyle w:val="ListParagraph"/>
        <w:numPr>
          <w:ilvl w:val="0"/>
          <w:numId w:val="20"/>
        </w:numPr>
      </w:pPr>
      <w:r w:rsidRPr="00700F5F">
        <w:t xml:space="preserve">Retail price regulation to ensure people can expect a fair deal that meets their needs.   This should include a requirement for retailers to offer an efficient, flat </w:t>
      </w:r>
      <w:r w:rsidRPr="00700F5F">
        <w:lastRenderedPageBreak/>
        <w:t xml:space="preserve">tariff default offer, ensuring other energy offers are simple, </w:t>
      </w:r>
      <w:proofErr w:type="gramStart"/>
      <w:r w:rsidRPr="00700F5F">
        <w:t>transparent</w:t>
      </w:r>
      <w:proofErr w:type="gramEnd"/>
      <w:r w:rsidRPr="00700F5F">
        <w:t xml:space="preserve"> and easy to compare, and a guaranteed genuine consumer choice of retail tariff. Better regulatory oversight is needed to ensure these measures are delivered along with greater penalties for retailer breaches.  </w:t>
      </w:r>
    </w:p>
    <w:p w14:paraId="3B358679" w14:textId="77777777" w:rsidR="00447D3C" w:rsidRPr="00700F5F" w:rsidRDefault="00447D3C" w:rsidP="00A96744">
      <w:pPr>
        <w:pStyle w:val="ListParagraph"/>
        <w:numPr>
          <w:ilvl w:val="0"/>
          <w:numId w:val="20"/>
        </w:numPr>
      </w:pPr>
      <w:r w:rsidRPr="00700F5F">
        <w:t xml:space="preserve">Stronger energy consumer protection and assistance frameworks, centred on introducing a retail duty of care and obligation to act in the best interests of consumers. Reforms should include better promotion of hardship support, earlier detection of payment difficulties and an obligation to offer more effective support, debt reduction and other assistance. Recognition of the essential nature of energy and its impact on households should also involve a banning of disconnection for non-payment.  </w:t>
      </w:r>
    </w:p>
    <w:p w14:paraId="0F74A767" w14:textId="77777777" w:rsidR="00447D3C" w:rsidRDefault="00447D3C" w:rsidP="00A96744">
      <w:pPr>
        <w:pStyle w:val="ListParagraph"/>
        <w:numPr>
          <w:ilvl w:val="0"/>
          <w:numId w:val="20"/>
        </w:numPr>
      </w:pPr>
      <w:r w:rsidRPr="00700F5F">
        <w:t xml:space="preserve">More effective regulation of energy profits, including through improved transparency and reporting. </w:t>
      </w:r>
    </w:p>
    <w:p w14:paraId="0946CCEC" w14:textId="77777777" w:rsidR="00447D3C" w:rsidRDefault="00447D3C" w:rsidP="00447D3C">
      <w:pPr>
        <w:autoSpaceDE w:val="0"/>
        <w:autoSpaceDN w:val="0"/>
        <w:adjustRightInd w:val="0"/>
        <w:spacing w:before="0" w:line="240" w:lineRule="auto"/>
        <w:rPr>
          <w:b/>
          <w:color w:val="CC0000"/>
        </w:rPr>
      </w:pPr>
    </w:p>
    <w:p w14:paraId="7C303D8B" w14:textId="77777777" w:rsidR="00447D3C" w:rsidRPr="00D64078" w:rsidRDefault="00447D3C" w:rsidP="00447D3C">
      <w:pPr>
        <w:autoSpaceDE w:val="0"/>
        <w:autoSpaceDN w:val="0"/>
        <w:adjustRightInd w:val="0"/>
        <w:spacing w:before="0" w:line="240" w:lineRule="auto"/>
        <w:rPr>
          <w:rFonts w:eastAsiaTheme="minorEastAsia"/>
          <w:color w:val="000000"/>
          <w:sz w:val="20"/>
          <w:szCs w:val="20"/>
          <w:lang w:eastAsia="en-US"/>
        </w:rPr>
      </w:pPr>
      <w:r>
        <w:rPr>
          <w:b/>
          <w:color w:val="CC0000"/>
        </w:rPr>
        <w:t xml:space="preserve">Recommendation 34: </w:t>
      </w:r>
      <w:r>
        <w:t xml:space="preserve"> Shift green schemes off electricity bills and on to government budgets.</w:t>
      </w:r>
    </w:p>
    <w:p w14:paraId="61B5E618" w14:textId="77777777" w:rsidR="00447D3C" w:rsidRDefault="00447D3C" w:rsidP="00447D3C">
      <w:pPr>
        <w:keepNext/>
        <w:pBdr>
          <w:top w:val="nil"/>
          <w:left w:val="nil"/>
          <w:bottom w:val="nil"/>
          <w:right w:val="nil"/>
          <w:between w:val="nil"/>
        </w:pBdr>
        <w:spacing w:before="0"/>
      </w:pPr>
    </w:p>
    <w:p w14:paraId="1A491671" w14:textId="77777777" w:rsidR="00447D3C" w:rsidRDefault="00447D3C" w:rsidP="00447D3C">
      <w:pPr>
        <w:keepNext/>
        <w:pBdr>
          <w:top w:val="nil"/>
          <w:left w:val="nil"/>
          <w:bottom w:val="nil"/>
          <w:right w:val="nil"/>
          <w:between w:val="nil"/>
        </w:pBdr>
        <w:spacing w:before="0"/>
        <w:rPr>
          <w:b/>
          <w:color w:val="000000"/>
        </w:rPr>
      </w:pPr>
      <w:r w:rsidRPr="003152CC">
        <w:rPr>
          <w:b/>
          <w:bCs/>
          <w:color w:val="C00000"/>
        </w:rPr>
        <w:t>Recommendation 35:</w:t>
      </w:r>
      <w:r w:rsidRPr="003152CC">
        <w:rPr>
          <w:color w:val="C00000"/>
        </w:rPr>
        <w:t xml:space="preserve"> </w:t>
      </w:r>
      <w:r w:rsidRPr="009631A4">
        <w:rPr>
          <w:bCs/>
          <w:color w:val="000000"/>
        </w:rPr>
        <w:t>Ensure</w:t>
      </w:r>
      <w:r>
        <w:rPr>
          <w:b/>
          <w:color w:val="000000"/>
        </w:rPr>
        <w:t xml:space="preserve"> </w:t>
      </w:r>
      <w:r w:rsidRPr="00533B12">
        <w:rPr>
          <w:bCs/>
          <w:color w:val="000000"/>
        </w:rPr>
        <w:t>e</w:t>
      </w:r>
      <w:r>
        <w:rPr>
          <w:color w:val="000000"/>
        </w:rPr>
        <w:t xml:space="preserve">veryone can cover basic living costs to afford energy, as well as housing, essential services, health, </w:t>
      </w:r>
      <w:proofErr w:type="gramStart"/>
      <w:r>
        <w:rPr>
          <w:color w:val="000000"/>
        </w:rPr>
        <w:t>education</w:t>
      </w:r>
      <w:proofErr w:type="gramEnd"/>
      <w:r>
        <w:rPr>
          <w:color w:val="000000"/>
        </w:rPr>
        <w:t xml:space="preserve"> and employment. Recommended policies include:</w:t>
      </w:r>
    </w:p>
    <w:p w14:paraId="00EE99DD" w14:textId="77777777" w:rsidR="00447D3C" w:rsidRPr="003152CC" w:rsidRDefault="00447D3C" w:rsidP="00A96744">
      <w:pPr>
        <w:pStyle w:val="ListParagraph"/>
        <w:numPr>
          <w:ilvl w:val="0"/>
          <w:numId w:val="21"/>
        </w:numPr>
        <w:rPr>
          <w:b/>
        </w:rPr>
      </w:pPr>
      <w:r w:rsidRPr="003152CC">
        <w:t xml:space="preserve">Lift base rates of income support payments, including JobSeeker and Youth Allowance to the same level as the pension ($532 per week for a single person, including pension supplement) and index all working-age payments twice per year in line with Consumer Price Index and wages. </w:t>
      </w:r>
    </w:p>
    <w:p w14:paraId="5C915839" w14:textId="77777777" w:rsidR="00447D3C" w:rsidRDefault="00447D3C" w:rsidP="00A96744">
      <w:pPr>
        <w:pStyle w:val="ListParagraph"/>
        <w:numPr>
          <w:ilvl w:val="0"/>
          <w:numId w:val="21"/>
        </w:numPr>
      </w:pPr>
      <w:r w:rsidRPr="003152CC">
        <w:t>Improve the adequacy of payment supplements to meet additional living costs, including by lifting the maximum threshold for Commonwealth Rent Assistance by 50% and by establishing a Disability and Illness Supplement and a Single Parent Supplement</w:t>
      </w:r>
      <w:r>
        <w:t>.</w:t>
      </w:r>
    </w:p>
    <w:p w14:paraId="72C8A4F5" w14:textId="6F4CD248" w:rsidR="007F7E86" w:rsidRPr="007F7E86" w:rsidRDefault="00645A04" w:rsidP="0033158A">
      <w:pPr>
        <w:pStyle w:val="Heading2"/>
      </w:pPr>
      <w:r>
        <w:t>Introduction</w:t>
      </w:r>
    </w:p>
    <w:p w14:paraId="411D995C" w14:textId="77777777" w:rsidR="0021444D" w:rsidRDefault="0021444D" w:rsidP="0033158A">
      <w:r>
        <w:t xml:space="preserve">Energy is an essential service. </w:t>
      </w:r>
      <w:r w:rsidRPr="00FF7080">
        <w:t xml:space="preserve">For people, it is critical to health, social, and economic </w:t>
      </w:r>
      <w:r>
        <w:t xml:space="preserve">wellbeing. </w:t>
      </w:r>
    </w:p>
    <w:p w14:paraId="5CD10C1B" w14:textId="106761E3" w:rsidR="008255B8" w:rsidRDefault="0021444D" w:rsidP="0033158A">
      <w:pPr>
        <w:rPr>
          <w:b/>
          <w:bCs/>
          <w:shd w:val="clear" w:color="auto" w:fill="FFFFFF"/>
        </w:rPr>
      </w:pPr>
      <w:r w:rsidRPr="001002AB">
        <w:rPr>
          <w:shd w:val="clear" w:color="auto" w:fill="FFFFFF"/>
        </w:rPr>
        <w:t xml:space="preserve">The energy system is changing rapidly and profoundly as part of the inevitable </w:t>
      </w:r>
      <w:r w:rsidR="000C40F2">
        <w:rPr>
          <w:shd w:val="clear" w:color="auto" w:fill="FFFFFF"/>
        </w:rPr>
        <w:t xml:space="preserve">and necessary </w:t>
      </w:r>
      <w:r w:rsidRPr="001002AB">
        <w:rPr>
          <w:shd w:val="clear" w:color="auto" w:fill="FFFFFF"/>
        </w:rPr>
        <w:t>transition to cleaner energy</w:t>
      </w:r>
      <w:r w:rsidR="3465C6E5" w:rsidRPr="001002AB">
        <w:rPr>
          <w:shd w:val="clear" w:color="auto" w:fill="FFFFFF"/>
        </w:rPr>
        <w:t>. That is</w:t>
      </w:r>
      <w:r w:rsidRPr="001002AB">
        <w:rPr>
          <w:shd w:val="clear" w:color="auto" w:fill="FFFFFF"/>
        </w:rPr>
        <w:t xml:space="preserve">, away from a </w:t>
      </w:r>
      <w:r>
        <w:rPr>
          <w:shd w:val="clear" w:color="auto" w:fill="FFFFFF"/>
        </w:rPr>
        <w:t xml:space="preserve">fossil fuel dependent </w:t>
      </w:r>
      <w:r w:rsidRPr="001002AB">
        <w:rPr>
          <w:shd w:val="clear" w:color="auto" w:fill="FFFFFF"/>
        </w:rPr>
        <w:t xml:space="preserve">centralised energy system to a more distributed </w:t>
      </w:r>
      <w:r>
        <w:rPr>
          <w:shd w:val="clear" w:color="auto" w:fill="FFFFFF"/>
        </w:rPr>
        <w:t xml:space="preserve">renewable </w:t>
      </w:r>
      <w:r w:rsidRPr="001002AB">
        <w:rPr>
          <w:shd w:val="clear" w:color="auto" w:fill="FFFFFF"/>
        </w:rPr>
        <w:t>energy system in which energy users can generate, store and trade as well as consume their own energy</w:t>
      </w:r>
      <w:r w:rsidRPr="0000385A">
        <w:rPr>
          <w:b/>
          <w:bCs/>
          <w:shd w:val="clear" w:color="auto" w:fill="FFFFFF"/>
        </w:rPr>
        <w:t xml:space="preserve">. </w:t>
      </w:r>
    </w:p>
    <w:p w14:paraId="16485BDA" w14:textId="7CC47BE5" w:rsidR="003048EF" w:rsidRDefault="008255B8" w:rsidP="0033158A">
      <w:pPr>
        <w:rPr>
          <w:rStyle w:val="normaltextrun"/>
          <w:rFonts w:cstheme="minorBidi"/>
          <w:color w:val="000000"/>
          <w:shd w:val="clear" w:color="auto" w:fill="FFFFFF"/>
        </w:rPr>
      </w:pPr>
      <w:r w:rsidRPr="003048EF">
        <w:rPr>
          <w:shd w:val="clear" w:color="auto" w:fill="FFFFFF"/>
        </w:rPr>
        <w:t>However,</w:t>
      </w:r>
      <w:r>
        <w:rPr>
          <w:b/>
          <w:bCs/>
          <w:shd w:val="clear" w:color="auto" w:fill="FFFFFF"/>
        </w:rPr>
        <w:t xml:space="preserve"> </w:t>
      </w:r>
      <w:r w:rsidR="5E21E733">
        <w:rPr>
          <w:b/>
          <w:bCs/>
          <w:shd w:val="clear" w:color="auto" w:fill="FFFFFF"/>
        </w:rPr>
        <w:t>c</w:t>
      </w:r>
      <w:r w:rsidRPr="1B4F636D">
        <w:rPr>
          <w:rStyle w:val="normaltextrun"/>
          <w:rFonts w:cstheme="minorBidi"/>
          <w:color w:val="000000"/>
          <w:shd w:val="clear" w:color="auto" w:fill="FFFFFF"/>
        </w:rPr>
        <w:t xml:space="preserve">limate change and energy transition policies continue to be poorly targeted and inequitable, largely benefiting people with wealth, </w:t>
      </w:r>
      <w:proofErr w:type="gramStart"/>
      <w:r w:rsidRPr="1B4F636D">
        <w:rPr>
          <w:rStyle w:val="normaltextrun"/>
          <w:rFonts w:cstheme="minorBidi"/>
          <w:color w:val="000000"/>
          <w:shd w:val="clear" w:color="auto" w:fill="FFFFFF"/>
        </w:rPr>
        <w:t>choice</w:t>
      </w:r>
      <w:proofErr w:type="gramEnd"/>
      <w:r w:rsidRPr="1B4F636D">
        <w:rPr>
          <w:rStyle w:val="normaltextrun"/>
          <w:rFonts w:cstheme="minorBidi"/>
          <w:color w:val="000000"/>
          <w:shd w:val="clear" w:color="auto" w:fill="FFFFFF"/>
        </w:rPr>
        <w:t xml:space="preserve"> and control. This leaves people experiencing disadvantage paying disproportionately more for the energy bills and towards the cost of the transition to clean energy, while missing out on the benefits delivered through energy efficiency, electrification, rooftop solar, batteries, electric vehicles, or potential new jobs.</w:t>
      </w:r>
    </w:p>
    <w:p w14:paraId="75857A1A" w14:textId="74C5AD4C" w:rsidR="003048EF" w:rsidRDefault="008255B8" w:rsidP="0033158A">
      <w:pPr>
        <w:rPr>
          <w:rStyle w:val="eop"/>
          <w:rFonts w:cs="Calibri"/>
          <w:color w:val="000000"/>
          <w:shd w:val="clear" w:color="auto" w:fill="FFFFFF"/>
        </w:rPr>
      </w:pPr>
      <w:r w:rsidRPr="00B51D58">
        <w:rPr>
          <w:rStyle w:val="normaltextrun"/>
          <w:rFonts w:cs="Calibri"/>
          <w:color w:val="000000"/>
          <w:shd w:val="clear" w:color="auto" w:fill="FFFFFF"/>
          <w:lang w:val="en-GB"/>
        </w:rPr>
        <w:t xml:space="preserve">In a recent national survey of people on low incomes, 97% indicated they were struggling to afford their energy bills and are running out of options. People reported taking drastic measures like not heating their home in the middle of winter, turning </w:t>
      </w:r>
      <w:r w:rsidRPr="00B51D58">
        <w:rPr>
          <w:rStyle w:val="normaltextrun"/>
          <w:rFonts w:cs="Calibri"/>
          <w:color w:val="000000"/>
          <w:shd w:val="clear" w:color="auto" w:fill="FFFFFF"/>
          <w:lang w:val="en-GB"/>
        </w:rPr>
        <w:lastRenderedPageBreak/>
        <w:t>fridges off overnight, limiting showers, not having visitors, and going without food or medicine to afford their bills.</w:t>
      </w:r>
      <w:r w:rsidR="00701A83" w:rsidRPr="00B51D58">
        <w:rPr>
          <w:rStyle w:val="FootnoteReference"/>
          <w:rFonts w:cs="Calibri"/>
          <w:color w:val="000000"/>
          <w:shd w:val="clear" w:color="auto" w:fill="FFFFFF"/>
          <w:lang w:val="en-GB"/>
        </w:rPr>
        <w:footnoteReference w:id="4"/>
      </w:r>
      <w:r w:rsidR="00701A83" w:rsidRPr="00B51D58">
        <w:rPr>
          <w:rStyle w:val="normaltextrun"/>
          <w:rFonts w:cs="Calibri"/>
          <w:color w:val="000000"/>
          <w:shd w:val="clear" w:color="auto" w:fill="FFFFFF"/>
          <w:lang w:val="en-GB"/>
        </w:rPr>
        <w:t xml:space="preserve"> </w:t>
      </w:r>
      <w:r w:rsidR="005F0649" w:rsidRPr="1CBFF716" w:rsidDel="64408B3C">
        <w:rPr>
          <w:rFonts w:eastAsiaTheme="minorEastAsia"/>
        </w:rPr>
        <w:t>S</w:t>
      </w:r>
      <w:r w:rsidR="005F0649" w:rsidRPr="1CBFF716">
        <w:rPr>
          <w:rFonts w:eastAsiaTheme="minorEastAsia"/>
        </w:rPr>
        <w:t>ome people are turning to credit products such as Buy Now Pay Later to pay for energy bills,</w:t>
      </w:r>
      <w:r w:rsidR="005F0649" w:rsidRPr="1CBFF716">
        <w:rPr>
          <w:rFonts w:eastAsiaTheme="minorEastAsia"/>
          <w:vertAlign w:val="superscript"/>
        </w:rPr>
        <w:footnoteReference w:id="5"/>
      </w:r>
      <w:r w:rsidR="005F0649" w:rsidRPr="1CBFF716">
        <w:rPr>
          <w:rFonts w:eastAsiaTheme="minorEastAsia"/>
        </w:rPr>
        <w:t xml:space="preserve"> further increasing their costs of energy, with some falling into spiralling debt.</w:t>
      </w:r>
      <w:r w:rsidR="005F0649" w:rsidRPr="1CBFF716">
        <w:rPr>
          <w:rStyle w:val="FootnoteReference"/>
          <w:rFonts w:eastAsiaTheme="minorEastAsia"/>
        </w:rPr>
        <w:footnoteReference w:id="6"/>
      </w:r>
      <w:r w:rsidR="005F0649" w:rsidRPr="1CBFF716">
        <w:rPr>
          <w:rFonts w:eastAsiaTheme="minorEastAsia"/>
        </w:rPr>
        <w:t xml:space="preserve"> </w:t>
      </w:r>
      <w:r w:rsidRPr="00B51D58">
        <w:rPr>
          <w:rStyle w:val="normaltextrun"/>
          <w:rFonts w:cs="Calibri"/>
          <w:color w:val="000000"/>
          <w:shd w:val="clear" w:color="auto" w:fill="FFFFFF"/>
          <w:lang w:val="en-GB"/>
        </w:rPr>
        <w:t>People are getting sick and dying because they cannot heat their homes in winter and cool them in summer.</w:t>
      </w:r>
      <w:r w:rsidR="00701A83">
        <w:rPr>
          <w:rStyle w:val="FootnoteReference"/>
          <w:rFonts w:cs="Calibri"/>
          <w:color w:val="000000"/>
          <w:shd w:val="clear" w:color="auto" w:fill="FFFFFF"/>
          <w:lang w:val="en-GB"/>
        </w:rPr>
        <w:footnoteReference w:id="7"/>
      </w:r>
      <w:r w:rsidR="00701A83" w:rsidRPr="00B51D58">
        <w:rPr>
          <w:rStyle w:val="eop"/>
          <w:rFonts w:cs="Calibri"/>
          <w:color w:val="000000"/>
          <w:shd w:val="clear" w:color="auto" w:fill="FFFFFF"/>
        </w:rPr>
        <w:t> </w:t>
      </w:r>
    </w:p>
    <w:p w14:paraId="2D0F9893" w14:textId="4C272704" w:rsidR="00DF084B" w:rsidRDefault="00701A83" w:rsidP="0033158A">
      <w:pPr>
        <w:rPr>
          <w:rFonts w:eastAsiaTheme="minorEastAsia"/>
        </w:rPr>
      </w:pPr>
      <w:r>
        <w:t>People on low income spend four times more of their income on energy compared to people on higher incomes.</w:t>
      </w:r>
      <w:r>
        <w:rPr>
          <w:rStyle w:val="FootnoteReference"/>
        </w:rPr>
        <w:footnoteReference w:id="8"/>
      </w:r>
      <w:r>
        <w:t xml:space="preserve"> </w:t>
      </w:r>
      <w:r w:rsidR="008255B8" w:rsidRPr="00B51D58">
        <w:rPr>
          <w:rStyle w:val="eop"/>
          <w:rFonts w:cs="Calibri"/>
          <w:color w:val="000000"/>
          <w:shd w:val="clear" w:color="auto" w:fill="FFFFFF"/>
        </w:rPr>
        <w:t>According to the Australian Energy Regulator</w:t>
      </w:r>
      <w:r w:rsidR="002A3C07">
        <w:rPr>
          <w:rStyle w:val="normaltextrun"/>
          <w:rFonts w:cs="Calibri"/>
          <w:color w:val="000000"/>
          <w:shd w:val="clear" w:color="auto" w:fill="FFFFFF"/>
          <w:lang w:val="en-GB"/>
        </w:rPr>
        <w:t xml:space="preserve">s </w:t>
      </w:r>
      <w:r w:rsidR="002A3C07" w:rsidRPr="1B4F636D">
        <w:rPr>
          <w:rStyle w:val="normaltextrun"/>
          <w:rFonts w:cs="Calibri"/>
          <w:i/>
          <w:color w:val="000000"/>
          <w:shd w:val="clear" w:color="auto" w:fill="FFFFFF"/>
          <w:lang w:val="en-GB"/>
        </w:rPr>
        <w:t>State of the Energy Market</w:t>
      </w:r>
      <w:r w:rsidR="002A3C07">
        <w:rPr>
          <w:rStyle w:val="normaltextrun"/>
          <w:rFonts w:cs="Calibri"/>
          <w:color w:val="000000"/>
          <w:shd w:val="clear" w:color="auto" w:fill="FFFFFF"/>
          <w:lang w:val="en-GB"/>
        </w:rPr>
        <w:t xml:space="preserve"> </w:t>
      </w:r>
      <w:r w:rsidR="3D7459CC" w:rsidRPr="1B4F636D">
        <w:rPr>
          <w:rStyle w:val="normaltextrun"/>
          <w:rFonts w:cs="Calibri"/>
          <w:i/>
          <w:iCs/>
          <w:color w:val="000000"/>
          <w:shd w:val="clear" w:color="auto" w:fill="FFFFFF"/>
          <w:lang w:val="en-GB"/>
        </w:rPr>
        <w:t>R</w:t>
      </w:r>
      <w:r w:rsidR="002A3C07" w:rsidRPr="1B4F636D">
        <w:rPr>
          <w:rStyle w:val="normaltextrun"/>
          <w:rFonts w:cs="Calibri"/>
          <w:i/>
          <w:iCs/>
          <w:color w:val="000000"/>
          <w:shd w:val="clear" w:color="auto" w:fill="FFFFFF"/>
          <w:lang w:val="en-GB"/>
        </w:rPr>
        <w:t>eport</w:t>
      </w:r>
      <w:r w:rsidR="002A3C07" w:rsidRPr="1B4F636D">
        <w:rPr>
          <w:rStyle w:val="normaltextrun"/>
          <w:rFonts w:cs="Calibri"/>
          <w:i/>
          <w:color w:val="000000"/>
          <w:shd w:val="clear" w:color="auto" w:fill="FFFFFF"/>
          <w:lang w:val="en-GB"/>
        </w:rPr>
        <w:t xml:space="preserve"> 2023</w:t>
      </w:r>
      <w:r w:rsidR="00786550">
        <w:rPr>
          <w:rStyle w:val="normaltextrun"/>
          <w:rFonts w:cs="Calibri"/>
          <w:color w:val="000000"/>
          <w:shd w:val="clear" w:color="auto" w:fill="FFFFFF"/>
          <w:lang w:val="en-GB"/>
        </w:rPr>
        <w:t>,</w:t>
      </w:r>
      <w:r w:rsidR="008255B8" w:rsidRPr="00B51D58">
        <w:rPr>
          <w:rStyle w:val="normaltextrun"/>
          <w:rFonts w:cs="Calibri"/>
          <w:color w:val="000000"/>
          <w:shd w:val="clear" w:color="auto" w:fill="FFFFFF"/>
          <w:lang w:val="en-GB"/>
        </w:rPr>
        <w:t xml:space="preserve"> energy equity, particularly affordability, remains a significant concern in energy markets.</w:t>
      </w:r>
      <w:r w:rsidRPr="00B51D58">
        <w:rPr>
          <w:rStyle w:val="FootnoteReference"/>
          <w:rFonts w:cs="Calibri"/>
          <w:color w:val="000000"/>
          <w:shd w:val="clear" w:color="auto" w:fill="FFFFFF"/>
          <w:lang w:val="en-GB"/>
        </w:rPr>
        <w:footnoteReference w:id="9"/>
      </w:r>
      <w:r w:rsidRPr="00B51D58">
        <w:rPr>
          <w:rStyle w:val="eop"/>
          <w:rFonts w:cs="Calibri"/>
          <w:color w:val="000000"/>
          <w:shd w:val="clear" w:color="auto" w:fill="FFFFFF"/>
        </w:rPr>
        <w:t> </w:t>
      </w:r>
      <w:r w:rsidR="00DF084B">
        <w:rPr>
          <w:rStyle w:val="eop"/>
          <w:rFonts w:cs="Calibri"/>
          <w:color w:val="000000"/>
          <w:shd w:val="clear" w:color="auto" w:fill="FFFFFF"/>
        </w:rPr>
        <w:t>T</w:t>
      </w:r>
      <w:r w:rsidR="00DF084B" w:rsidRPr="07A6EC6E">
        <w:rPr>
          <w:rFonts w:eastAsiaTheme="minorEastAsia"/>
        </w:rPr>
        <w:t>he AER noted that “customers experiencing vulnerability are likely to face additional challenges keeping energy bills low because they may be less able to implement some of the most effective means of reducing energy bills, including modifying energy use, making home energy efficiency upgrades, adopting new technologies and shopping around for better deals. As such, customers experiencing vulnerability are more susceptible to periods of high energy prices and disproportionately represented in the number of customers experiencing debt, hardship, and disconnection.”</w:t>
      </w:r>
      <w:r w:rsidR="00DF084B" w:rsidRPr="07A6EC6E">
        <w:rPr>
          <w:rStyle w:val="FootnoteReference"/>
          <w:rFonts w:eastAsiaTheme="minorEastAsia"/>
        </w:rPr>
        <w:footnoteReference w:id="10"/>
      </w:r>
    </w:p>
    <w:p w14:paraId="506B465F" w14:textId="621CD3FE" w:rsidR="003048EF" w:rsidRDefault="008255B8" w:rsidP="0033158A">
      <w:r w:rsidRPr="00B51D58">
        <w:t xml:space="preserve">Energy affordability, combined with </w:t>
      </w:r>
      <w:r w:rsidR="06D2DBF6" w:rsidRPr="00B51D58">
        <w:t xml:space="preserve">an </w:t>
      </w:r>
      <w:r w:rsidRPr="00B51D58">
        <w:t xml:space="preserve">ongoing cost of living crisis </w:t>
      </w:r>
      <w:r w:rsidR="5703A2E1" w:rsidRPr="00B51D58">
        <w:t>is</w:t>
      </w:r>
      <w:r w:rsidRPr="00B51D58">
        <w:t xml:space="preserve"> sending people and communities to break point. Recent polling </w:t>
      </w:r>
      <w:r>
        <w:t xml:space="preserve">shows </w:t>
      </w:r>
      <w:r w:rsidRPr="00B51D58">
        <w:t>support for action on climate change is slipping in priority as cost of living takes precedence.</w:t>
      </w:r>
      <w:r w:rsidR="00CC5370">
        <w:rPr>
          <w:rStyle w:val="FootnoteReference"/>
        </w:rPr>
        <w:footnoteReference w:id="11"/>
      </w:r>
      <w:r w:rsidR="00CC5370" w:rsidRPr="00B51D58">
        <w:t xml:space="preserve"> </w:t>
      </w:r>
      <w:r w:rsidRPr="00B51D58">
        <w:t>People and communities will not get behind a faster transition if we do not simultaneously address cost of living and put people at the centre of the transition.</w:t>
      </w:r>
    </w:p>
    <w:p w14:paraId="142AAFA4" w14:textId="0CB68078" w:rsidR="008255B8" w:rsidRPr="003048EF" w:rsidRDefault="008255B8" w:rsidP="0033158A">
      <w:pPr>
        <w:rPr>
          <w:b/>
          <w:bCs/>
          <w:shd w:val="clear" w:color="auto" w:fill="FFFFFF"/>
        </w:rPr>
      </w:pPr>
      <w:r w:rsidRPr="00B51D58">
        <w:t>Investment in distributed clean energy – rooftop solar, electric hot water, electric heating and cooling, insulation, batteries, and electric vehicles – targeting people on low-incomes, would build industries of the future, create thousands of jobs in manufacturing and installation, provide cost of living relief, improve energy reliability, and cut poverty and inequality.</w:t>
      </w:r>
    </w:p>
    <w:p w14:paraId="713E328E" w14:textId="4BDBA446" w:rsidR="008255B8" w:rsidRDefault="008255B8" w:rsidP="0033158A">
      <w:pPr>
        <w:rPr>
          <w:b/>
          <w:bCs/>
          <w:shd w:val="clear" w:color="auto" w:fill="FFFFFF"/>
        </w:rPr>
      </w:pPr>
      <w:r w:rsidRPr="00B51D58">
        <w:t>We cannot keep prioritising profitable big industries ahead of people who are doing it tough, and struggling to afford housing, energy, transport, medicine and to put food on the table.</w:t>
      </w:r>
      <w:r w:rsidRPr="00B51D58">
        <w:rPr>
          <w:rStyle w:val="normaltextrun"/>
          <w:color w:val="000000"/>
          <w:shd w:val="clear" w:color="auto" w:fill="FFFFFF"/>
          <w:lang w:val="en-US"/>
        </w:rPr>
        <w:t xml:space="preserve"> We must put people and communities experiencing financial and social disadvantage at the center of policy making and funding decisions</w:t>
      </w:r>
      <w:r w:rsidR="37A10274" w:rsidRPr="00B51D58">
        <w:rPr>
          <w:rStyle w:val="normaltextrun"/>
          <w:color w:val="000000"/>
          <w:shd w:val="clear" w:color="auto" w:fill="FFFFFF"/>
          <w:lang w:val="en-US"/>
        </w:rPr>
        <w:t>,</w:t>
      </w:r>
      <w:r w:rsidRPr="00B51D58">
        <w:rPr>
          <w:rStyle w:val="normaltextrun"/>
          <w:color w:val="000000"/>
          <w:shd w:val="clear" w:color="auto" w:fill="FFFFFF"/>
          <w:lang w:val="en-US"/>
        </w:rPr>
        <w:t xml:space="preserve"> and embed fairness and inclusion in plans for a rapid transition to a clean energy economy</w:t>
      </w:r>
    </w:p>
    <w:p w14:paraId="093F32FB" w14:textId="77777777" w:rsidR="0021444D" w:rsidRPr="001C49DB" w:rsidRDefault="0021444D" w:rsidP="0033158A">
      <w:pPr>
        <w:rPr>
          <w:shd w:val="clear" w:color="auto" w:fill="FFFFFF"/>
        </w:rPr>
      </w:pPr>
      <w:r w:rsidRPr="001C49DB">
        <w:rPr>
          <w:shd w:val="clear" w:color="auto" w:fill="FFFFFF"/>
        </w:rPr>
        <w:lastRenderedPageBreak/>
        <w:t>If we get it right, the future energy won’t just be clean, it will also be cheaper and fairer for everyone. But if we get it wrong, then people who can’t afford or access new technologies could be left behind and inequality will increase.</w:t>
      </w:r>
    </w:p>
    <w:p w14:paraId="6DA39FDB" w14:textId="75F86E71" w:rsidR="00673641" w:rsidRDefault="00A21F89" w:rsidP="0033158A">
      <w:pPr>
        <w:rPr>
          <w:rStyle w:val="eop"/>
        </w:rPr>
      </w:pPr>
      <w:r>
        <w:rPr>
          <w:rStyle w:val="eop"/>
        </w:rPr>
        <w:t xml:space="preserve">To this end ACOSS welcomes the inclusion </w:t>
      </w:r>
      <w:r w:rsidR="004940D9">
        <w:rPr>
          <w:rStyle w:val="eop"/>
        </w:rPr>
        <w:t>of ‘equity’ and ‘affordability’ in the</w:t>
      </w:r>
      <w:r w:rsidR="00C61AD2">
        <w:rPr>
          <w:rStyle w:val="eop"/>
        </w:rPr>
        <w:t xml:space="preserve"> Electricity and Energy Sector Plan Vision and Objectives</w:t>
      </w:r>
      <w:r w:rsidR="009F1BA3">
        <w:rPr>
          <w:rStyle w:val="eop"/>
        </w:rPr>
        <w:t>.</w:t>
      </w:r>
      <w:r w:rsidR="004940D9">
        <w:rPr>
          <w:rStyle w:val="eop"/>
        </w:rPr>
        <w:t xml:space="preserve"> </w:t>
      </w:r>
    </w:p>
    <w:p w14:paraId="48FAE23E" w14:textId="4B9BFF2E" w:rsidR="00673641" w:rsidRDefault="00757B38" w:rsidP="0033158A">
      <w:pPr>
        <w:rPr>
          <w:rStyle w:val="eop"/>
        </w:rPr>
      </w:pPr>
      <w:r>
        <w:rPr>
          <w:rStyle w:val="eop"/>
        </w:rPr>
        <w:t>Our submission will focus on how the Energy Sector Plan can better achieve this</w:t>
      </w:r>
      <w:r w:rsidR="002B5E42">
        <w:rPr>
          <w:rStyle w:val="eop"/>
        </w:rPr>
        <w:t>.</w:t>
      </w:r>
    </w:p>
    <w:p w14:paraId="522B5C41" w14:textId="5C200CE9" w:rsidR="00E920B9" w:rsidRDefault="00E920B9" w:rsidP="0033158A">
      <w:pPr>
        <w:rPr>
          <w:rStyle w:val="eop"/>
        </w:rPr>
      </w:pPr>
      <w:r>
        <w:rPr>
          <w:rStyle w:val="eop"/>
        </w:rPr>
        <w:t xml:space="preserve">We will respond to the key questions in the discussions </w:t>
      </w:r>
      <w:r w:rsidRPr="1B4F636D">
        <w:rPr>
          <w:rStyle w:val="eop"/>
        </w:rPr>
        <w:t>paper</w:t>
      </w:r>
      <w:r w:rsidR="242E7D50" w:rsidRPr="1B4F636D">
        <w:rPr>
          <w:rStyle w:val="eop"/>
        </w:rPr>
        <w:t>’s</w:t>
      </w:r>
      <w:r>
        <w:rPr>
          <w:rStyle w:val="eop"/>
        </w:rPr>
        <w:t xml:space="preserve"> 5 proposed focus areas</w:t>
      </w:r>
      <w:r w:rsidR="00E53C8B">
        <w:rPr>
          <w:rStyle w:val="eop"/>
        </w:rPr>
        <w:t>:</w:t>
      </w:r>
    </w:p>
    <w:p w14:paraId="2D9C45BA" w14:textId="6479BACD" w:rsidR="00E53C8B" w:rsidRDefault="00E53C8B" w:rsidP="00A96744">
      <w:pPr>
        <w:pStyle w:val="ListParagraph"/>
        <w:numPr>
          <w:ilvl w:val="0"/>
          <w:numId w:val="3"/>
        </w:numPr>
        <w:rPr>
          <w:rStyle w:val="eop"/>
        </w:rPr>
      </w:pPr>
      <w:r>
        <w:rPr>
          <w:rStyle w:val="eop"/>
        </w:rPr>
        <w:t>Mobilising investment</w:t>
      </w:r>
      <w:r w:rsidR="233C6FB3" w:rsidRPr="1B4F636D">
        <w:rPr>
          <w:rStyle w:val="eop"/>
        </w:rPr>
        <w:t>.</w:t>
      </w:r>
    </w:p>
    <w:p w14:paraId="24AE8615" w14:textId="6F7B1957" w:rsidR="00E53C8B" w:rsidRDefault="00E53C8B" w:rsidP="00A96744">
      <w:pPr>
        <w:pStyle w:val="ListParagraph"/>
        <w:numPr>
          <w:ilvl w:val="0"/>
          <w:numId w:val="3"/>
        </w:numPr>
      </w:pPr>
      <w:r>
        <w:t>Enabling electrification</w:t>
      </w:r>
      <w:r w:rsidR="233C6FB3">
        <w:t>.</w:t>
      </w:r>
    </w:p>
    <w:p w14:paraId="1A5075CA" w14:textId="7470AFCC" w:rsidR="00E53C8B" w:rsidRDefault="00E53C8B" w:rsidP="00A96744">
      <w:pPr>
        <w:pStyle w:val="ListParagraph"/>
        <w:numPr>
          <w:ilvl w:val="0"/>
          <w:numId w:val="3"/>
        </w:numPr>
      </w:pPr>
      <w:r>
        <w:t>Growing alternative low carbon fuels</w:t>
      </w:r>
      <w:r w:rsidR="3C46F5FE">
        <w:t>.</w:t>
      </w:r>
    </w:p>
    <w:p w14:paraId="2960F8D6" w14:textId="54C71949" w:rsidR="00E53C8B" w:rsidRDefault="00E53C8B" w:rsidP="00A96744">
      <w:pPr>
        <w:pStyle w:val="ListParagraph"/>
        <w:numPr>
          <w:ilvl w:val="0"/>
          <w:numId w:val="3"/>
        </w:numPr>
      </w:pPr>
      <w:r>
        <w:t xml:space="preserve">Building Australia’s </w:t>
      </w:r>
      <w:r w:rsidR="77284E08">
        <w:t>c</w:t>
      </w:r>
      <w:r>
        <w:t>lean energy workforce</w:t>
      </w:r>
      <w:r w:rsidR="21E75176">
        <w:t>.</w:t>
      </w:r>
    </w:p>
    <w:p w14:paraId="01BC2DC6" w14:textId="5ABA7EDC" w:rsidR="00E53C8B" w:rsidRDefault="00E53C8B" w:rsidP="00A96744">
      <w:pPr>
        <w:pStyle w:val="ListParagraph"/>
        <w:numPr>
          <w:ilvl w:val="0"/>
          <w:numId w:val="3"/>
        </w:numPr>
      </w:pPr>
      <w:r>
        <w:t>Maximising outcomes for people and businesses</w:t>
      </w:r>
      <w:r w:rsidR="21E75176">
        <w:t>.</w:t>
      </w:r>
    </w:p>
    <w:p w14:paraId="323C3CBF" w14:textId="77777777" w:rsidR="00584DDE" w:rsidRDefault="00E53C8B" w:rsidP="0021209E">
      <w:pPr>
        <w:pStyle w:val="List3"/>
        <w:ind w:left="0" w:firstLine="0"/>
      </w:pPr>
      <w:r>
        <w:t>However, we beli</w:t>
      </w:r>
      <w:r w:rsidR="005D5D36">
        <w:t xml:space="preserve">eve there are a few key areas not covered in the discussion paper that we will </w:t>
      </w:r>
      <w:r w:rsidR="00584DDE">
        <w:t>a</w:t>
      </w:r>
      <w:r w:rsidR="005D5D36">
        <w:t>ls</w:t>
      </w:r>
      <w:r w:rsidR="00584DDE">
        <w:t>o</w:t>
      </w:r>
      <w:r w:rsidR="005D5D36">
        <w:t xml:space="preserve"> </w:t>
      </w:r>
      <w:r w:rsidR="00584DDE">
        <w:t>briefly</w:t>
      </w:r>
      <w:r w:rsidR="005D5D36">
        <w:t xml:space="preserve"> touch on including:</w:t>
      </w:r>
    </w:p>
    <w:p w14:paraId="792EE513" w14:textId="77777777" w:rsidR="008F133C" w:rsidRDefault="008F133C" w:rsidP="0033158A">
      <w:pPr>
        <w:pStyle w:val="List3"/>
      </w:pPr>
    </w:p>
    <w:p w14:paraId="2B01B6C9" w14:textId="570F8495" w:rsidR="00E53C8B" w:rsidRDefault="00584DDE" w:rsidP="0005336F">
      <w:pPr>
        <w:pStyle w:val="List3"/>
        <w:numPr>
          <w:ilvl w:val="0"/>
          <w:numId w:val="4"/>
        </w:numPr>
      </w:pPr>
      <w:r>
        <w:t>Emissions reduction targets</w:t>
      </w:r>
      <w:r w:rsidR="2556C33A">
        <w:t>.</w:t>
      </w:r>
    </w:p>
    <w:p w14:paraId="3D32DF1E" w14:textId="673DE385" w:rsidR="00584DDE" w:rsidRDefault="00584DDE" w:rsidP="0005336F">
      <w:pPr>
        <w:pStyle w:val="List3"/>
        <w:numPr>
          <w:ilvl w:val="0"/>
          <w:numId w:val="4"/>
        </w:numPr>
      </w:pPr>
      <w:r>
        <w:t>Governance</w:t>
      </w:r>
      <w:r w:rsidR="2556C33A">
        <w:t>.</w:t>
      </w:r>
    </w:p>
    <w:p w14:paraId="6038950C" w14:textId="1D46EE75" w:rsidR="00584DDE" w:rsidRPr="00E53C8B" w:rsidRDefault="00584DDE" w:rsidP="0005336F">
      <w:pPr>
        <w:pStyle w:val="List3"/>
        <w:numPr>
          <w:ilvl w:val="0"/>
          <w:numId w:val="4"/>
        </w:numPr>
      </w:pPr>
      <w:r>
        <w:t>Demand side management</w:t>
      </w:r>
      <w:r w:rsidR="0BCA8440">
        <w:t>.</w:t>
      </w:r>
    </w:p>
    <w:p w14:paraId="2C622BD0" w14:textId="77BAE64E" w:rsidR="002B5E42" w:rsidRDefault="00746B14" w:rsidP="0033158A">
      <w:pPr>
        <w:rPr>
          <w:rStyle w:val="eop"/>
        </w:rPr>
      </w:pPr>
      <w:r>
        <w:rPr>
          <w:rStyle w:val="eop"/>
        </w:rPr>
        <w:t>We</w:t>
      </w:r>
      <w:r w:rsidR="00701B44">
        <w:rPr>
          <w:rStyle w:val="eop"/>
        </w:rPr>
        <w:t xml:space="preserve"> refer the Department the following submissions</w:t>
      </w:r>
      <w:r w:rsidR="0002029D">
        <w:rPr>
          <w:rStyle w:val="eop"/>
        </w:rPr>
        <w:t xml:space="preserve">, where further </w:t>
      </w:r>
      <w:r w:rsidR="00E53C8B">
        <w:rPr>
          <w:rStyle w:val="eop"/>
        </w:rPr>
        <w:t>evidence and discussion can be found.</w:t>
      </w:r>
    </w:p>
    <w:p w14:paraId="4345CB8B" w14:textId="658080A8" w:rsidR="00B95DE9" w:rsidRPr="005D20E5" w:rsidRDefault="003943CB" w:rsidP="0033158A">
      <w:pPr>
        <w:rPr>
          <w:color w:val="0070C0"/>
        </w:rPr>
      </w:pPr>
      <w:hyperlink r:id="rId17" w:history="1">
        <w:r w:rsidR="00B95DE9" w:rsidRPr="005D20E5">
          <w:rPr>
            <w:color w:val="0070C0"/>
            <w:u w:val="single"/>
          </w:rPr>
          <w:t>First Nations Clean Energy Strategy: consultation pape</w:t>
        </w:r>
        <w:r w:rsidR="00A30A33" w:rsidRPr="005D20E5">
          <w:rPr>
            <w:color w:val="0070C0"/>
            <w:u w:val="single"/>
          </w:rPr>
          <w:t>r 2024</w:t>
        </w:r>
      </w:hyperlink>
    </w:p>
    <w:bookmarkStart w:id="0" w:name="_Hlk165244832"/>
    <w:p w14:paraId="0D8E2090" w14:textId="48F0BA60" w:rsidR="00763D68" w:rsidRPr="005D20E5" w:rsidRDefault="00763D68" w:rsidP="0033158A">
      <w:pPr>
        <w:rPr>
          <w:color w:val="0070C0"/>
        </w:rPr>
      </w:pPr>
      <w:r w:rsidRPr="005D20E5">
        <w:rPr>
          <w:color w:val="0070C0"/>
        </w:rPr>
        <w:fldChar w:fldCharType="begin"/>
      </w:r>
      <w:r w:rsidRPr="005D20E5">
        <w:rPr>
          <w:color w:val="0070C0"/>
        </w:rPr>
        <w:instrText>HYPERLINK "https://www.acoss.org.au/wp-content/uploads/2023/10/ACOSS-Submission-on-Senate-Inquiry-on-Electrification-12102023-Final.pdf"</w:instrText>
      </w:r>
      <w:r w:rsidRPr="005D20E5">
        <w:rPr>
          <w:color w:val="0070C0"/>
        </w:rPr>
      </w:r>
      <w:r w:rsidRPr="005D20E5">
        <w:rPr>
          <w:color w:val="0070C0"/>
        </w:rPr>
        <w:fldChar w:fldCharType="separate"/>
      </w:r>
      <w:r w:rsidRPr="005D20E5">
        <w:rPr>
          <w:color w:val="0070C0"/>
          <w:u w:val="single"/>
        </w:rPr>
        <w:t>ACOSS Submission on Senate Inquiry on Electrificatio</w:t>
      </w:r>
      <w:r w:rsidR="00A30A33" w:rsidRPr="005D20E5">
        <w:rPr>
          <w:color w:val="0070C0"/>
          <w:u w:val="single"/>
        </w:rPr>
        <w:t>n 2024</w:t>
      </w:r>
      <w:r w:rsidRPr="005D20E5">
        <w:rPr>
          <w:color w:val="0070C0"/>
        </w:rPr>
        <w:fldChar w:fldCharType="end"/>
      </w:r>
    </w:p>
    <w:bookmarkEnd w:id="0"/>
    <w:p w14:paraId="7CBA2AFF" w14:textId="77777777" w:rsidR="008D7687" w:rsidRPr="005D20E5" w:rsidRDefault="008D7687" w:rsidP="0033158A">
      <w:pPr>
        <w:rPr>
          <w:color w:val="0070C0"/>
        </w:rPr>
      </w:pPr>
      <w:r w:rsidRPr="005D20E5">
        <w:rPr>
          <w:color w:val="0070C0"/>
        </w:rPr>
        <w:fldChar w:fldCharType="begin"/>
      </w:r>
      <w:r w:rsidRPr="005D20E5">
        <w:rPr>
          <w:color w:val="0070C0"/>
        </w:rPr>
        <w:instrText>HYPERLINK "https://www.acoss.org.au/wp-content/uploads/2021/08/230714-ACOSS-Submission-CCA-Targets-Issues-Paper-2023-Final-2.0.pdf"</w:instrText>
      </w:r>
      <w:r w:rsidRPr="005D20E5">
        <w:rPr>
          <w:color w:val="0070C0"/>
        </w:rPr>
      </w:r>
      <w:r w:rsidRPr="005D20E5">
        <w:rPr>
          <w:color w:val="0070C0"/>
        </w:rPr>
        <w:fldChar w:fldCharType="separate"/>
      </w:r>
      <w:r w:rsidRPr="005D20E5">
        <w:rPr>
          <w:color w:val="0070C0"/>
          <w:u w:val="single"/>
        </w:rPr>
        <w:t>ACOSS Submission CCA Targets Issues Paper 2023</w:t>
      </w:r>
      <w:r w:rsidRPr="005D20E5">
        <w:rPr>
          <w:color w:val="0070C0"/>
        </w:rPr>
        <w:fldChar w:fldCharType="end"/>
      </w:r>
    </w:p>
    <w:p w14:paraId="7D5FBEC2" w14:textId="20938125" w:rsidR="008D7687" w:rsidRPr="005D20E5" w:rsidRDefault="003943CB" w:rsidP="0033158A">
      <w:pPr>
        <w:rPr>
          <w:color w:val="0070C0"/>
        </w:rPr>
      </w:pPr>
      <w:hyperlink r:id="rId18" w:history="1">
        <w:r w:rsidR="008D7687" w:rsidRPr="005D20E5">
          <w:rPr>
            <w:color w:val="0070C0"/>
            <w:u w:val="single"/>
          </w:rPr>
          <w:t>ACOSS submission to NEO consultati</w:t>
        </w:r>
        <w:r w:rsidR="00A30A33" w:rsidRPr="005D20E5">
          <w:rPr>
            <w:color w:val="0070C0"/>
            <w:u w:val="single"/>
          </w:rPr>
          <w:t>on 2023</w:t>
        </w:r>
      </w:hyperlink>
    </w:p>
    <w:p w14:paraId="0B88C16F" w14:textId="185E946A" w:rsidR="00617B54" w:rsidRPr="005D20E5" w:rsidRDefault="003943CB" w:rsidP="0033158A">
      <w:pPr>
        <w:rPr>
          <w:color w:val="0070C0"/>
        </w:rPr>
      </w:pPr>
      <w:hyperlink r:id="rId19" w:history="1">
        <w:r w:rsidR="00617B54" w:rsidRPr="005D20E5">
          <w:rPr>
            <w:color w:val="0070C0"/>
            <w:u w:val="single"/>
          </w:rPr>
          <w:t>ACOSS Submission to National Energy Performance Strateg</w:t>
        </w:r>
        <w:r w:rsidR="00A30A33" w:rsidRPr="005D20E5">
          <w:rPr>
            <w:color w:val="0070C0"/>
            <w:u w:val="single"/>
          </w:rPr>
          <w:t>y 2022</w:t>
        </w:r>
      </w:hyperlink>
      <w:r w:rsidR="00634218" w:rsidRPr="005D20E5">
        <w:rPr>
          <w:color w:val="0070C0"/>
        </w:rPr>
        <w:t xml:space="preserve"> </w:t>
      </w:r>
    </w:p>
    <w:p w14:paraId="59AA5CFE" w14:textId="640469E0" w:rsidR="00980D35" w:rsidRPr="005D20E5" w:rsidRDefault="003943CB" w:rsidP="0033158A">
      <w:pPr>
        <w:rPr>
          <w:rStyle w:val="Hyperlink"/>
          <w:rFonts w:eastAsia="Times New Roman" w:cs="Times New Roman"/>
          <w:color w:val="0070C0"/>
          <w:sz w:val="22"/>
          <w:szCs w:val="22"/>
        </w:rPr>
      </w:pPr>
      <w:hyperlink r:id="rId20" w:history="1">
        <w:r w:rsidR="00A30A33" w:rsidRPr="005D20E5">
          <w:rPr>
            <w:rStyle w:val="Hyperlink"/>
            <w:rFonts w:eastAsia="Times New Roman" w:cs="Times New Roman"/>
            <w:color w:val="0070C0"/>
            <w:sz w:val="22"/>
            <w:szCs w:val="22"/>
          </w:rPr>
          <w:t>ACOSS Submission on Future Gas Strategy 2023</w:t>
        </w:r>
      </w:hyperlink>
    </w:p>
    <w:p w14:paraId="21BFED5D" w14:textId="77777777" w:rsidR="005F3E65" w:rsidRDefault="005F3E65" w:rsidP="005F3E65">
      <w:pPr>
        <w:pBdr>
          <w:top w:val="nil"/>
          <w:left w:val="nil"/>
          <w:bottom w:val="nil"/>
          <w:right w:val="nil"/>
          <w:between w:val="nil"/>
        </w:pBdr>
        <w:spacing w:before="0" w:line="256" w:lineRule="auto"/>
        <w:rPr>
          <w:b/>
          <w:color w:val="CC0000"/>
        </w:rPr>
      </w:pPr>
    </w:p>
    <w:p w14:paraId="6230467A" w14:textId="449F9CF4" w:rsidR="00673641" w:rsidRDefault="00645A04" w:rsidP="0033158A">
      <w:pPr>
        <w:pStyle w:val="Heading2"/>
        <w:rPr>
          <w:rStyle w:val="eop"/>
        </w:rPr>
      </w:pPr>
      <w:r>
        <w:rPr>
          <w:rStyle w:val="eop"/>
        </w:rPr>
        <w:t xml:space="preserve">Discussion and </w:t>
      </w:r>
      <w:r w:rsidR="005C5F45">
        <w:rPr>
          <w:rStyle w:val="eop"/>
        </w:rPr>
        <w:t>R</w:t>
      </w:r>
      <w:r>
        <w:rPr>
          <w:rStyle w:val="eop"/>
        </w:rPr>
        <w:t>ecommendations</w:t>
      </w:r>
    </w:p>
    <w:p w14:paraId="49BAB9A4" w14:textId="5C0E6920" w:rsidR="00645A04" w:rsidRPr="00586D97" w:rsidRDefault="00645A04" w:rsidP="0033158A">
      <w:pPr>
        <w:pStyle w:val="Heading3"/>
        <w:rPr>
          <w:rStyle w:val="eop"/>
        </w:rPr>
      </w:pPr>
      <w:bookmarkStart w:id="1" w:name="_Hlk165134009"/>
      <w:r w:rsidRPr="00586D97">
        <w:t xml:space="preserve">Australia’s sector plan </w:t>
      </w:r>
      <w:r w:rsidR="008D67AF">
        <w:t xml:space="preserve">emissions </w:t>
      </w:r>
      <w:r w:rsidRPr="00586D97">
        <w:t xml:space="preserve">targets </w:t>
      </w:r>
      <w:r w:rsidR="00FF47F9">
        <w:t xml:space="preserve">must recognise the urgency of the climate crisis and </w:t>
      </w:r>
      <w:r w:rsidRPr="00586D97">
        <w:t>should be consistent with doing our fair share of limiting global warming to 1.5 degrees C</w:t>
      </w:r>
    </w:p>
    <w:bookmarkEnd w:id="1"/>
    <w:p w14:paraId="229FCCD5" w14:textId="77777777" w:rsidR="008466B5" w:rsidRDefault="008466B5" w:rsidP="0033158A">
      <w:r>
        <w:t>The goal of the Paris Agreement on climate change is to reduce global warming to well below 2 degrees and pursue a limit of 1.5 degrees C above pre-industrial levels.</w:t>
      </w:r>
    </w:p>
    <w:p w14:paraId="6781C7E4" w14:textId="77777777" w:rsidR="008466B5" w:rsidRDefault="008466B5" w:rsidP="0033158A">
      <w:r>
        <w:lastRenderedPageBreak/>
        <w:t>The Intergovernmental Panel on Climate Change (IPCC) argues that limiting global warming to 1.5 degrees C compared to 2 degrees C could significantly reduce the number of people both exposed to climate risk and susceptible to poverty.</w:t>
      </w:r>
      <w:r>
        <w:rPr>
          <w:vertAlign w:val="superscript"/>
        </w:rPr>
        <w:footnoteReference w:id="12"/>
      </w:r>
    </w:p>
    <w:p w14:paraId="05E4EACD" w14:textId="7DF756A8" w:rsidR="008466B5" w:rsidRDefault="008466B5" w:rsidP="0033158A">
      <w:r>
        <w:t>Australia is also widely recognised as being a country that will be disproportionately impacted by negative climate change impacts.</w:t>
      </w:r>
      <w:r>
        <w:rPr>
          <w:vertAlign w:val="superscript"/>
        </w:rPr>
        <w:footnoteReference w:id="13"/>
      </w:r>
      <w:r>
        <w:t xml:space="preserve"> </w:t>
      </w:r>
    </w:p>
    <w:p w14:paraId="25A13A92" w14:textId="77777777" w:rsidR="008466B5" w:rsidRDefault="008466B5" w:rsidP="0033158A">
      <w:r>
        <w:t xml:space="preserve">Every fraction of a degree of avoided warming matters, and will be measured in lives, species and ecosystems lost or saved. Breaching 1.5°C of warming significantly increases the risk of triggering abrupt, </w:t>
      </w:r>
      <w:proofErr w:type="gramStart"/>
      <w:r>
        <w:t>dangerous</w:t>
      </w:r>
      <w:proofErr w:type="gramEnd"/>
      <w:r>
        <w:t xml:space="preserve"> and irreversible changes to the climate system.</w:t>
      </w:r>
    </w:p>
    <w:p w14:paraId="36AE862A" w14:textId="492D0B52" w:rsidR="009A547E" w:rsidRDefault="00774EDA" w:rsidP="0033158A">
      <w:pPr>
        <w:rPr>
          <w:vertAlign w:val="superscript"/>
        </w:rPr>
      </w:pPr>
      <w:r>
        <w:t>Acting</w:t>
      </w:r>
      <w:r w:rsidR="008466B5">
        <w:t xml:space="preserve"> </w:t>
      </w:r>
      <w:r w:rsidR="00975D52">
        <w:t xml:space="preserve">sooner </w:t>
      </w:r>
      <w:r w:rsidR="008466B5">
        <w:t>would deliver profound economic,</w:t>
      </w:r>
      <w:r w:rsidR="008466B5">
        <w:rPr>
          <w:vertAlign w:val="superscript"/>
        </w:rPr>
        <w:footnoteReference w:id="14"/>
      </w:r>
      <w:r w:rsidR="008466B5">
        <w:t xml:space="preserve"> social and environmental benefits, including saving lives and creating jobs. The longer we delay and avoid emissions reductions the greater the risks and costs. </w:t>
      </w:r>
      <w:r w:rsidR="008466B5">
        <w:rPr>
          <w:vertAlign w:val="superscript"/>
        </w:rPr>
        <w:footnoteReference w:id="15"/>
      </w:r>
      <w:r w:rsidR="008466B5">
        <w:rPr>
          <w:vertAlign w:val="superscript"/>
        </w:rPr>
        <w:t xml:space="preserve">, </w:t>
      </w:r>
      <w:r w:rsidR="008466B5">
        <w:rPr>
          <w:vertAlign w:val="superscript"/>
        </w:rPr>
        <w:footnoteReference w:id="16"/>
      </w:r>
      <w:r w:rsidR="008466B5">
        <w:rPr>
          <w:vertAlign w:val="superscript"/>
        </w:rPr>
        <w:t xml:space="preserve"> and </w:t>
      </w:r>
      <w:r w:rsidR="008466B5">
        <w:rPr>
          <w:vertAlign w:val="superscript"/>
        </w:rPr>
        <w:footnoteReference w:id="17"/>
      </w:r>
      <w:r w:rsidR="008466B5">
        <w:rPr>
          <w:vertAlign w:val="superscript"/>
        </w:rPr>
        <w:t xml:space="preserve"> </w:t>
      </w:r>
    </w:p>
    <w:p w14:paraId="413402BD" w14:textId="509FB63D" w:rsidR="008B2110" w:rsidRDefault="00D53F5F" w:rsidP="0033158A">
      <w:r>
        <w:t xml:space="preserve">In 2021, </w:t>
      </w:r>
      <w:r w:rsidR="002F77C5">
        <w:t xml:space="preserve">The </w:t>
      </w:r>
      <w:bookmarkStart w:id="2" w:name="_Hlk165209426"/>
      <w:r w:rsidR="00CF1A31" w:rsidRPr="008B2110">
        <w:t>Climate Targets Panel</w:t>
      </w:r>
      <w:bookmarkEnd w:id="2"/>
      <w:r w:rsidR="008B2110" w:rsidRPr="008B2110">
        <w:rPr>
          <w:rStyle w:val="FootnoteReference"/>
        </w:rPr>
        <w:footnoteReference w:id="18"/>
      </w:r>
      <w:r w:rsidR="00CF1A31" w:rsidRPr="008B2110">
        <w:t xml:space="preserve"> </w:t>
      </w:r>
      <w:r w:rsidR="008B2110">
        <w:t>a group of senior academic experts in climate budget modelling, climate science and economics, updated the Climate Change Authority 2014 modelling</w:t>
      </w:r>
      <w:r>
        <w:t>. It</w:t>
      </w:r>
      <w:r w:rsidR="008B2110">
        <w:t xml:space="preserve"> </w:t>
      </w:r>
      <w:r w:rsidR="002F77C5">
        <w:t>concluded that to be consistent with the Paris Agreement goal of limiting global warming to 1.5°C, Australia’s 2030 emissions reduction target must be 74% below 2005 levels, with net-zero emissions reached by 2035</w:t>
      </w:r>
      <w:r w:rsidR="008B2110">
        <w:t>.</w:t>
      </w:r>
      <w:r w:rsidR="00DF0D89">
        <w:t xml:space="preserve"> The Climate Council </w:t>
      </w:r>
      <w:r w:rsidR="00531394">
        <w:t xml:space="preserve">undertook similar modelling </w:t>
      </w:r>
      <w:r w:rsidR="00D1472D">
        <w:t>and</w:t>
      </w:r>
      <w:r w:rsidR="00DF0D89">
        <w:t xml:space="preserve"> concluded </w:t>
      </w:r>
      <w:r w:rsidR="00D1472D">
        <w:t>similar targets.</w:t>
      </w:r>
      <w:r w:rsidR="00531394">
        <w:rPr>
          <w:rStyle w:val="FootnoteReference"/>
        </w:rPr>
        <w:footnoteReference w:id="19"/>
      </w:r>
      <w:r w:rsidR="005C27C3">
        <w:t xml:space="preserve"> The goal of net zero by 2050 </w:t>
      </w:r>
      <w:r w:rsidR="002A34F4">
        <w:t>is far too late to protect people and planet.</w:t>
      </w:r>
    </w:p>
    <w:p w14:paraId="20207D17" w14:textId="66D62AC7" w:rsidR="00B67046" w:rsidRDefault="00974436" w:rsidP="0033158A">
      <w:r>
        <w:t>The International Energy Agency (IEA)</w:t>
      </w:r>
      <w:r w:rsidR="00E860F4">
        <w:rPr>
          <w:rStyle w:val="FootnoteReference"/>
        </w:rPr>
        <w:footnoteReference w:id="20"/>
      </w:r>
      <w:r>
        <w:t xml:space="preserve"> and</w:t>
      </w:r>
      <w:r w:rsidR="00B67046">
        <w:t xml:space="preserve"> </w:t>
      </w:r>
      <w:proofErr w:type="spellStart"/>
      <w:r w:rsidR="00B67046">
        <w:t>Climate</w:t>
      </w:r>
      <w:r>
        <w:t>w</w:t>
      </w:r>
      <w:r w:rsidR="00B67046">
        <w:t>orks</w:t>
      </w:r>
      <w:proofErr w:type="spellEnd"/>
      <w:r w:rsidR="00217057">
        <w:rPr>
          <w:rStyle w:val="FootnoteReference"/>
        </w:rPr>
        <w:footnoteReference w:id="21"/>
      </w:r>
      <w:r w:rsidR="00B67046">
        <w:t xml:space="preserve"> </w:t>
      </w:r>
      <w:r w:rsidR="0032282C">
        <w:t xml:space="preserve">have both modelled </w:t>
      </w:r>
      <w:r w:rsidR="00024BF7">
        <w:t xml:space="preserve">1.5 </w:t>
      </w:r>
      <w:r w:rsidR="00166FAD">
        <w:t>decarbonisation</w:t>
      </w:r>
      <w:r w:rsidR="0032282C">
        <w:t xml:space="preserve"> </w:t>
      </w:r>
      <w:r w:rsidR="00166FAD">
        <w:t>pathways</w:t>
      </w:r>
      <w:r w:rsidR="0032282C">
        <w:t xml:space="preserve"> for different sectors</w:t>
      </w:r>
      <w:r w:rsidR="00166FAD">
        <w:t xml:space="preserve">. Both models </w:t>
      </w:r>
      <w:r w:rsidR="00B67046">
        <w:t>highlight that some sectors have greater capacity to reduce emissions rapidly using current technology, such as the stationary energy sector and must be prioritised for fast, early emissions reductions to enable other harder to abate sectors to utilise quality offsets.</w:t>
      </w:r>
    </w:p>
    <w:p w14:paraId="4C1923A1" w14:textId="36C1F565" w:rsidR="009A547E" w:rsidRDefault="009A547E" w:rsidP="0033158A">
      <w:r>
        <w:rPr>
          <w:b/>
          <w:color w:val="CC0000"/>
        </w:rPr>
        <w:t>Recommendation 1:</w:t>
      </w:r>
      <w:r>
        <w:t xml:space="preserve"> </w:t>
      </w:r>
      <w:r w:rsidR="0041028C">
        <w:t>In order for Australia to do our fair share to limit global warming to 1</w:t>
      </w:r>
      <w:r w:rsidR="0004643A">
        <w:t>.</w:t>
      </w:r>
      <w:r w:rsidR="0041028C">
        <w:t>5 degrees t</w:t>
      </w:r>
      <w:r w:rsidR="006A6F64">
        <w:t xml:space="preserve">he </w:t>
      </w:r>
      <w:r w:rsidR="00B04082">
        <w:t xml:space="preserve">Electricity and Energy </w:t>
      </w:r>
      <w:r w:rsidR="006A6F64">
        <w:t>Sector</w:t>
      </w:r>
      <w:r w:rsidR="00B04082">
        <w:t xml:space="preserve"> plan should be aiming to reduce </w:t>
      </w:r>
      <w:r w:rsidR="00E45DD6">
        <w:t>emissions</w:t>
      </w:r>
      <w:r w:rsidR="00B04082">
        <w:t xml:space="preserve"> </w:t>
      </w:r>
      <w:r w:rsidR="000E2DB1">
        <w:t xml:space="preserve">further and faster than other </w:t>
      </w:r>
      <w:r w:rsidR="00D16944">
        <w:t>sectors</w:t>
      </w:r>
      <w:r w:rsidR="00266283">
        <w:t xml:space="preserve"> and </w:t>
      </w:r>
      <w:r w:rsidR="00B04082">
        <w:t>this decade</w:t>
      </w:r>
      <w:r w:rsidR="00266283">
        <w:t>;</w:t>
      </w:r>
      <w:r w:rsidR="00B04082">
        <w:t xml:space="preserve"> and achieve </w:t>
      </w:r>
      <w:r w:rsidR="00B04082" w:rsidRPr="00840744">
        <w:rPr>
          <w:b/>
          <w:bCs/>
        </w:rPr>
        <w:t>zero</w:t>
      </w:r>
      <w:r w:rsidR="00B04082">
        <w:t xml:space="preserve"> emissions </w:t>
      </w:r>
      <w:r w:rsidR="00840744">
        <w:t>before</w:t>
      </w:r>
      <w:r w:rsidR="00B04082">
        <w:t xml:space="preserve"> 2035</w:t>
      </w:r>
      <w:r>
        <w:t>.</w:t>
      </w:r>
      <w:r w:rsidR="00137312">
        <w:tab/>
      </w:r>
    </w:p>
    <w:p w14:paraId="2572DD94" w14:textId="2BC85CD5" w:rsidR="007920B8" w:rsidRDefault="009F279E" w:rsidP="0033158A">
      <w:r>
        <w:t>This will require</w:t>
      </w:r>
      <w:r w:rsidR="007920B8">
        <w:t>:</w:t>
      </w:r>
    </w:p>
    <w:p w14:paraId="1AA73CF3" w14:textId="32BC7BF1" w:rsidR="009C1EE9" w:rsidRDefault="00361003" w:rsidP="00A96744">
      <w:pPr>
        <w:pStyle w:val="ListParagraph"/>
        <w:numPr>
          <w:ilvl w:val="0"/>
          <w:numId w:val="14"/>
        </w:numPr>
      </w:pPr>
      <w:r>
        <w:t>A</w:t>
      </w:r>
      <w:r w:rsidR="003C5EAD">
        <w:t xml:space="preserve"> </w:t>
      </w:r>
      <w:r w:rsidR="005221E9">
        <w:t xml:space="preserve">timely, </w:t>
      </w:r>
      <w:r w:rsidR="003C5EAD">
        <w:t>orderly</w:t>
      </w:r>
      <w:r w:rsidR="00D979AC">
        <w:t xml:space="preserve">, </w:t>
      </w:r>
      <w:r w:rsidR="003C5EAD">
        <w:t>equitable</w:t>
      </w:r>
      <w:r w:rsidR="00D979AC">
        <w:t xml:space="preserve"> and inclusive </w:t>
      </w:r>
      <w:r w:rsidR="009F279E">
        <w:t>phase out of coal and gas</w:t>
      </w:r>
      <w:r w:rsidR="00C81B3F">
        <w:t>.</w:t>
      </w:r>
      <w:r w:rsidR="00A32DAB">
        <w:t xml:space="preserve"> </w:t>
      </w:r>
      <w:r w:rsidR="007920B8">
        <w:t xml:space="preserve">The International Energy Agency </w:t>
      </w:r>
      <w:proofErr w:type="gramStart"/>
      <w:r>
        <w:t>1.5</w:t>
      </w:r>
      <w:r w:rsidR="00DC7601">
        <w:t xml:space="preserve"> </w:t>
      </w:r>
      <w:r>
        <w:t>degree</w:t>
      </w:r>
      <w:proofErr w:type="gramEnd"/>
      <w:r w:rsidR="007920B8">
        <w:t xml:space="preserve"> emission reduction scenario advocates </w:t>
      </w:r>
      <w:r w:rsidR="007920B8">
        <w:lastRenderedPageBreak/>
        <w:t>that by 2021 no new oil and gas fields should be approved for development and no new coal mines or extensions</w:t>
      </w:r>
      <w:r w:rsidR="00A3375D">
        <w:t>;</w:t>
      </w:r>
      <w:r w:rsidR="007920B8">
        <w:rPr>
          <w:vertAlign w:val="superscript"/>
        </w:rPr>
        <w:footnoteReference w:id="22"/>
      </w:r>
    </w:p>
    <w:p w14:paraId="525937DD" w14:textId="08DDAE32" w:rsidR="0095489C" w:rsidRDefault="007920B8" w:rsidP="00A96744">
      <w:pPr>
        <w:pStyle w:val="ListParagraph"/>
        <w:numPr>
          <w:ilvl w:val="0"/>
          <w:numId w:val="14"/>
        </w:numPr>
      </w:pPr>
      <w:r>
        <w:t xml:space="preserve">Planned and equitable </w:t>
      </w:r>
      <w:r w:rsidR="00894839">
        <w:t xml:space="preserve">shift to </w:t>
      </w:r>
      <w:proofErr w:type="gramStart"/>
      <w:r w:rsidR="003C5EAD">
        <w:t>electrification</w:t>
      </w:r>
      <w:r w:rsidR="00A3375D">
        <w:t>;</w:t>
      </w:r>
      <w:proofErr w:type="gramEnd"/>
      <w:r w:rsidR="00D979AC">
        <w:t xml:space="preserve"> </w:t>
      </w:r>
    </w:p>
    <w:p w14:paraId="1B352A0E" w14:textId="62339106" w:rsidR="007920B8" w:rsidRDefault="00361003" w:rsidP="00A96744">
      <w:pPr>
        <w:pStyle w:val="ListParagraph"/>
        <w:numPr>
          <w:ilvl w:val="0"/>
          <w:numId w:val="14"/>
        </w:numPr>
      </w:pPr>
      <w:r>
        <w:t>G</w:t>
      </w:r>
      <w:r w:rsidR="00A32DAB">
        <w:t xml:space="preserve">reater emphasis and importance on energy efficiency and demand </w:t>
      </w:r>
      <w:proofErr w:type="gramStart"/>
      <w:r w:rsidR="00A32DAB">
        <w:t>management</w:t>
      </w:r>
      <w:r w:rsidR="00A3375D">
        <w:t>;</w:t>
      </w:r>
      <w:proofErr w:type="gramEnd"/>
      <w:r w:rsidR="0039122B">
        <w:t xml:space="preserve"> </w:t>
      </w:r>
    </w:p>
    <w:p w14:paraId="16A3E459" w14:textId="58B98096" w:rsidR="00DB6BA1" w:rsidRDefault="00361003" w:rsidP="00A96744">
      <w:pPr>
        <w:pStyle w:val="ListParagraph"/>
        <w:numPr>
          <w:ilvl w:val="0"/>
          <w:numId w:val="13"/>
        </w:numPr>
      </w:pPr>
      <w:r>
        <w:t>G</w:t>
      </w:r>
      <w:r w:rsidR="00B15402">
        <w:t>reater</w:t>
      </w:r>
      <w:r w:rsidR="0039122B">
        <w:t xml:space="preserve"> </w:t>
      </w:r>
      <w:r w:rsidR="00B15402">
        <w:t>and</w:t>
      </w:r>
      <w:r w:rsidR="00C41CE7">
        <w:t xml:space="preserve"> </w:t>
      </w:r>
      <w:r w:rsidR="0095171B">
        <w:t xml:space="preserve">more </w:t>
      </w:r>
      <w:r w:rsidR="00B15402">
        <w:t xml:space="preserve">equitable investment in </w:t>
      </w:r>
      <w:r w:rsidR="0095171B">
        <w:t xml:space="preserve">large scale </w:t>
      </w:r>
      <w:r w:rsidR="00B15402">
        <w:t xml:space="preserve">renewable and more </w:t>
      </w:r>
      <w:r w:rsidR="00C41CE7">
        <w:t>distributed</w:t>
      </w:r>
      <w:r w:rsidR="00B15402">
        <w:t xml:space="preserve"> energy systems</w:t>
      </w:r>
      <w:r w:rsidR="00A3375D">
        <w:t>;</w:t>
      </w:r>
      <w:r>
        <w:t xml:space="preserve"> and</w:t>
      </w:r>
      <w:r w:rsidR="00DB6BA1">
        <w:t xml:space="preserve"> </w:t>
      </w:r>
    </w:p>
    <w:p w14:paraId="77375715" w14:textId="4652EA91" w:rsidR="00361003" w:rsidRPr="00361003" w:rsidRDefault="00DB6BA1" w:rsidP="00A96744">
      <w:pPr>
        <w:pStyle w:val="ListParagraph"/>
        <w:numPr>
          <w:ilvl w:val="0"/>
          <w:numId w:val="13"/>
        </w:numPr>
      </w:pPr>
      <w:r>
        <w:t>Prioritisation</w:t>
      </w:r>
      <w:r w:rsidR="00361003">
        <w:t xml:space="preserve"> of people and communities experiencing </w:t>
      </w:r>
      <w:r>
        <w:t>financial and social disadvantage.</w:t>
      </w:r>
    </w:p>
    <w:p w14:paraId="406DA7E6" w14:textId="142F2801" w:rsidR="00747946" w:rsidRPr="00586D97" w:rsidRDefault="00E9041B" w:rsidP="0033158A">
      <w:pPr>
        <w:pStyle w:val="Heading3"/>
        <w:rPr>
          <w:rStyle w:val="eop"/>
        </w:rPr>
      </w:pPr>
      <w:r>
        <w:t xml:space="preserve">Ensure legislation and regulation that guide </w:t>
      </w:r>
      <w:r w:rsidR="00C41629">
        <w:t xml:space="preserve">climate change </w:t>
      </w:r>
      <w:r>
        <w:t xml:space="preserve">policy development </w:t>
      </w:r>
      <w:r w:rsidR="00E210C0">
        <w:t>include</w:t>
      </w:r>
      <w:r>
        <w:t xml:space="preserve"> </w:t>
      </w:r>
      <w:r w:rsidR="00214A6A">
        <w:t>fairness, equity and inclusion</w:t>
      </w:r>
      <w:r w:rsidR="00E210C0">
        <w:t xml:space="preserve"> objectives, </w:t>
      </w:r>
      <w:proofErr w:type="gramStart"/>
      <w:r w:rsidR="00E210C0">
        <w:t>principles</w:t>
      </w:r>
      <w:proofErr w:type="gramEnd"/>
      <w:r w:rsidR="00E210C0">
        <w:t xml:space="preserve"> and mechanisms.</w:t>
      </w:r>
    </w:p>
    <w:p w14:paraId="37AD73B3" w14:textId="4E5AC172" w:rsidR="006525F6" w:rsidRDefault="00931A78" w:rsidP="0033158A">
      <w:r>
        <w:t>As noted above</w:t>
      </w:r>
      <w:r w:rsidR="00C605D8">
        <w:t>,</w:t>
      </w:r>
      <w:r>
        <w:t xml:space="preserve"> </w:t>
      </w:r>
      <w:r>
        <w:rPr>
          <w:rStyle w:val="eop"/>
        </w:rPr>
        <w:t>ACOSS welcomes the inclusion of ‘equity’ and ‘affordability’ in the Electricity and Energy Sector Plan Vision and Objectives</w:t>
      </w:r>
      <w:r w:rsidR="002D0B1A">
        <w:t xml:space="preserve">. This is an important step </w:t>
      </w:r>
      <w:r w:rsidR="00A622DD">
        <w:t>and will be</w:t>
      </w:r>
      <w:r w:rsidR="006525F6">
        <w:t xml:space="preserve"> critical to maintaining social license for the transition to net zero emissions and to ensure no-one is left behind.  </w:t>
      </w:r>
    </w:p>
    <w:p w14:paraId="1B2D26CE" w14:textId="1C5B7B42" w:rsidR="008B5A90" w:rsidRDefault="007456F6" w:rsidP="0033158A">
      <w:r>
        <w:t>W</w:t>
      </w:r>
      <w:r w:rsidR="006525F6">
        <w:t xml:space="preserve">e </w:t>
      </w:r>
      <w:r>
        <w:t xml:space="preserve">urge the </w:t>
      </w:r>
      <w:r w:rsidR="481056E9">
        <w:t>G</w:t>
      </w:r>
      <w:r>
        <w:t xml:space="preserve">overnment to take the next step and </w:t>
      </w:r>
      <w:r w:rsidR="00E5407E">
        <w:t>amend the</w:t>
      </w:r>
      <w:r w:rsidR="001A70A5">
        <w:t xml:space="preserve"> </w:t>
      </w:r>
      <w:r w:rsidR="00223FCE">
        <w:t>National Energy Agreement and the Nation</w:t>
      </w:r>
      <w:r w:rsidR="6D7C3857">
        <w:t>al</w:t>
      </w:r>
      <w:r w:rsidR="00223FCE">
        <w:t xml:space="preserve"> Energy Objectives (NEO) include equity and affordability</w:t>
      </w:r>
      <w:r w:rsidR="00E5407E">
        <w:t xml:space="preserve"> objectives</w:t>
      </w:r>
      <w:r w:rsidR="007A77BF">
        <w:t xml:space="preserve">, to ensure energy market bodies and government policy </w:t>
      </w:r>
      <w:r w:rsidR="008B5A90">
        <w:t>are</w:t>
      </w:r>
      <w:r w:rsidR="007A77BF">
        <w:t xml:space="preserve"> guided </w:t>
      </w:r>
    </w:p>
    <w:p w14:paraId="552C1A5B" w14:textId="5145960C" w:rsidR="005A6EF4" w:rsidRDefault="001027C1" w:rsidP="0033158A">
      <w:pPr>
        <w:rPr>
          <w:rFonts w:ascii="Times New Roman" w:hAnsi="Times New Roman"/>
          <w:sz w:val="24"/>
          <w:szCs w:val="24"/>
        </w:rPr>
      </w:pPr>
      <w:r>
        <w:t>A focus on social equity</w:t>
      </w:r>
      <w:r w:rsidR="005A6EF4">
        <w:t xml:space="preserve"> </w:t>
      </w:r>
      <w:r>
        <w:t>in</w:t>
      </w:r>
      <w:r w:rsidR="009E26CA">
        <w:t xml:space="preserve"> would </w:t>
      </w:r>
      <w:r w:rsidR="00EC3A0D">
        <w:t xml:space="preserve">for example, </w:t>
      </w:r>
      <w:r w:rsidR="009E26CA">
        <w:t>support</w:t>
      </w:r>
      <w:r w:rsidR="005A6EF4">
        <w:t>:</w:t>
      </w:r>
    </w:p>
    <w:p w14:paraId="17FBEB01" w14:textId="77777777" w:rsidR="005A6EF4" w:rsidRDefault="005A6EF4" w:rsidP="00A96744">
      <w:pPr>
        <w:pStyle w:val="ListParagraph"/>
        <w:numPr>
          <w:ilvl w:val="0"/>
          <w:numId w:val="7"/>
        </w:numPr>
      </w:pPr>
      <w:r>
        <w:t xml:space="preserve">Distributing costs, </w:t>
      </w:r>
      <w:proofErr w:type="gramStart"/>
      <w:r>
        <w:t>benefits</w:t>
      </w:r>
      <w:proofErr w:type="gramEnd"/>
      <w:r>
        <w:t xml:space="preserve"> and risks transparently and fairly to allow for equitable outcomes regardless of people’s ability to engage with the energy system.</w:t>
      </w:r>
    </w:p>
    <w:p w14:paraId="367345F4" w14:textId="77777777" w:rsidR="005A6EF4" w:rsidRDefault="005A6EF4" w:rsidP="00A96744">
      <w:pPr>
        <w:pStyle w:val="ListParagraph"/>
        <w:numPr>
          <w:ilvl w:val="0"/>
          <w:numId w:val="7"/>
        </w:numPr>
      </w:pPr>
      <w:r>
        <w:t>Incentivising energy market participants to innovate in ways that bring benefits to all consumers.</w:t>
      </w:r>
    </w:p>
    <w:p w14:paraId="52AD1683" w14:textId="77777777" w:rsidR="00755D43" w:rsidRDefault="005A6EF4" w:rsidP="00A96744">
      <w:pPr>
        <w:pStyle w:val="ListParagraph"/>
        <w:numPr>
          <w:ilvl w:val="0"/>
          <w:numId w:val="7"/>
        </w:numPr>
      </w:pPr>
      <w:r>
        <w:t>Providing appropriate protections to support people to access affordable, efficiently priced basic energy supply regardless of how much or little they interact with energy services.   </w:t>
      </w:r>
    </w:p>
    <w:p w14:paraId="24CE4B8D" w14:textId="1DF534F8" w:rsidR="005A6EF4" w:rsidRDefault="00755D43" w:rsidP="0033158A">
      <w:r>
        <w:t>E</w:t>
      </w:r>
      <w:r w:rsidR="005A6EF4">
        <w:t xml:space="preserve">qually a shift in the objectives to focus on energy affordability </w:t>
      </w:r>
      <w:r w:rsidR="001625A3">
        <w:t xml:space="preserve">and </w:t>
      </w:r>
      <w:r w:rsidR="007B4BE7">
        <w:t>the cost of energy bills</w:t>
      </w:r>
      <w:r w:rsidR="001625A3">
        <w:t>,</w:t>
      </w:r>
      <w:r w:rsidR="007B4BE7">
        <w:t xml:space="preserve"> </w:t>
      </w:r>
      <w:r w:rsidR="005A6EF4">
        <w:t xml:space="preserve">would </w:t>
      </w:r>
      <w:r w:rsidR="00CE1D3A">
        <w:t xml:space="preserve">also </w:t>
      </w:r>
      <w:r w:rsidR="005A6EF4">
        <w:t>place greater emphasis and investment into energy performance and demand management both in front of the meter (energy system) and behind the meter (the house or business).</w:t>
      </w:r>
    </w:p>
    <w:p w14:paraId="58F90E90" w14:textId="44256B2D" w:rsidR="00E64B2E" w:rsidRPr="008D7687" w:rsidRDefault="001D4EDA" w:rsidP="0033158A">
      <w:pPr>
        <w:rPr>
          <w:rFonts w:eastAsia="Times New Roman" w:cs="Times New Roman"/>
        </w:rPr>
      </w:pPr>
      <w:r w:rsidRPr="00E64B2E">
        <w:t xml:space="preserve">The call for </w:t>
      </w:r>
      <w:r w:rsidR="006860A4" w:rsidRPr="00E64B2E">
        <w:t>inclusion</w:t>
      </w:r>
      <w:r w:rsidRPr="00E64B2E">
        <w:t xml:space="preserve"> of equity and affordability in the NEO is </w:t>
      </w:r>
      <w:r w:rsidR="006860A4" w:rsidRPr="00E64B2E">
        <w:t>supported by a</w:t>
      </w:r>
      <w:r w:rsidRPr="00E64B2E">
        <w:t> broad coalition of 37 community, business, environment, and research sector organisations</w:t>
      </w:r>
      <w:r w:rsidR="006860A4" w:rsidRPr="00E64B2E">
        <w:t xml:space="preserve"> (see </w:t>
      </w:r>
      <w:hyperlink r:id="rId21" w:history="1">
        <w:r w:rsidR="00E64B2E" w:rsidRPr="008D7687">
          <w:rPr>
            <w:rFonts w:eastAsia="Times New Roman" w:cs="Times New Roman"/>
            <w:color w:val="0070C0"/>
            <w:u w:val="single"/>
          </w:rPr>
          <w:t>ACOSS submission to NEO consultati</w:t>
        </w:r>
        <w:r w:rsidR="00E64B2E" w:rsidRPr="00370811">
          <w:rPr>
            <w:rFonts w:eastAsia="Times New Roman" w:cs="Times New Roman"/>
            <w:color w:val="0070C0"/>
            <w:u w:val="single"/>
          </w:rPr>
          <w:t>on 2023</w:t>
        </w:r>
      </w:hyperlink>
      <w:r w:rsidR="00E64B2E" w:rsidRPr="00E64B2E">
        <w:rPr>
          <w:rFonts w:eastAsia="Times New Roman" w:cs="Times New Roman"/>
        </w:rPr>
        <w:t>, for a copy of the joint statement)</w:t>
      </w:r>
    </w:p>
    <w:p w14:paraId="49970D1F" w14:textId="60B74A1E" w:rsidR="00E64B2E" w:rsidRDefault="00E64B2E" w:rsidP="0033158A">
      <w:r>
        <w:rPr>
          <w:b/>
          <w:color w:val="CC0000"/>
        </w:rPr>
        <w:t xml:space="preserve">Recommendation </w:t>
      </w:r>
      <w:r w:rsidR="00FF7117">
        <w:rPr>
          <w:b/>
          <w:color w:val="CC0000"/>
        </w:rPr>
        <w:t>2</w:t>
      </w:r>
      <w:r>
        <w:rPr>
          <w:b/>
          <w:color w:val="CC0000"/>
        </w:rPr>
        <w:t>:</w:t>
      </w:r>
      <w:r>
        <w:t xml:space="preserve"> Amend the National Energy Agreement and the Nation</w:t>
      </w:r>
      <w:r w:rsidR="004EA5B7">
        <w:t>al</w:t>
      </w:r>
      <w:r>
        <w:t xml:space="preserve"> Energy Objectives (NEO) to include equity and affordability.</w:t>
      </w:r>
    </w:p>
    <w:p w14:paraId="143C6C4D" w14:textId="3B1F61C0" w:rsidR="006525F6" w:rsidRDefault="00A60F47" w:rsidP="0033158A">
      <w:r>
        <w:t>I</w:t>
      </w:r>
      <w:r w:rsidR="006525F6">
        <w:t xml:space="preserve">t is </w:t>
      </w:r>
      <w:r w:rsidR="00C41629">
        <w:t xml:space="preserve">also </w:t>
      </w:r>
      <w:r w:rsidR="006525F6">
        <w:t>important t</w:t>
      </w:r>
      <w:r w:rsidR="00C41629">
        <w:t>hat similar objectives</w:t>
      </w:r>
      <w:r w:rsidR="006525F6">
        <w:t xml:space="preserve"> </w:t>
      </w:r>
      <w:r w:rsidR="00C05EF5">
        <w:t xml:space="preserve">- </w:t>
      </w:r>
      <w:bookmarkStart w:id="3" w:name="_Hlk165214886"/>
      <w:r w:rsidR="00C05EF5">
        <w:t xml:space="preserve">fairness, </w:t>
      </w:r>
      <w:proofErr w:type="gramStart"/>
      <w:r w:rsidR="00C05EF5">
        <w:t>equity</w:t>
      </w:r>
      <w:proofErr w:type="gramEnd"/>
      <w:r w:rsidR="00C05EF5">
        <w:t xml:space="preserve"> and inclusion - </w:t>
      </w:r>
      <w:r w:rsidR="006525F6">
        <w:t xml:space="preserve">are also reflected in the Climate Change Act 2022 </w:t>
      </w:r>
      <w:bookmarkEnd w:id="3"/>
      <w:r w:rsidR="006525F6">
        <w:t xml:space="preserve">so that </w:t>
      </w:r>
      <w:r w:rsidR="004335DD">
        <w:t xml:space="preserve">all sector plans and climate change </w:t>
      </w:r>
      <w:r w:rsidR="004335DD">
        <w:lastRenderedPageBreak/>
        <w:t>mitigation, adaptation and resilience</w:t>
      </w:r>
      <w:r w:rsidR="006525F6">
        <w:t xml:space="preserve"> </w:t>
      </w:r>
      <w:r w:rsidR="00765DB7">
        <w:t>policies and process</w:t>
      </w:r>
      <w:r w:rsidR="00FB4EBE">
        <w:t xml:space="preserve"> </w:t>
      </w:r>
      <w:r w:rsidR="00D965B9">
        <w:t xml:space="preserve">are </w:t>
      </w:r>
      <w:r w:rsidR="0043599F">
        <w:t xml:space="preserve">required to be </w:t>
      </w:r>
      <w:r w:rsidR="00605FF8">
        <w:t>guided</w:t>
      </w:r>
      <w:r w:rsidR="0043599F">
        <w:t xml:space="preserve"> by these important principles</w:t>
      </w:r>
      <w:r w:rsidR="006525F6">
        <w:t xml:space="preserve">. Not having those provisions in the Climate Change Act 2022 risks an inequitable transformation </w:t>
      </w:r>
      <w:r w:rsidR="00AF4EA4">
        <w:t xml:space="preserve">and response to climate change </w:t>
      </w:r>
      <w:r w:rsidR="006525F6">
        <w:t xml:space="preserve">that increases inequality, </w:t>
      </w:r>
      <w:proofErr w:type="gramStart"/>
      <w:r w:rsidR="006525F6">
        <w:t>poverty</w:t>
      </w:r>
      <w:proofErr w:type="gramEnd"/>
      <w:r w:rsidR="006525F6">
        <w:t xml:space="preserve"> and disadvantage. </w:t>
      </w:r>
    </w:p>
    <w:p w14:paraId="43D7D623" w14:textId="766FDBB8" w:rsidR="002A0145" w:rsidRDefault="002A0145" w:rsidP="0033158A">
      <w:r w:rsidRPr="00E64B2E">
        <w:t xml:space="preserve">The call for inclusion of </w:t>
      </w:r>
      <w:r>
        <w:t>fairness, equity and inclusion in the Climate Change Act 2022</w:t>
      </w:r>
      <w:r w:rsidRPr="00E64B2E">
        <w:t xml:space="preserve"> is supported by a broad coalition of </w:t>
      </w:r>
      <w:r w:rsidRPr="00A74C98">
        <w:t>10</w:t>
      </w:r>
      <w:r w:rsidR="00281868" w:rsidRPr="00A74C98">
        <w:t>8</w:t>
      </w:r>
      <w:r w:rsidRPr="00A74C98">
        <w:t xml:space="preserve"> community, business, environment, and research sector organisations</w:t>
      </w:r>
      <w:r w:rsidR="00C11407">
        <w:t>.</w:t>
      </w:r>
      <w:r w:rsidR="00C11407">
        <w:rPr>
          <w:rStyle w:val="FootnoteReference"/>
        </w:rPr>
        <w:footnoteReference w:id="23"/>
      </w:r>
      <w:r w:rsidR="00A74C98">
        <w:t xml:space="preserve"> </w:t>
      </w:r>
    </w:p>
    <w:p w14:paraId="599F9DC2" w14:textId="06DF9391" w:rsidR="00687E3E" w:rsidRDefault="001517CE" w:rsidP="0033158A">
      <w:r>
        <w:rPr>
          <w:b/>
          <w:color w:val="CC0000"/>
        </w:rPr>
        <w:t xml:space="preserve">Recommendation </w:t>
      </w:r>
      <w:r w:rsidR="00687E3E">
        <w:rPr>
          <w:b/>
          <w:color w:val="CC0000"/>
        </w:rPr>
        <w:t>3</w:t>
      </w:r>
      <w:r>
        <w:rPr>
          <w:b/>
          <w:color w:val="CC0000"/>
        </w:rPr>
        <w:t>:</w:t>
      </w:r>
      <w:r>
        <w:t xml:space="preserve"> </w:t>
      </w:r>
      <w:r w:rsidR="00687E3E">
        <w:t xml:space="preserve">The Federal Government amend the Climate Change Act 2022 to insert fairness, equity and inclusion objectives, </w:t>
      </w:r>
      <w:proofErr w:type="gramStart"/>
      <w:r w:rsidR="00687E3E">
        <w:t>principles</w:t>
      </w:r>
      <w:proofErr w:type="gramEnd"/>
      <w:r w:rsidR="00687E3E">
        <w:t xml:space="preserve"> and processes, to guide policies, programs and process to ensure benefits are fairly shared, people’s lives are better and that no-one is left behind in the transformation.</w:t>
      </w:r>
    </w:p>
    <w:p w14:paraId="3091D16F" w14:textId="77777777" w:rsidR="00106F67" w:rsidRPr="00586D97" w:rsidRDefault="00106F67" w:rsidP="0033158A">
      <w:pPr>
        <w:pStyle w:val="Heading3"/>
        <w:rPr>
          <w:rStyle w:val="eop"/>
        </w:rPr>
      </w:pPr>
      <w:r>
        <w:t>Include demand-side action and management as a key focus area for the sector plan</w:t>
      </w:r>
    </w:p>
    <w:p w14:paraId="2F8D0D3A" w14:textId="6F948100" w:rsidR="00682330" w:rsidRDefault="00682330" w:rsidP="0033158A">
      <w:r>
        <w:t xml:space="preserve">We will need </w:t>
      </w:r>
      <w:r w:rsidR="001E4277">
        <w:t xml:space="preserve">renewable energy, </w:t>
      </w:r>
      <w:r>
        <w:t xml:space="preserve">electrification, </w:t>
      </w:r>
      <w:r w:rsidR="00D62B98" w:rsidRPr="00271431">
        <w:t>along with</w:t>
      </w:r>
      <w:r w:rsidR="00D62B98">
        <w:rPr>
          <w:b/>
          <w:bCs/>
        </w:rPr>
        <w:t xml:space="preserve"> </w:t>
      </w:r>
      <w:r w:rsidR="001E4277" w:rsidRPr="005C62DE">
        <w:rPr>
          <w:b/>
          <w:bCs/>
        </w:rPr>
        <w:t>energy efficiency</w:t>
      </w:r>
      <w:r w:rsidR="00D62B98">
        <w:rPr>
          <w:b/>
          <w:bCs/>
        </w:rPr>
        <w:t xml:space="preserve"> and </w:t>
      </w:r>
      <w:r w:rsidR="001E4277" w:rsidRPr="005C62DE">
        <w:rPr>
          <w:b/>
          <w:bCs/>
        </w:rPr>
        <w:t>demand management</w:t>
      </w:r>
      <w:r w:rsidR="001E4277">
        <w:t xml:space="preserve"> </w:t>
      </w:r>
      <w:r>
        <w:t>to achieve our goal of liming global warming to well below 2 degrees C and pursue a limit of 1.5 degrees.</w:t>
      </w:r>
    </w:p>
    <w:p w14:paraId="47D7523F" w14:textId="2B26AA50" w:rsidR="003E2295" w:rsidRDefault="00007D95" w:rsidP="0033158A">
      <w:r>
        <w:t>I</w:t>
      </w:r>
      <w:r w:rsidR="000A5206">
        <w:t>n</w:t>
      </w:r>
      <w:r>
        <w:t xml:space="preserve"> fact</w:t>
      </w:r>
      <w:r w:rsidR="004A61BA">
        <w:t>,</w:t>
      </w:r>
      <w:r>
        <w:t xml:space="preserve"> en</w:t>
      </w:r>
      <w:r w:rsidR="00032AD4">
        <w:t xml:space="preserve">ergy </w:t>
      </w:r>
      <w:r w:rsidR="000A5206">
        <w:t>efficiency and</w:t>
      </w:r>
      <w:r w:rsidR="00032AD4">
        <w:t xml:space="preserve"> demand management </w:t>
      </w:r>
      <w:r w:rsidR="47861D4A">
        <w:t>are</w:t>
      </w:r>
      <w:r w:rsidR="00032AD4">
        <w:t xml:space="preserve"> often referred to as the </w:t>
      </w:r>
      <w:r w:rsidR="000A5206">
        <w:t>‘</w:t>
      </w:r>
      <w:r w:rsidR="00032AD4">
        <w:t>first fuel</w:t>
      </w:r>
      <w:r w:rsidR="000A5206">
        <w:t>’</w:t>
      </w:r>
      <w:r w:rsidR="00032AD4">
        <w:t xml:space="preserve">, and </w:t>
      </w:r>
      <w:r w:rsidR="00397789">
        <w:t xml:space="preserve">the first step in </w:t>
      </w:r>
      <w:r w:rsidR="00271431">
        <w:t xml:space="preserve">the </w:t>
      </w:r>
      <w:r w:rsidR="00397789">
        <w:t xml:space="preserve">decarbonisation pathway </w:t>
      </w:r>
      <w:r w:rsidR="007C3B3C">
        <w:t xml:space="preserve">to reduce </w:t>
      </w:r>
      <w:r w:rsidR="00066A42">
        <w:t>the need for</w:t>
      </w:r>
      <w:r w:rsidR="007C3B3C">
        <w:t xml:space="preserve"> replacement energy</w:t>
      </w:r>
      <w:r w:rsidR="00066A42">
        <w:t xml:space="preserve">. </w:t>
      </w:r>
      <w:r w:rsidR="003E2295">
        <w:t>Study after study has noted energy efficiency and demand management are some of the cheapest abatement available</w:t>
      </w:r>
      <w:r w:rsidR="00532D3D">
        <w:t>, leading to cheaper energy bills,</w:t>
      </w:r>
      <w:r w:rsidR="003E2295">
        <w:t xml:space="preserve"> and it remains a substantially untapped resource in Australia.</w:t>
      </w:r>
    </w:p>
    <w:p w14:paraId="51413273" w14:textId="7E121D10" w:rsidR="00682330" w:rsidRDefault="00682330" w:rsidP="0033158A">
      <w:r>
        <w:t>The International Renewable Energy Agency estimates that energy efficiency will deliver 25 per cent of the entire world’s emissions reductions to 2050, the same proportion that is expected to come from renewable energy. Electrification is anticipated to deliver a further 20 per cent reduction.</w:t>
      </w:r>
      <w:r w:rsidR="00D60436">
        <w:rPr>
          <w:rStyle w:val="FootnoteReference"/>
        </w:rPr>
        <w:footnoteReference w:id="24"/>
      </w:r>
      <w:r>
        <w:t xml:space="preserve">  </w:t>
      </w:r>
    </w:p>
    <w:p w14:paraId="523EDD6A" w14:textId="1C34D816" w:rsidR="00586D97" w:rsidRDefault="00682330" w:rsidP="0033158A">
      <w:bookmarkStart w:id="4" w:name="_Hlk165243625"/>
      <w:r>
        <w:t>New research commissioned by the Energy Efficiency Council and ANZ, confirms the international figures are similar in Australia. The research shows energy efficiency and electrification can deliver 14 per cent and 26 per cent of Australia’s emissions reductions, respectively at low cost</w:t>
      </w:r>
      <w:bookmarkEnd w:id="4"/>
      <w:r>
        <w:t xml:space="preserve">. </w:t>
      </w:r>
      <w:r w:rsidR="00FC7AAB">
        <w:t>Australia's focus on developing frameworks and incentives on the energy supply side - at the expense of energy demand and performance - means we are exposed to unpredictable energy market transition</w:t>
      </w:r>
      <w:r w:rsidR="004546C4">
        <w:t>.</w:t>
      </w:r>
      <w:r w:rsidR="00E2230B">
        <w:rPr>
          <w:rStyle w:val="FootnoteReference"/>
        </w:rPr>
        <w:footnoteReference w:id="25"/>
      </w:r>
    </w:p>
    <w:p w14:paraId="0EA13562" w14:textId="41E2B3E1" w:rsidR="00800F56" w:rsidRDefault="00800F56" w:rsidP="0033158A">
      <w:r>
        <w:rPr>
          <w:b/>
          <w:color w:val="CC0000"/>
        </w:rPr>
        <w:t>Recommendation 4:</w:t>
      </w:r>
      <w:r>
        <w:t xml:space="preserve"> </w:t>
      </w:r>
      <w:r w:rsidR="00B67DDE">
        <w:t xml:space="preserve">The Energy and Electricity sector plan should elevate </w:t>
      </w:r>
      <w:bookmarkStart w:id="5" w:name="_Hlk165217708"/>
      <w:r w:rsidR="00B67DDE">
        <w:t xml:space="preserve">energy efficiency and demand </w:t>
      </w:r>
      <w:r w:rsidR="009901F2">
        <w:t>management</w:t>
      </w:r>
      <w:r w:rsidR="00B67DDE">
        <w:t xml:space="preserve"> </w:t>
      </w:r>
      <w:bookmarkEnd w:id="5"/>
      <w:r w:rsidR="00B67DDE">
        <w:t xml:space="preserve">to make </w:t>
      </w:r>
      <w:r w:rsidR="2DC95FE6">
        <w:t>them</w:t>
      </w:r>
      <w:r w:rsidR="00B67DDE">
        <w:t xml:space="preserve"> equal partner</w:t>
      </w:r>
      <w:r w:rsidR="5AFAF651">
        <w:t>s</w:t>
      </w:r>
      <w:r w:rsidR="00B67DDE">
        <w:t xml:space="preserve"> to new infrastructure in the transition, embracing the ‘efficiency first’ principle</w:t>
      </w:r>
      <w:r>
        <w:t>.</w:t>
      </w:r>
    </w:p>
    <w:p w14:paraId="4D20563F" w14:textId="2AC74228" w:rsidR="00CE3B0A" w:rsidRDefault="003943CB" w:rsidP="0033158A">
      <w:hyperlink r:id="rId22" w:history="1">
        <w:r w:rsidR="00CE3B0A" w:rsidRPr="0095489C">
          <w:rPr>
            <w:color w:val="0070C0"/>
            <w:u w:val="single"/>
          </w:rPr>
          <w:t>ACOSS Submission to National Energy Performance Strategy 2022</w:t>
        </w:r>
      </w:hyperlink>
      <w:r w:rsidR="00CE3B0A" w:rsidRPr="00FF7117">
        <w:rPr>
          <w:b/>
          <w:bCs/>
          <w:color w:val="1F3864" w:themeColor="accent5" w:themeShade="80"/>
        </w:rPr>
        <w:t xml:space="preserve"> </w:t>
      </w:r>
      <w:r w:rsidR="00CE3B0A" w:rsidRPr="00FF7117">
        <w:t xml:space="preserve">also outlines the importance of targets and </w:t>
      </w:r>
      <w:r w:rsidR="00DE2A83" w:rsidRPr="00FF7117">
        <w:t xml:space="preserve">appropriate governance </w:t>
      </w:r>
      <w:r w:rsidR="00FF7117" w:rsidRPr="00FF7117">
        <w:t>frameworks</w:t>
      </w:r>
      <w:r w:rsidR="00DE2A83" w:rsidRPr="00FF7117">
        <w:t xml:space="preserve"> (see also recommendation </w:t>
      </w:r>
      <w:r w:rsidR="00FF7117" w:rsidRPr="00FF7117">
        <w:t>3)</w:t>
      </w:r>
      <w:r w:rsidR="00966A31">
        <w:t>.</w:t>
      </w:r>
    </w:p>
    <w:p w14:paraId="2C6A011C" w14:textId="1EFD48F3" w:rsidR="00966A31" w:rsidRPr="00617B54" w:rsidRDefault="00966A31" w:rsidP="0033158A">
      <w:r>
        <w:lastRenderedPageBreak/>
        <w:t>Further recommendations</w:t>
      </w:r>
      <w:r w:rsidR="00D51AA2">
        <w:t xml:space="preserve"> on incorporating energy </w:t>
      </w:r>
      <w:r w:rsidR="00041C34">
        <w:t>efficiency in</w:t>
      </w:r>
      <w:r w:rsidR="00D51AA2">
        <w:t xml:space="preserve"> </w:t>
      </w:r>
      <w:r w:rsidR="00041C34">
        <w:t xml:space="preserve">the </w:t>
      </w:r>
      <w:r w:rsidR="00D51AA2">
        <w:t>residential setting are</w:t>
      </w:r>
      <w:r w:rsidR="00041C34">
        <w:t xml:space="preserve"> outlined in section 5 below.</w:t>
      </w:r>
    </w:p>
    <w:p w14:paraId="6D114ED4" w14:textId="10B8B379" w:rsidR="00106F67" w:rsidRDefault="003E0303" w:rsidP="0033158A">
      <w:pPr>
        <w:pStyle w:val="Heading3"/>
        <w:rPr>
          <w:rStyle w:val="eop"/>
        </w:rPr>
      </w:pPr>
      <w:r>
        <w:rPr>
          <w:noProof/>
        </w:rPr>
        <mc:AlternateContent>
          <mc:Choice Requires="wps">
            <w:drawing>
              <wp:anchor distT="45720" distB="45720" distL="114300" distR="114300" simplePos="0" relativeHeight="251652608" behindDoc="0" locked="0" layoutInCell="1" allowOverlap="1" wp14:anchorId="3E3DB8C9" wp14:editId="58308EBC">
                <wp:simplePos x="0" y="0"/>
                <wp:positionH relativeFrom="column">
                  <wp:posOffset>21590</wp:posOffset>
                </wp:positionH>
                <wp:positionV relativeFrom="paragraph">
                  <wp:posOffset>522605</wp:posOffset>
                </wp:positionV>
                <wp:extent cx="5800725" cy="7239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723900"/>
                        </a:xfrm>
                        <a:prstGeom prst="rect">
                          <a:avLst/>
                        </a:prstGeom>
                        <a:solidFill>
                          <a:schemeClr val="accent1">
                            <a:lumMod val="40000"/>
                            <a:lumOff val="60000"/>
                          </a:schemeClr>
                        </a:solidFill>
                        <a:ln w="9525">
                          <a:solidFill>
                            <a:srgbClr val="000000"/>
                          </a:solidFill>
                          <a:miter lim="800000"/>
                          <a:headEnd/>
                          <a:tailEnd/>
                        </a:ln>
                      </wps:spPr>
                      <wps:txbx>
                        <w:txbxContent>
                          <w:p w14:paraId="2522DD5D" w14:textId="0DF6C892" w:rsidR="00324544" w:rsidRPr="007A5A2E" w:rsidRDefault="0058068C" w:rsidP="0033158A">
                            <w:r w:rsidRPr="007A5A2E">
                              <w:t>1.</w:t>
                            </w:r>
                            <w:r w:rsidR="0076797D" w:rsidRPr="007A5A2E">
                              <w:t>What actions are needed to attract the required large scale private capital and household investment in the energy transformation, with or without government intervention?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3DB8C9" id="_x0000_t202" coordsize="21600,21600" o:spt="202" path="m,l,21600r21600,l21600,xe">
                <v:stroke joinstyle="miter"/>
                <v:path gradientshapeok="t" o:connecttype="rect"/>
              </v:shapetype>
              <v:shape id="Text Box 2" o:spid="_x0000_s1026" type="#_x0000_t202" style="position:absolute;left:0;text-align:left;margin-left:1.7pt;margin-top:41.15pt;width:456.75pt;height:57pt;z-index:251652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UL+MgIAAF0EAAAOAAAAZHJzL2Uyb0RvYy54bWysVNtu2zAMfR+wfxD0vtjJkqYx4hRdug4D&#10;ugvQ7QNkWY6FSaImKbGzry8lO2m6vg3LgyCS8iEPD5n1Ta8VOQjnJZiSTic5JcJwqKXZlfTnj/t3&#10;15T4wEzNFBhR0qPw9Gbz9s26s4WYQQuqFo4giPFFZ0vahmCLLPO8FZr5CVhhMNiA0yyg6XZZ7ViH&#10;6Fplszy/yjpwtXXAhffovRuCdJPwm0bw8K1pvAhElRRrC+l06azimW3WrNg5ZlvJxzLYP1ShmTSY&#10;9Ax1xwIjeydfQWnJHXhowoSDzqBpJBeJA7KZ5n+xeWyZFYkLNsfbc5v8/4PlXw+P9rsjof8APQqY&#10;SHj7APyXJwa2LTM7cescdK1gNSaexpZlnfXF+GlstS98BKm6L1CjyGwfIAH1jdOxK8iTIDoKcDw3&#10;XfSBcHQurvN8OVtQwjG2nL1f5UmVjBWnr63z4ZMATeKlpA5FTejs8OBDrIYVpycxmQcl63upVDLi&#10;IImtcuTAcAQY58KEgaXaayx38M9z/A3DgG4cmcF9dXJjijSSESklfJFEGdKVdLVAFq8LcLvqnD7C&#10;nem9gNAy4B4oqUuK/RgfsSI2/aOp05QGJtVwx2qUGVWIjR8kCH3V48OoRgX1EfVwMMw77ideWnB/&#10;KOlw1kvqf++ZE5SozwY1XU3n87gcyZgvljM03GWkuowwwxGqpIGS4boNaaEidQO3qH0jkyzPlYy1&#10;4gyn5o37Fpfk0k6vnv8VNk8AAAD//wMAUEsDBBQABgAIAAAAIQA2LoCQ3wAAAAgBAAAPAAAAZHJz&#10;L2Rvd25yZXYueG1sTI/BToNAEIbvJr7DZky8mHZp19CCLI0x4eDBmFYfYIAVEHYW2W1LfXrHkx4n&#10;/5/v/ybbzXYQJzP5zpGG1TICYahydUeNhve3YrEF4QNSjYMjo+FiPOzy66sM09qdaW9Oh9AIhpBP&#10;UUMbwphK6avWWPRLNxri7MNNFgOfUyPrCc8Mt4NcR1EsLXbECy2O5qk1VX84Wqb0/eVuI6lQ1bP6&#10;LvafX68vJWp9ezM/PoAIZg5/ZfjVZ3XI2al0R6q9GDSoey5q2K4VCI6TVZyAKLmXxApknsn/D+Q/&#10;AAAA//8DAFBLAQItABQABgAIAAAAIQC2gziS/gAAAOEBAAATAAAAAAAAAAAAAAAAAAAAAABbQ29u&#10;dGVudF9UeXBlc10ueG1sUEsBAi0AFAAGAAgAAAAhADj9If/WAAAAlAEAAAsAAAAAAAAAAAAAAAAA&#10;LwEAAF9yZWxzLy5yZWxzUEsBAi0AFAAGAAgAAAAhAPNVQv4yAgAAXQQAAA4AAAAAAAAAAAAAAAAA&#10;LgIAAGRycy9lMm9Eb2MueG1sUEsBAi0AFAAGAAgAAAAhADYugJDfAAAACAEAAA8AAAAAAAAAAAAA&#10;AAAAjAQAAGRycy9kb3ducmV2LnhtbFBLBQYAAAAABAAEAPMAAACYBQAAAAA=&#10;" fillcolor="#bdd6ee [1300]">
                <v:textbox>
                  <w:txbxContent>
                    <w:p w14:paraId="2522DD5D" w14:textId="0DF6C892" w:rsidR="00324544" w:rsidRPr="007A5A2E" w:rsidRDefault="0058068C" w:rsidP="0033158A">
                      <w:r w:rsidRPr="007A5A2E">
                        <w:t>1.</w:t>
                      </w:r>
                      <w:r w:rsidR="0076797D" w:rsidRPr="007A5A2E">
                        <w:t>What actions are needed to attract the required large scale private capital and household investment in the energy transformation, with or without government intervention?</w:t>
                      </w:r>
                    </w:p>
                  </w:txbxContent>
                </v:textbox>
                <w10:wrap type="square"/>
              </v:shape>
            </w:pict>
          </mc:Fallback>
        </mc:AlternateContent>
      </w:r>
      <w:r w:rsidR="00106F67">
        <w:rPr>
          <w:rStyle w:val="eop"/>
        </w:rPr>
        <w:t>Mobilising investment</w:t>
      </w:r>
      <w:r w:rsidR="00E851DE">
        <w:rPr>
          <w:rStyle w:val="eop"/>
        </w:rPr>
        <w:t xml:space="preserve"> to transform energy</w:t>
      </w:r>
    </w:p>
    <w:p w14:paraId="65192A80" w14:textId="00C8C4F3" w:rsidR="007D5B54" w:rsidRPr="00564EAE" w:rsidRDefault="007D5B54" w:rsidP="0033158A">
      <w:pPr>
        <w:pStyle w:val="Heading4"/>
      </w:pPr>
      <w:r w:rsidRPr="00564EAE">
        <w:t xml:space="preserve">4.1 </w:t>
      </w:r>
      <w:r w:rsidR="00AB6E40" w:rsidRPr="00564EAE">
        <w:t xml:space="preserve">Investment should be fair, equitable and inclusive </w:t>
      </w:r>
    </w:p>
    <w:p w14:paraId="5A1F41A9" w14:textId="630A68A1" w:rsidR="002B3AB6" w:rsidRDefault="00AC5079" w:rsidP="0033158A">
      <w:r>
        <w:t xml:space="preserve">There are a number of principles that should guide </w:t>
      </w:r>
      <w:r w:rsidR="00D71BD5">
        <w:t xml:space="preserve">actions and </w:t>
      </w:r>
      <w:r>
        <w:t xml:space="preserve">decisions on </w:t>
      </w:r>
      <w:r w:rsidR="00232664">
        <w:t>investment</w:t>
      </w:r>
      <w:r w:rsidR="004D4E32">
        <w:t>, including</w:t>
      </w:r>
      <w:r w:rsidR="000A246D">
        <w:t>:</w:t>
      </w:r>
      <w:r w:rsidR="00D30A2F">
        <w:t xml:space="preserve"> </w:t>
      </w:r>
    </w:p>
    <w:p w14:paraId="0E436722" w14:textId="77777777" w:rsidR="00293BCF" w:rsidRDefault="003B2F32" w:rsidP="00A96744">
      <w:pPr>
        <w:pStyle w:val="ListParagraph"/>
        <w:numPr>
          <w:ilvl w:val="0"/>
          <w:numId w:val="8"/>
        </w:numPr>
        <w:rPr>
          <w:lang w:eastAsia="en-US"/>
        </w:rPr>
      </w:pPr>
      <w:r>
        <w:t xml:space="preserve">Public </w:t>
      </w:r>
      <w:r w:rsidR="00406C69">
        <w:t xml:space="preserve">investment should </w:t>
      </w:r>
      <w:r w:rsidR="00640771">
        <w:t>prioritise</w:t>
      </w:r>
      <w:r w:rsidR="00856A61">
        <w:t xml:space="preserve"> measures that will</w:t>
      </w:r>
      <w:r w:rsidR="00406C69">
        <w:t xml:space="preserve"> </w:t>
      </w:r>
      <w:r w:rsidR="00640771">
        <w:t xml:space="preserve">support people experiencing financial and social disadvantage participate </w:t>
      </w:r>
      <w:r w:rsidR="00D94A6B">
        <w:t xml:space="preserve">in </w:t>
      </w:r>
      <w:r w:rsidR="00640771">
        <w:t xml:space="preserve">and benefit from the transition </w:t>
      </w:r>
      <w:r w:rsidR="0088486A">
        <w:t xml:space="preserve">to clean energy </w:t>
      </w:r>
      <w:r w:rsidR="00640771">
        <w:t xml:space="preserve">and ensure no-one is left behind. </w:t>
      </w:r>
    </w:p>
    <w:p w14:paraId="1B39469C" w14:textId="35FB34C1" w:rsidR="00F8589A" w:rsidRPr="00293BCF" w:rsidRDefault="00F8589A" w:rsidP="00A96744">
      <w:pPr>
        <w:pStyle w:val="ListParagraph"/>
        <w:numPr>
          <w:ilvl w:val="0"/>
          <w:numId w:val="8"/>
        </w:numPr>
        <w:rPr>
          <w:lang w:eastAsia="en-US"/>
        </w:rPr>
      </w:pPr>
      <w:r>
        <w:t xml:space="preserve">Where public investment supports industry investment, conditions should be put on those investments </w:t>
      </w:r>
      <w:r w:rsidRPr="00293BCF">
        <w:t>to deliver long term benefit to communities, workers and industries</w:t>
      </w:r>
      <w:r w:rsidRPr="009E4413">
        <w:rPr>
          <w:b/>
          <w:bCs/>
        </w:rPr>
        <w:t xml:space="preserve"> </w:t>
      </w:r>
      <w:r w:rsidRPr="00293BCF">
        <w:t>and foster community support that is critical for a successful transition</w:t>
      </w:r>
      <w:r w:rsidR="002A35E1" w:rsidRPr="00293BCF">
        <w:t xml:space="preserve">. </w:t>
      </w:r>
      <w:r w:rsidR="00293BCF">
        <w:t>The benefit sharing opportunities should be commensurate to the size and scale of projects</w:t>
      </w:r>
      <w:r w:rsidR="00BB4BFE">
        <w:t xml:space="preserve">. </w:t>
      </w:r>
      <w:r w:rsidR="00A85ADC" w:rsidRPr="00293BCF">
        <w:t>Conditions</w:t>
      </w:r>
      <w:r w:rsidR="002A35E1" w:rsidRPr="00293BCF">
        <w:t xml:space="preserve"> could </w:t>
      </w:r>
      <w:r w:rsidR="00A85ADC" w:rsidRPr="00293BCF">
        <w:t>include</w:t>
      </w:r>
      <w:r w:rsidR="002A35E1" w:rsidRPr="00293BCF">
        <w:t>:</w:t>
      </w:r>
    </w:p>
    <w:p w14:paraId="601B0EC7" w14:textId="6337677F" w:rsidR="002A35E1" w:rsidRPr="00A40487" w:rsidRDefault="002A35E1" w:rsidP="00A96744">
      <w:pPr>
        <w:pStyle w:val="ListParagraph"/>
        <w:numPr>
          <w:ilvl w:val="0"/>
          <w:numId w:val="17"/>
        </w:numPr>
        <w:rPr>
          <w:sz w:val="24"/>
          <w:szCs w:val="24"/>
          <w:lang w:eastAsia="en-US"/>
        </w:rPr>
      </w:pPr>
      <w:r w:rsidRPr="002A35E1">
        <w:rPr>
          <w:lang w:eastAsia="en-US"/>
        </w:rPr>
        <w:t>Undertake inclusive community engagement and participation</w:t>
      </w:r>
      <w:r w:rsidR="708BA5C5" w:rsidRPr="1B4F636D">
        <w:rPr>
          <w:lang w:eastAsia="en-US"/>
        </w:rPr>
        <w:t>,</w:t>
      </w:r>
      <w:r w:rsidRPr="002A35E1">
        <w:rPr>
          <w:lang w:eastAsia="en-US"/>
        </w:rPr>
        <w:t xml:space="preserve"> </w:t>
      </w:r>
      <w:r w:rsidR="00B93DE6">
        <w:rPr>
          <w:lang w:eastAsia="en-US"/>
        </w:rPr>
        <w:t xml:space="preserve">to </w:t>
      </w:r>
      <w:proofErr w:type="gramStart"/>
      <w:r w:rsidR="00B93DE6">
        <w:rPr>
          <w:lang w:eastAsia="en-US"/>
        </w:rPr>
        <w:t>identify</w:t>
      </w:r>
      <w:r w:rsidR="00282ADF">
        <w:rPr>
          <w:lang w:eastAsia="en-US"/>
        </w:rPr>
        <w:t xml:space="preserve">  local</w:t>
      </w:r>
      <w:proofErr w:type="gramEnd"/>
      <w:r w:rsidR="00282ADF">
        <w:rPr>
          <w:lang w:eastAsia="en-US"/>
        </w:rPr>
        <w:t xml:space="preserve"> benefits and economic development</w:t>
      </w:r>
      <w:r w:rsidRPr="002A35E1">
        <w:rPr>
          <w:lang w:eastAsia="en-US"/>
        </w:rPr>
        <w:t xml:space="preserve">: i.e. engagement with local and diverse voices and leaders, </w:t>
      </w:r>
      <w:r w:rsidR="00282ADF">
        <w:rPr>
          <w:lang w:eastAsia="en-US"/>
        </w:rPr>
        <w:t>including</w:t>
      </w:r>
      <w:r w:rsidRPr="002A35E1">
        <w:rPr>
          <w:lang w:eastAsia="en-US"/>
        </w:rPr>
        <w:t xml:space="preserve"> people experiencing financial and social disadvantage. </w:t>
      </w:r>
    </w:p>
    <w:p w14:paraId="0912DB50" w14:textId="39778783" w:rsidR="002A35E1" w:rsidRPr="002A35E1" w:rsidRDefault="002A35E1" w:rsidP="00A96744">
      <w:pPr>
        <w:pStyle w:val="ListParagraph"/>
        <w:numPr>
          <w:ilvl w:val="0"/>
          <w:numId w:val="17"/>
        </w:numPr>
        <w:rPr>
          <w:lang w:eastAsia="en-US"/>
        </w:rPr>
      </w:pPr>
      <w:r w:rsidRPr="002A35E1">
        <w:rPr>
          <w:lang w:eastAsia="en-US"/>
        </w:rPr>
        <w:t xml:space="preserve">Enable quality employment opportunities for local people and contract local businesses, and limit fly in, fly out workforce. </w:t>
      </w:r>
    </w:p>
    <w:p w14:paraId="33743892" w14:textId="16B3BDD1" w:rsidR="002A35E1" w:rsidRPr="002A35E1" w:rsidRDefault="002A35E1" w:rsidP="00A96744">
      <w:pPr>
        <w:pStyle w:val="ListParagraph"/>
        <w:numPr>
          <w:ilvl w:val="0"/>
          <w:numId w:val="17"/>
        </w:numPr>
        <w:rPr>
          <w:lang w:eastAsia="en-US"/>
        </w:rPr>
      </w:pPr>
      <w:r w:rsidRPr="002A35E1">
        <w:rPr>
          <w:lang w:eastAsia="en-US"/>
        </w:rPr>
        <w:t xml:space="preserve">Promote clean industries that provide meaningful and secure jobs for workers across the economy, with targeted support for people facing challenges entering the workforce, providing jobs with decent wages, </w:t>
      </w:r>
      <w:proofErr w:type="gramStart"/>
      <w:r w:rsidRPr="002A35E1">
        <w:rPr>
          <w:lang w:eastAsia="en-US"/>
        </w:rPr>
        <w:t>conditions</w:t>
      </w:r>
      <w:proofErr w:type="gramEnd"/>
      <w:r w:rsidRPr="002A35E1">
        <w:rPr>
          <w:lang w:eastAsia="en-US"/>
        </w:rPr>
        <w:t xml:space="preserve"> and support. </w:t>
      </w:r>
    </w:p>
    <w:p w14:paraId="0CAB0ED6" w14:textId="7F432299" w:rsidR="002A35E1" w:rsidRPr="002A35E1" w:rsidRDefault="002A35E1" w:rsidP="00A96744">
      <w:pPr>
        <w:pStyle w:val="ListParagraph"/>
        <w:numPr>
          <w:ilvl w:val="0"/>
          <w:numId w:val="17"/>
        </w:numPr>
        <w:rPr>
          <w:lang w:eastAsia="en-US"/>
        </w:rPr>
      </w:pPr>
      <w:r w:rsidRPr="002A35E1">
        <w:rPr>
          <w:lang w:eastAsia="en-US"/>
        </w:rPr>
        <w:t xml:space="preserve">Provide quality, </w:t>
      </w:r>
      <w:proofErr w:type="gramStart"/>
      <w:r w:rsidRPr="002A35E1">
        <w:rPr>
          <w:lang w:eastAsia="en-US"/>
        </w:rPr>
        <w:t>accessible</w:t>
      </w:r>
      <w:proofErr w:type="gramEnd"/>
      <w:r w:rsidRPr="002A35E1">
        <w:rPr>
          <w:lang w:eastAsia="en-US"/>
        </w:rPr>
        <w:t xml:space="preserve"> and affordable education, training and re-skilling opportunities for community members of all ages and diversities. </w:t>
      </w:r>
    </w:p>
    <w:p w14:paraId="1964DA65" w14:textId="43AAA498" w:rsidR="002A35E1" w:rsidRPr="002A35E1" w:rsidRDefault="002A35E1" w:rsidP="00A96744">
      <w:pPr>
        <w:pStyle w:val="ListParagraph"/>
        <w:numPr>
          <w:ilvl w:val="0"/>
          <w:numId w:val="17"/>
        </w:numPr>
        <w:rPr>
          <w:lang w:eastAsia="en-US"/>
        </w:rPr>
      </w:pPr>
      <w:r w:rsidRPr="002A35E1">
        <w:rPr>
          <w:lang w:eastAsia="en-US"/>
        </w:rPr>
        <w:t xml:space="preserve">Invest in adequate, affordable, and culturally safe infrastructure, resources, and services for the basic needs, health, and wellbeing of all community members (e.g. housing, health, education, aged </w:t>
      </w:r>
      <w:proofErr w:type="gramStart"/>
      <w:r w:rsidRPr="002A35E1">
        <w:rPr>
          <w:lang w:eastAsia="en-US"/>
        </w:rPr>
        <w:t>care</w:t>
      </w:r>
      <w:proofErr w:type="gramEnd"/>
      <w:r w:rsidRPr="002A35E1">
        <w:rPr>
          <w:lang w:eastAsia="en-US"/>
        </w:rPr>
        <w:t xml:space="preserve"> and childcare services). </w:t>
      </w:r>
    </w:p>
    <w:p w14:paraId="4D1B2670" w14:textId="3804F281" w:rsidR="002A35E1" w:rsidRPr="002A35E1" w:rsidRDefault="002A35E1" w:rsidP="00A96744">
      <w:pPr>
        <w:pStyle w:val="ListParagraph"/>
        <w:numPr>
          <w:ilvl w:val="0"/>
          <w:numId w:val="17"/>
        </w:numPr>
        <w:rPr>
          <w:lang w:eastAsia="en-US"/>
        </w:rPr>
      </w:pPr>
      <w:r w:rsidRPr="002A35E1">
        <w:rPr>
          <w:lang w:eastAsia="en-US"/>
        </w:rPr>
        <w:t xml:space="preserve">Support just adaptation and enhance resilience to climate change and disasters for the community, prioritising people experiencing disadvantage. </w:t>
      </w:r>
    </w:p>
    <w:p w14:paraId="191FC125" w14:textId="69238472" w:rsidR="00395B41" w:rsidRDefault="002A35E1" w:rsidP="00A96744">
      <w:pPr>
        <w:pStyle w:val="ListParagraph"/>
        <w:numPr>
          <w:ilvl w:val="0"/>
          <w:numId w:val="17"/>
        </w:numPr>
        <w:rPr>
          <w:lang w:eastAsia="en-US"/>
        </w:rPr>
      </w:pPr>
      <w:r w:rsidRPr="002A35E1">
        <w:rPr>
          <w:lang w:eastAsia="en-US"/>
        </w:rPr>
        <w:t>Promote environmental sustainability and repair to ensure ecosystem health and promote water and food security</w:t>
      </w:r>
      <w:r w:rsidR="00395B41">
        <w:rPr>
          <w:lang w:eastAsia="en-US"/>
        </w:rPr>
        <w:t>.</w:t>
      </w:r>
    </w:p>
    <w:p w14:paraId="5DD0091F" w14:textId="36BE91D6" w:rsidR="00A40487" w:rsidRDefault="00A36285" w:rsidP="00A96744">
      <w:pPr>
        <w:pStyle w:val="ListParagraph"/>
        <w:numPr>
          <w:ilvl w:val="0"/>
          <w:numId w:val="11"/>
        </w:numPr>
      </w:pPr>
      <w:r w:rsidRPr="005D1943">
        <w:t>Recouping investments from electricity bills should be avoided</w:t>
      </w:r>
      <w:r w:rsidR="005B5CEC" w:rsidRPr="005D1943">
        <w:t>.</w:t>
      </w:r>
      <w:r w:rsidR="005B5CEC">
        <w:t xml:space="preserve"> </w:t>
      </w:r>
      <w:r w:rsidR="00AB3DD5">
        <w:t>Because people on low</w:t>
      </w:r>
      <w:r w:rsidR="2F308AF7">
        <w:t xml:space="preserve"> </w:t>
      </w:r>
      <w:r w:rsidR="00AB3DD5">
        <w:t xml:space="preserve">incomes pay </w:t>
      </w:r>
      <w:r w:rsidR="005D1943">
        <w:t>disproportionately</w:t>
      </w:r>
      <w:r w:rsidR="00AB3DD5">
        <w:t xml:space="preserve"> more of their income on electricity bills and lack choice and control to implement measures to reduce </w:t>
      </w:r>
      <w:r w:rsidR="005D1943">
        <w:t>energy</w:t>
      </w:r>
      <w:r w:rsidR="00AB3DD5">
        <w:t xml:space="preserve"> in their home</w:t>
      </w:r>
      <w:r w:rsidR="005D1943">
        <w:t>, recouping clean energy investment via electricity bill</w:t>
      </w:r>
      <w:r w:rsidR="59EDDF2B">
        <w:t>s</w:t>
      </w:r>
      <w:r w:rsidR="005D1943">
        <w:t xml:space="preserve"> disproportionately impacts people </w:t>
      </w:r>
      <w:r w:rsidR="00D9162D">
        <w:t>o</w:t>
      </w:r>
      <w:r w:rsidR="005D1943">
        <w:t>n low incomes and is regressive.</w:t>
      </w:r>
    </w:p>
    <w:p w14:paraId="77DFBC2E" w14:textId="1ACDA217" w:rsidR="005B4CDD" w:rsidRDefault="00007F64" w:rsidP="00A96744">
      <w:pPr>
        <w:pStyle w:val="ListParagraph"/>
        <w:numPr>
          <w:ilvl w:val="0"/>
          <w:numId w:val="9"/>
        </w:numPr>
      </w:pPr>
      <w:r>
        <w:lastRenderedPageBreak/>
        <w:t xml:space="preserve">Government </w:t>
      </w:r>
      <w:r w:rsidR="00BF760C">
        <w:t>must</w:t>
      </w:r>
      <w:r w:rsidR="007D777B">
        <w:t xml:space="preserve"> support and resource First Nations’ decision </w:t>
      </w:r>
      <w:r w:rsidR="00BF760C">
        <w:t>making</w:t>
      </w:r>
      <w:r w:rsidR="007D777B">
        <w:t>, self-determination and free prior informed consent</w:t>
      </w:r>
      <w:r w:rsidR="00BF760C">
        <w:t xml:space="preserve"> to e</w:t>
      </w:r>
      <w:r w:rsidR="00E7309F" w:rsidRPr="00245667">
        <w:t xml:space="preserve">nable First Nations people and organisations to </w:t>
      </w:r>
      <w:r w:rsidR="00934FC7">
        <w:t>have a say in</w:t>
      </w:r>
      <w:r w:rsidR="006362E8">
        <w:t>,</w:t>
      </w:r>
      <w:r w:rsidR="00934FC7">
        <w:t xml:space="preserve"> </w:t>
      </w:r>
      <w:r w:rsidR="00E7309F" w:rsidRPr="006362E8">
        <w:t>participate</w:t>
      </w:r>
      <w:r w:rsidR="00E7309F" w:rsidRPr="00245667">
        <w:t xml:space="preserve"> in</w:t>
      </w:r>
      <w:r w:rsidR="00BF760C">
        <w:t xml:space="preserve"> and benefit from</w:t>
      </w:r>
      <w:r w:rsidR="00E7309F" w:rsidRPr="00245667">
        <w:t xml:space="preserve"> clean energy projects where they hold land interests</w:t>
      </w:r>
      <w:r w:rsidR="006362E8">
        <w:t>.</w:t>
      </w:r>
      <w:r w:rsidR="00E7309F" w:rsidRPr="00245667">
        <w:t xml:space="preserve"> </w:t>
      </w:r>
      <w:r w:rsidR="000415A7">
        <w:t>T</w:t>
      </w:r>
      <w:r w:rsidR="00E7309F" w:rsidRPr="00245667">
        <w:t>o ensure such projects meet their goals for employment, access to clean energy, cultural practice, environmental protections (including food and water security), and improved health outcomes</w:t>
      </w:r>
      <w:r w:rsidR="006059C1">
        <w:t>.</w:t>
      </w:r>
    </w:p>
    <w:p w14:paraId="43C2DC6C" w14:textId="412A8BEB" w:rsidR="00DE0CDF" w:rsidRPr="00DE0CDF" w:rsidRDefault="00FC3DEE" w:rsidP="00741773">
      <w:pPr>
        <w:pStyle w:val="List3"/>
        <w:ind w:left="360" w:firstLine="0"/>
      </w:pPr>
      <w:r>
        <w:rPr>
          <w:b/>
          <w:color w:val="CC0000"/>
        </w:rPr>
        <w:t xml:space="preserve">Recommendation </w:t>
      </w:r>
      <w:r w:rsidR="00805FBB">
        <w:rPr>
          <w:b/>
          <w:color w:val="CC0000"/>
        </w:rPr>
        <w:t>5</w:t>
      </w:r>
      <w:r>
        <w:rPr>
          <w:b/>
          <w:color w:val="CC0000"/>
        </w:rPr>
        <w:t>:</w:t>
      </w:r>
      <w:r w:rsidR="00805FBB">
        <w:rPr>
          <w:b/>
          <w:color w:val="CC0000"/>
        </w:rPr>
        <w:t xml:space="preserve"> </w:t>
      </w:r>
      <w:r w:rsidR="000415A7" w:rsidRPr="00DE0CDF">
        <w:t>The</w:t>
      </w:r>
      <w:r w:rsidR="00805FBB" w:rsidRPr="00DE0CDF">
        <w:t xml:space="preserve"> Government should establish principles to guide </w:t>
      </w:r>
      <w:r w:rsidR="000415A7" w:rsidRPr="00DE0CDF">
        <w:t xml:space="preserve">investment </w:t>
      </w:r>
      <w:r w:rsidR="00805FBB">
        <w:t>decision</w:t>
      </w:r>
      <w:r w:rsidR="49CCF5F6">
        <w:t>s</w:t>
      </w:r>
      <w:r w:rsidR="00805FBB" w:rsidRPr="00DE0CDF">
        <w:t>, including:</w:t>
      </w:r>
    </w:p>
    <w:p w14:paraId="5417328B" w14:textId="70785384" w:rsidR="00FC3DEE" w:rsidRDefault="000E2BCD" w:rsidP="0005336F">
      <w:pPr>
        <w:pStyle w:val="List3"/>
        <w:numPr>
          <w:ilvl w:val="0"/>
          <w:numId w:val="9"/>
        </w:numPr>
      </w:pPr>
      <w:r>
        <w:t>Public investment should prioritise measures that will support people experiencing financial and social disadvantage</w:t>
      </w:r>
      <w:r w:rsidR="00D95E9F">
        <w:t>.</w:t>
      </w:r>
    </w:p>
    <w:p w14:paraId="3B186ABF" w14:textId="3AF8A901" w:rsidR="000E2BCD" w:rsidRDefault="000E2BCD" w:rsidP="0005336F">
      <w:pPr>
        <w:pStyle w:val="List3"/>
        <w:numPr>
          <w:ilvl w:val="0"/>
          <w:numId w:val="10"/>
        </w:numPr>
      </w:pPr>
      <w:r>
        <w:t xml:space="preserve">Where public investment supports industry investment, conditions should be put on those investments </w:t>
      </w:r>
      <w:r w:rsidRPr="00DB0D5D">
        <w:t>to deliver long term benefit to communities, workers and industries</w:t>
      </w:r>
      <w:r w:rsidRPr="00F8589A">
        <w:rPr>
          <w:b/>
          <w:bCs/>
        </w:rPr>
        <w:t xml:space="preserve"> </w:t>
      </w:r>
      <w:r w:rsidRPr="00F8589A">
        <w:t>and foster community support that is critical for a successful transition</w:t>
      </w:r>
      <w:r w:rsidR="00D95E9F">
        <w:t>.</w:t>
      </w:r>
    </w:p>
    <w:p w14:paraId="29DED67E" w14:textId="4402B408" w:rsidR="000E2BCD" w:rsidRDefault="005C66CA" w:rsidP="0005336F">
      <w:pPr>
        <w:pStyle w:val="List3"/>
        <w:numPr>
          <w:ilvl w:val="0"/>
          <w:numId w:val="10"/>
        </w:numPr>
      </w:pPr>
      <w:r>
        <w:t>R</w:t>
      </w:r>
      <w:r w:rsidR="000E2BCD">
        <w:t>ecoup</w:t>
      </w:r>
      <w:r>
        <w:t>ing investments</w:t>
      </w:r>
      <w:r w:rsidR="000E2BCD">
        <w:t xml:space="preserve"> from electricity bills</w:t>
      </w:r>
      <w:r>
        <w:t xml:space="preserve"> be avoide</w:t>
      </w:r>
      <w:r w:rsidR="00A36285">
        <w:t>d.</w:t>
      </w:r>
    </w:p>
    <w:p w14:paraId="63F5C8A7" w14:textId="002B6D5E" w:rsidR="00D95E9F" w:rsidRDefault="00F90612" w:rsidP="0005336F">
      <w:pPr>
        <w:pStyle w:val="List3"/>
        <w:numPr>
          <w:ilvl w:val="0"/>
          <w:numId w:val="10"/>
        </w:numPr>
      </w:pPr>
      <w:r>
        <w:t>Government must support and resource First Nations’ decision making, self-determination and free prior informed consent to e</w:t>
      </w:r>
      <w:r w:rsidRPr="00245667">
        <w:t xml:space="preserve">nable First Nations people and organisations to </w:t>
      </w:r>
      <w:r>
        <w:t xml:space="preserve">have a say in, </w:t>
      </w:r>
      <w:r w:rsidRPr="006362E8">
        <w:t>participate</w:t>
      </w:r>
      <w:r w:rsidRPr="00245667">
        <w:t xml:space="preserve"> in</w:t>
      </w:r>
      <w:r>
        <w:t xml:space="preserve"> and benefit from</w:t>
      </w:r>
      <w:r w:rsidRPr="00245667">
        <w:t xml:space="preserve"> clean energy projects where they hold land interests</w:t>
      </w:r>
    </w:p>
    <w:p w14:paraId="66527F55" w14:textId="77777777" w:rsidR="00AF7A87" w:rsidRPr="00FC3DEE" w:rsidRDefault="00AF7A87" w:rsidP="0033158A">
      <w:pPr>
        <w:pStyle w:val="List3"/>
      </w:pPr>
    </w:p>
    <w:p w14:paraId="34945909" w14:textId="68BC36E8" w:rsidR="00AF4023" w:rsidRDefault="001C0DD5" w:rsidP="0033158A">
      <w:pPr>
        <w:pStyle w:val="Heading4"/>
      </w:pPr>
      <w:r>
        <w:t xml:space="preserve">4.2 </w:t>
      </w:r>
      <w:r w:rsidR="003C2452">
        <w:t>Polluters pay</w:t>
      </w:r>
      <w:r w:rsidR="00AF4023">
        <w:t xml:space="preserve"> </w:t>
      </w:r>
      <w:r w:rsidR="0073140B">
        <w:t>principle should be applied to generate revenue to support investment</w:t>
      </w:r>
    </w:p>
    <w:p w14:paraId="285D9C34" w14:textId="35E30DCF" w:rsidR="00ED4854" w:rsidRDefault="00ED4854" w:rsidP="00ED4854">
      <w:pPr>
        <w:rPr>
          <w:rFonts w:ascii="Aptos" w:eastAsiaTheme="minorEastAsia" w:hAnsi="Aptos" w:cs="Aptos"/>
          <w:sz w:val="22"/>
          <w:szCs w:val="22"/>
        </w:rPr>
      </w:pPr>
      <w:r>
        <w:t xml:space="preserve">Significant uplift in investment will be required to support a fair, </w:t>
      </w:r>
      <w:proofErr w:type="gramStart"/>
      <w:r>
        <w:t>fast</w:t>
      </w:r>
      <w:proofErr w:type="gramEnd"/>
      <w:r>
        <w:t xml:space="preserve"> and inclusive transition to clean energy and a clean economy. A polluters pay principle should be at the heart of policy to support accelerated investment in zero emissions stationary energy.</w:t>
      </w:r>
    </w:p>
    <w:p w14:paraId="2F001D68" w14:textId="77777777" w:rsidR="00ED4854" w:rsidRDefault="00ED4854" w:rsidP="00ED4854">
      <w:r>
        <w:t>ACOSS has previously advocated for a mix of regulation, off budget measures and carbon price (where revenue raised was used to compensate low-income households for transitional costs arising from the carbon price) to support the scale and acceleration of investment needed.</w:t>
      </w:r>
    </w:p>
    <w:p w14:paraId="4A9592E7" w14:textId="77777777" w:rsidR="00ED4854" w:rsidRDefault="00ED4854" w:rsidP="00ED4854">
      <w:r>
        <w:t>Absent a new economy-wide cap and trade scheme, the existing safeguard mechanisms should be expanded to include more facilities and the carbon price increased.</w:t>
      </w:r>
    </w:p>
    <w:p w14:paraId="70434D0B" w14:textId="1050E565" w:rsidR="00ED4854" w:rsidRDefault="00ED4854" w:rsidP="00ED4854">
      <w:r>
        <w:t>Depending on how the scheme or mechanism is implemented, compensation for people on low</w:t>
      </w:r>
      <w:r w:rsidR="3BFDB7BF">
        <w:t xml:space="preserve"> </w:t>
      </w:r>
      <w:r>
        <w:t xml:space="preserve">incomes for transitional costs arising from the carbon price and/or supports for households </w:t>
      </w:r>
      <w:r w:rsidR="1FC4AFE9">
        <w:t xml:space="preserve">to </w:t>
      </w:r>
      <w:r>
        <w:t>access measures to reduce energy costs, would need to be considered.</w:t>
      </w:r>
    </w:p>
    <w:p w14:paraId="62FD81CF" w14:textId="360184AF" w:rsidR="00ED4854" w:rsidRDefault="00ED4854" w:rsidP="00ED4854">
      <w:pPr>
        <w:ind w:left="426"/>
      </w:pPr>
      <w:bookmarkStart w:id="6" w:name="_Hlk165365746"/>
      <w:r>
        <w:rPr>
          <w:b/>
          <w:bCs/>
          <w:color w:val="CE2028"/>
        </w:rPr>
        <w:t>Recommendation 6:</w:t>
      </w:r>
      <w:r>
        <w:t xml:space="preserve"> </w:t>
      </w:r>
      <w:r w:rsidR="005D20E5">
        <w:t xml:space="preserve">The </w:t>
      </w:r>
      <w:r w:rsidR="00B24EB8">
        <w:t>F</w:t>
      </w:r>
      <w:r w:rsidR="005D20E5">
        <w:t>ederal Government</w:t>
      </w:r>
      <w:r>
        <w:t xml:space="preserve"> either re-introduce an economy-wide cap and trade scheme or expand the existing safeguard mechanisms to include more facilities and increase the carbon price. Depending on how the scheme or mechanism is implemented, compensation for people on low incomes for transitional costs arising from the carbon price and/or supports for </w:t>
      </w:r>
      <w:r w:rsidR="4CE2E83E">
        <w:t>households</w:t>
      </w:r>
      <w:r>
        <w:t xml:space="preserve"> </w:t>
      </w:r>
      <w:r w:rsidR="62521045">
        <w:t>to</w:t>
      </w:r>
      <w:r>
        <w:t xml:space="preserve"> access measures to reduce energy costs, would need to be considered</w:t>
      </w:r>
      <w:bookmarkEnd w:id="6"/>
      <w:r>
        <w:t xml:space="preserve">. </w:t>
      </w:r>
    </w:p>
    <w:p w14:paraId="147A38E8" w14:textId="20610BAE" w:rsidR="004955E2" w:rsidRDefault="00224DB7" w:rsidP="0033158A">
      <w:r>
        <w:lastRenderedPageBreak/>
        <w:t>To support increasing costs of off budget measures, t</w:t>
      </w:r>
      <w:r w:rsidR="004955E2">
        <w:t>he Government should end the more than $12 billion dollars of annual subsidies for fossil fuel production and use, that contribute to increasing emissions and to end the additional billions in government funding for gas</w:t>
      </w:r>
      <w:r w:rsidR="00580ADA">
        <w:t>,</w:t>
      </w:r>
      <w:r w:rsidR="004955E2">
        <w:t xml:space="preserve"> coal and fossil carbon capture and storage (CCS) projects.</w:t>
      </w:r>
    </w:p>
    <w:p w14:paraId="05AA38B8" w14:textId="48D256CE" w:rsidR="00683106" w:rsidRPr="00683106" w:rsidRDefault="00683106" w:rsidP="008C4F61">
      <w:pPr>
        <w:ind w:left="426"/>
      </w:pPr>
      <w:r>
        <w:rPr>
          <w:b/>
          <w:bCs/>
          <w:color w:val="CE2028"/>
        </w:rPr>
        <w:t xml:space="preserve">Recommendation </w:t>
      </w:r>
      <w:r w:rsidR="0090687D">
        <w:rPr>
          <w:b/>
          <w:bCs/>
          <w:color w:val="CE2028"/>
        </w:rPr>
        <w:t>7</w:t>
      </w:r>
      <w:r>
        <w:rPr>
          <w:b/>
          <w:bCs/>
          <w:color w:val="CE2028"/>
        </w:rPr>
        <w:t xml:space="preserve">: </w:t>
      </w:r>
      <w:r w:rsidR="2C7A555A" w:rsidRPr="1B4F636D">
        <w:rPr>
          <w:b/>
          <w:bCs/>
          <w:color w:val="CE2028"/>
        </w:rPr>
        <w:t>T</w:t>
      </w:r>
      <w:r>
        <w:t>he</w:t>
      </w:r>
      <w:r w:rsidRPr="00683106">
        <w:t xml:space="preserve"> Federal Government</w:t>
      </w:r>
      <w:r>
        <w:t xml:space="preserve"> </w:t>
      </w:r>
      <w:r w:rsidR="53D879D4">
        <w:t>to</w:t>
      </w:r>
      <w:r w:rsidRPr="00683106">
        <w:t xml:space="preserve"> rapidly phase out all fossil fuel subsidies, </w:t>
      </w:r>
      <w:proofErr w:type="gramStart"/>
      <w:r w:rsidRPr="00683106">
        <w:t>rebates</w:t>
      </w:r>
      <w:proofErr w:type="gramEnd"/>
      <w:r w:rsidRPr="00683106">
        <w:t xml:space="preserve"> and tax credits, and repurpose revenue to help industries and people experiencing financial and social disadvantage transition to renewable energy sources and more efficient operations.</w:t>
      </w:r>
    </w:p>
    <w:p w14:paraId="67BB4317" w14:textId="1A741ADB" w:rsidR="006A0D9E" w:rsidRPr="00553414" w:rsidRDefault="00B53CE3" w:rsidP="00AD3BBD">
      <w:pPr>
        <w:pStyle w:val="Default"/>
        <w:rPr>
          <w:rFonts w:ascii="Verdana" w:hAnsi="Verdana" w:cs="Verdana"/>
          <w:sz w:val="21"/>
          <w:szCs w:val="21"/>
        </w:rPr>
      </w:pPr>
      <w:r>
        <w:rPr>
          <w:rFonts w:ascii="Verdana" w:hAnsi="Verdana" w:cstheme="minorBidi"/>
          <w:color w:val="auto"/>
          <w:sz w:val="21"/>
          <w:szCs w:val="21"/>
        </w:rPr>
        <w:t xml:space="preserve">The Government should also increase taxes on the top fossil fuel </w:t>
      </w:r>
      <w:r w:rsidRPr="1B4F636D">
        <w:rPr>
          <w:rFonts w:ascii="Verdana" w:hAnsi="Verdana" w:cstheme="minorBidi"/>
          <w:color w:val="auto"/>
          <w:sz w:val="21"/>
          <w:szCs w:val="21"/>
        </w:rPr>
        <w:t>produce</w:t>
      </w:r>
      <w:r w:rsidR="4DAC14E3" w:rsidRPr="1B4F636D">
        <w:rPr>
          <w:rFonts w:ascii="Verdana" w:hAnsi="Verdana" w:cstheme="minorBidi"/>
          <w:color w:val="auto"/>
          <w:sz w:val="21"/>
          <w:szCs w:val="21"/>
        </w:rPr>
        <w:t>r</w:t>
      </w:r>
      <w:r w:rsidRPr="1B4F636D">
        <w:rPr>
          <w:rFonts w:ascii="Verdana" w:hAnsi="Verdana" w:cstheme="minorBidi"/>
          <w:color w:val="auto"/>
          <w:sz w:val="21"/>
          <w:szCs w:val="21"/>
        </w:rPr>
        <w:t>s.</w:t>
      </w:r>
      <w:r>
        <w:rPr>
          <w:rFonts w:ascii="Verdana" w:hAnsi="Verdana" w:cstheme="minorBidi"/>
          <w:color w:val="auto"/>
          <w:sz w:val="21"/>
          <w:szCs w:val="21"/>
        </w:rPr>
        <w:t xml:space="preserve"> </w:t>
      </w:r>
      <w:r w:rsidR="00D40377" w:rsidRPr="002C5049">
        <w:rPr>
          <w:rFonts w:ascii="Verdana" w:hAnsi="Verdana" w:cstheme="minorBidi"/>
          <w:color w:val="auto"/>
          <w:sz w:val="21"/>
          <w:szCs w:val="21"/>
        </w:rPr>
        <w:t>Although we are largest gas-exporter in the world, our governments collect taxes and royalties from petroleum and gas mining at much lower effective rates than comparable countries such as Denmark, the Netherlands and Norway.</w:t>
      </w:r>
      <w:r w:rsidR="002C5049">
        <w:rPr>
          <w:rStyle w:val="FootnoteReference"/>
          <w:rFonts w:ascii="Verdana" w:hAnsi="Verdana" w:cstheme="minorBidi"/>
          <w:color w:val="auto"/>
          <w:sz w:val="21"/>
          <w:szCs w:val="21"/>
        </w:rPr>
        <w:footnoteReference w:id="26"/>
      </w:r>
      <w:r w:rsidR="00D40377" w:rsidRPr="002C5049">
        <w:rPr>
          <w:rFonts w:ascii="Verdana" w:hAnsi="Verdana" w:cstheme="minorBidi"/>
          <w:color w:val="auto"/>
          <w:sz w:val="21"/>
          <w:szCs w:val="21"/>
        </w:rPr>
        <w:t xml:space="preserve"> </w:t>
      </w:r>
      <w:r w:rsidR="007D68AF" w:rsidRPr="002C5049">
        <w:rPr>
          <w:rFonts w:ascii="Verdana" w:hAnsi="Verdana" w:cstheme="minorBidi"/>
          <w:sz w:val="21"/>
          <w:szCs w:val="21"/>
        </w:rPr>
        <w:t xml:space="preserve">In addition to the </w:t>
      </w:r>
      <w:r w:rsidR="00553414" w:rsidRPr="002C5049">
        <w:rPr>
          <w:rFonts w:ascii="Verdana" w:hAnsi="Verdana" w:cstheme="minorBidi"/>
          <w:sz w:val="21"/>
          <w:szCs w:val="21"/>
        </w:rPr>
        <w:t>Petroleum</w:t>
      </w:r>
      <w:r w:rsidR="00553414" w:rsidRPr="00553414">
        <w:rPr>
          <w:rFonts w:ascii="Verdana" w:hAnsi="Verdana" w:cstheme="minorBidi"/>
          <w:sz w:val="21"/>
          <w:szCs w:val="21"/>
        </w:rPr>
        <w:t xml:space="preserve"> Resource Rent Tax </w:t>
      </w:r>
      <w:r w:rsidR="11B7BB19" w:rsidRPr="1B4F636D">
        <w:rPr>
          <w:rFonts w:ascii="Verdana" w:hAnsi="Verdana" w:cstheme="minorBidi"/>
          <w:sz w:val="21"/>
          <w:szCs w:val="21"/>
        </w:rPr>
        <w:t>(</w:t>
      </w:r>
      <w:r w:rsidR="007D68AF" w:rsidRPr="00553414">
        <w:rPr>
          <w:rFonts w:ascii="Verdana" w:hAnsi="Verdana" w:cstheme="minorBidi"/>
          <w:sz w:val="21"/>
          <w:szCs w:val="21"/>
        </w:rPr>
        <w:t>PRRT</w:t>
      </w:r>
      <w:r w:rsidR="115BCD38" w:rsidRPr="1B4F636D">
        <w:rPr>
          <w:rFonts w:ascii="Verdana" w:hAnsi="Verdana" w:cstheme="minorBidi"/>
          <w:sz w:val="21"/>
          <w:szCs w:val="21"/>
        </w:rPr>
        <w:t>)</w:t>
      </w:r>
      <w:r w:rsidR="007D68AF" w:rsidRPr="00553414">
        <w:rPr>
          <w:rFonts w:ascii="Verdana" w:hAnsi="Verdana" w:cstheme="minorBidi"/>
          <w:sz w:val="21"/>
          <w:szCs w:val="21"/>
        </w:rPr>
        <w:t xml:space="preserve"> the government should introduce a 10% royalty on existing and future offshore LNG projects which are not subject to </w:t>
      </w:r>
      <w:r w:rsidR="39478222" w:rsidRPr="1B4F636D">
        <w:rPr>
          <w:rFonts w:ascii="Verdana" w:hAnsi="Verdana" w:cstheme="minorBidi"/>
          <w:sz w:val="21"/>
          <w:szCs w:val="21"/>
        </w:rPr>
        <w:t>s</w:t>
      </w:r>
      <w:r w:rsidR="007D68AF" w:rsidRPr="1B4F636D">
        <w:rPr>
          <w:rFonts w:ascii="Verdana" w:hAnsi="Verdana" w:cstheme="minorBidi"/>
          <w:sz w:val="21"/>
          <w:szCs w:val="21"/>
        </w:rPr>
        <w:t>tate</w:t>
      </w:r>
      <w:r w:rsidR="007D68AF" w:rsidRPr="00553414">
        <w:rPr>
          <w:rFonts w:ascii="Verdana" w:hAnsi="Verdana" w:cstheme="minorBidi"/>
          <w:sz w:val="21"/>
          <w:szCs w:val="21"/>
        </w:rPr>
        <w:t xml:space="preserve"> government royalties. This would better align their tax treatment with that of onshore oil and gas projects (including the </w:t>
      </w:r>
      <w:proofErr w:type="gramStart"/>
      <w:r w:rsidR="007D68AF" w:rsidRPr="00553414">
        <w:rPr>
          <w:rFonts w:ascii="Verdana" w:hAnsi="Verdana" w:cstheme="minorBidi"/>
          <w:sz w:val="21"/>
          <w:szCs w:val="21"/>
        </w:rPr>
        <w:t>North West</w:t>
      </w:r>
      <w:proofErr w:type="gramEnd"/>
      <w:r w:rsidR="007D68AF" w:rsidRPr="00553414">
        <w:rPr>
          <w:rFonts w:ascii="Verdana" w:hAnsi="Verdana" w:cstheme="minorBidi"/>
          <w:sz w:val="21"/>
          <w:szCs w:val="21"/>
        </w:rPr>
        <w:t xml:space="preserve"> Shelf Project) which are already subject to royalties of 10% or more. It would also bring forward revenues from offshore gas production and improve revenue certainty, noting that royalties are offset against future PRRT liabilities.</w:t>
      </w:r>
    </w:p>
    <w:p w14:paraId="6B4F51DD" w14:textId="44ACD1CF" w:rsidR="002C5049" w:rsidRPr="001401B4" w:rsidRDefault="001E25D8" w:rsidP="008C4F61">
      <w:pPr>
        <w:ind w:left="426"/>
      </w:pPr>
      <w:r>
        <w:rPr>
          <w:b/>
          <w:bCs/>
          <w:color w:val="CE2028"/>
        </w:rPr>
        <w:t xml:space="preserve">Recommendation </w:t>
      </w:r>
      <w:r w:rsidR="0090687D">
        <w:rPr>
          <w:b/>
          <w:bCs/>
          <w:color w:val="CE2028"/>
        </w:rPr>
        <w:t>8</w:t>
      </w:r>
      <w:r>
        <w:rPr>
          <w:b/>
          <w:bCs/>
          <w:color w:val="CE2028"/>
        </w:rPr>
        <w:t>:</w:t>
      </w:r>
      <w:r w:rsidR="00462613">
        <w:rPr>
          <w:b/>
          <w:bCs/>
          <w:color w:val="CE2028"/>
        </w:rPr>
        <w:t xml:space="preserve"> </w:t>
      </w:r>
      <w:r w:rsidR="00462613" w:rsidRPr="001401B4">
        <w:t>Introduce a 10% commonwealth royalty on offshore gas resources.</w:t>
      </w:r>
    </w:p>
    <w:p w14:paraId="4C0A15D3" w14:textId="1112BDE7" w:rsidR="00106F67" w:rsidRDefault="00837E31" w:rsidP="0033158A">
      <w:pPr>
        <w:pStyle w:val="Heading3"/>
      </w:pPr>
      <w:r>
        <w:rPr>
          <w:noProof/>
        </w:rPr>
        <mc:AlternateContent>
          <mc:Choice Requires="wps">
            <w:drawing>
              <wp:anchor distT="45720" distB="45720" distL="114300" distR="114300" simplePos="0" relativeHeight="251655680" behindDoc="0" locked="0" layoutInCell="1" allowOverlap="1" wp14:anchorId="78A59D0A" wp14:editId="6D9383DD">
                <wp:simplePos x="0" y="0"/>
                <wp:positionH relativeFrom="margin">
                  <wp:align>right</wp:align>
                </wp:positionH>
                <wp:positionV relativeFrom="paragraph">
                  <wp:posOffset>551815</wp:posOffset>
                </wp:positionV>
                <wp:extent cx="5800725" cy="1495425"/>
                <wp:effectExtent l="0" t="0" r="28575" b="28575"/>
                <wp:wrapSquare wrapText="bothSides"/>
                <wp:docPr id="3044877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1495425"/>
                        </a:xfrm>
                        <a:prstGeom prst="rect">
                          <a:avLst/>
                        </a:prstGeom>
                        <a:solidFill>
                          <a:srgbClr val="5B9BD5">
                            <a:lumMod val="40000"/>
                            <a:lumOff val="60000"/>
                          </a:srgbClr>
                        </a:solidFill>
                        <a:ln w="9525">
                          <a:solidFill>
                            <a:srgbClr val="000000"/>
                          </a:solidFill>
                          <a:miter lim="800000"/>
                          <a:headEnd/>
                          <a:tailEnd/>
                        </a:ln>
                      </wps:spPr>
                      <wps:txbx>
                        <w:txbxContent>
                          <w:p w14:paraId="686D1539" w14:textId="77777777" w:rsidR="00837E31" w:rsidRPr="007A5A2E" w:rsidRDefault="00837E31" w:rsidP="0033158A">
                            <w:r w:rsidRPr="007A5A2E">
                              <w:t xml:space="preserve">2.What actions are required to ensure Australia’s energy systems can enable increased electrification, while maintaining equity, </w:t>
                            </w:r>
                            <w:proofErr w:type="gramStart"/>
                            <w:r w:rsidRPr="007A5A2E">
                              <w:t>reliability</w:t>
                            </w:r>
                            <w:proofErr w:type="gramEnd"/>
                            <w:r w:rsidRPr="007A5A2E">
                              <w:t xml:space="preserve"> and security? </w:t>
                            </w:r>
                          </w:p>
                          <w:p w14:paraId="41A16B66" w14:textId="546EE948" w:rsidR="00837E31" w:rsidRPr="007A5A2E" w:rsidRDefault="00837E31" w:rsidP="0033158A">
                            <w:r w:rsidRPr="007A5A2E">
                              <w:t xml:space="preserve">3.What insights do you have on the pace, </w:t>
                            </w:r>
                            <w:proofErr w:type="gramStart"/>
                            <w:r w:rsidRPr="007A5A2E">
                              <w:t>scale</w:t>
                            </w:r>
                            <w:proofErr w:type="gramEnd"/>
                            <w:r w:rsidRPr="007A5A2E">
                              <w:t xml:space="preserve"> and location of electrification, and how to embed this in system planning?</w:t>
                            </w:r>
                          </w:p>
                          <w:p w14:paraId="75BFAE7A" w14:textId="3DF85FA0" w:rsidR="0065639C" w:rsidRPr="007A5A2E" w:rsidRDefault="00837E31" w:rsidP="0033158A">
                            <w:r w:rsidRPr="007A5A2E">
                              <w:t xml:space="preserve">4.How can electrification efforts be sequenced to align with expansion of electricity generation and network capacity?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A59D0A" id="_x0000_s1027" type="#_x0000_t202" style="position:absolute;left:0;text-align:left;margin-left:405.55pt;margin-top:43.45pt;width:456.75pt;height:117.75pt;z-index:2516556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pMQIAAGAEAAAOAAAAZHJzL2Uyb0RvYy54bWysVNuO0zAQfUfiHyy/06RVsruNmq62LYuQ&#10;lou08AGO4zQWtifYbpPy9YydtFtA4gGRB8szts/MnDOT1f2gFTkK6ySYks5nKSXCcKil2Zf065fH&#10;N3eUOM9MzRQYUdKTcPR+/frVqu8KsYAWVC0sQRDjir4raet9VySJ463QzM2gEwYPG7CaeTTtPqkt&#10;6xFdq2SRpjdJD7buLHDhHHp34yFdR/ymEdx/ahonPFElxdx8XG1cq7Am6xUr9pZ1reRTGuwfstBM&#10;Ggx6gdoxz8jByj+gtOQWHDR+xkEn0DSSi1gDVjNPf6vmuWWdiLUgOa670OT+Hyz/eHzuPlvihw0M&#10;KGAswnVPwL85YmDbMrMXD9ZC3wpWY+B5oCzpO1dMTwPVrnABpOo/QI0is4OHCDQ0VgdWsE6C6CjA&#10;6UK6GDzh6Mzv0vR2kVPC8WyeLfMMjRCDFefnnXX+nQBNwqakFlWN8Oz45Px49XwlRHOgZP0olYqG&#10;3VdbZcmRYQfkm+Vml8e36qAx2dGdpfiNrYBubJjRfXN2YypuhIlp/YKvDOlLuswx6b/HDmBjlAB3&#10;naKWHmdASV1S5GK6xIpA+FtTxw71TKpxj4+VmRQIpI/0+6EaiKwneYIgFdQnlMTC2PI4orhpwf6g&#10;pMd2L6n7fmBWUKLeG5R1Oc+yMB/RyPLbBRr2+qS6PmGGI1RJPSXjduvjTAUGDDyg/I2MwrxkMqWM&#10;bRw5nEYuzMm1HW+9/BjWPwEAAP//AwBQSwMEFAAGAAgAAAAhAP1hFdrgAAAABwEAAA8AAABkcnMv&#10;ZG93bnJldi54bWxMj0FLw0AUhO+C/2F5gje7aaohiXkpRRAqKNQq2N622WcSmn0bsps2/feuJz0O&#10;M8x8Uywn04kTDa61jDCfRSCIK6tbrhE+P57vUhDOK9aqs0wIF3KwLK+vCpVre+Z3Om19LUIJu1wh&#10;NN73uZSuasgoN7M9cfC+7WCUD3KopR7UOZSbTsZRlEijWg4LjerpqaHquB0Ngtztktf1y+byNqar&#10;7Gtd7avNcY94ezOtHkF4mvxfGH7xAzqUgelgR9ZOdAjhiEdIkwxEcLP54gHEAWERx/cgy0L+5y9/&#10;AAAA//8DAFBLAQItABQABgAIAAAAIQC2gziS/gAAAOEBAAATAAAAAAAAAAAAAAAAAAAAAABbQ29u&#10;dGVudF9UeXBlc10ueG1sUEsBAi0AFAAGAAgAAAAhADj9If/WAAAAlAEAAAsAAAAAAAAAAAAAAAAA&#10;LwEAAF9yZWxzLy5yZWxzUEsBAi0AFAAGAAgAAAAhAD4L+mkxAgAAYAQAAA4AAAAAAAAAAAAAAAAA&#10;LgIAAGRycy9lMm9Eb2MueG1sUEsBAi0AFAAGAAgAAAAhAP1hFdrgAAAABwEAAA8AAAAAAAAAAAAA&#10;AAAAiwQAAGRycy9kb3ducmV2LnhtbFBLBQYAAAAABAAEAPMAAACYBQAAAAA=&#10;" fillcolor="#bdd7ee">
                <v:textbox>
                  <w:txbxContent>
                    <w:p w14:paraId="686D1539" w14:textId="77777777" w:rsidR="00837E31" w:rsidRPr="007A5A2E" w:rsidRDefault="00837E31" w:rsidP="0033158A">
                      <w:r w:rsidRPr="007A5A2E">
                        <w:t xml:space="preserve">2.What actions are required to ensure Australia’s energy systems can enable increased electrification, while maintaining equity, </w:t>
                      </w:r>
                      <w:proofErr w:type="gramStart"/>
                      <w:r w:rsidRPr="007A5A2E">
                        <w:t>reliability</w:t>
                      </w:r>
                      <w:proofErr w:type="gramEnd"/>
                      <w:r w:rsidRPr="007A5A2E">
                        <w:t xml:space="preserve"> and security? </w:t>
                      </w:r>
                    </w:p>
                    <w:p w14:paraId="41A16B66" w14:textId="546EE948" w:rsidR="00837E31" w:rsidRPr="007A5A2E" w:rsidRDefault="00837E31" w:rsidP="0033158A">
                      <w:r w:rsidRPr="007A5A2E">
                        <w:t xml:space="preserve">3.What insights do you have on the pace, </w:t>
                      </w:r>
                      <w:proofErr w:type="gramStart"/>
                      <w:r w:rsidRPr="007A5A2E">
                        <w:t>scale</w:t>
                      </w:r>
                      <w:proofErr w:type="gramEnd"/>
                      <w:r w:rsidRPr="007A5A2E">
                        <w:t xml:space="preserve"> and location of electrification, and how to embed this in system planning?</w:t>
                      </w:r>
                    </w:p>
                    <w:p w14:paraId="75BFAE7A" w14:textId="3DF85FA0" w:rsidR="0065639C" w:rsidRPr="007A5A2E" w:rsidRDefault="00837E31" w:rsidP="0033158A">
                      <w:r w:rsidRPr="007A5A2E">
                        <w:t xml:space="preserve">4.How can electrification efforts be sequenced to align with expansion of electricity generation and network capacity?  </w:t>
                      </w:r>
                    </w:p>
                  </w:txbxContent>
                </v:textbox>
                <w10:wrap type="square" anchorx="margin"/>
              </v:shape>
            </w:pict>
          </mc:Fallback>
        </mc:AlternateContent>
      </w:r>
      <w:r w:rsidR="00106F67">
        <w:t>Enabling electrification</w:t>
      </w:r>
    </w:p>
    <w:p w14:paraId="4C4178F0" w14:textId="2DB2440A" w:rsidR="003D11BB" w:rsidRDefault="006F41C4" w:rsidP="0033158A">
      <w:r>
        <w:t xml:space="preserve">Like energy efficiency and </w:t>
      </w:r>
      <w:r w:rsidR="00E4103B">
        <w:t>demand side management, e</w:t>
      </w:r>
      <w:r w:rsidR="003D11BB">
        <w:t>lectrification is a “no regrets” measure. This means it is an action that is worth taking because it is likely to be beneficial no matter what happens in the future.</w:t>
      </w:r>
    </w:p>
    <w:p w14:paraId="2D1EE7C5" w14:textId="3E835BE3" w:rsidR="002813A6" w:rsidRDefault="002813A6" w:rsidP="0033158A">
      <w:r>
        <w:t>As noted earlier, research shows electrification can deliver 26 per cent of Australia’s emissions reductions</w:t>
      </w:r>
      <w:r w:rsidR="003433EB">
        <w:t xml:space="preserve"> </w:t>
      </w:r>
      <w:r>
        <w:t xml:space="preserve">at low cost. </w:t>
      </w:r>
    </w:p>
    <w:p w14:paraId="4397F6CC" w14:textId="77777777" w:rsidR="00C662FC" w:rsidRDefault="00C152B3" w:rsidP="0033158A">
      <w:r>
        <w:t>When it comes to residential energy, t</w:t>
      </w:r>
      <w:r w:rsidR="003D11BB">
        <w:t>here are no plausible alternatives to efficient household electrification. Potential ‘alternatives’ like hydrogen (green or otherwise) or biofuels</w:t>
      </w:r>
      <w:r w:rsidR="00C662FC">
        <w:t>:</w:t>
      </w:r>
    </w:p>
    <w:p w14:paraId="6E99CAA6" w14:textId="001FE20F" w:rsidR="00C662FC" w:rsidRDefault="003D11BB" w:rsidP="00A96744">
      <w:pPr>
        <w:pStyle w:val="ListParagraph"/>
        <w:numPr>
          <w:ilvl w:val="0"/>
          <w:numId w:val="12"/>
        </w:numPr>
      </w:pPr>
      <w:r>
        <w:lastRenderedPageBreak/>
        <w:t>fail to reduce emissions</w:t>
      </w:r>
      <w:r w:rsidR="000163A6">
        <w:t xml:space="preserve"> quickly and in line with limiting warming to 1,5 degrees</w:t>
      </w:r>
      <w:r>
        <w:t>,</w:t>
      </w:r>
    </w:p>
    <w:p w14:paraId="1067FB49" w14:textId="5B4E358A" w:rsidR="00C662FC" w:rsidRDefault="002228D7" w:rsidP="00A96744">
      <w:pPr>
        <w:pStyle w:val="ListParagraph"/>
        <w:numPr>
          <w:ilvl w:val="0"/>
          <w:numId w:val="12"/>
        </w:numPr>
      </w:pPr>
      <w:r>
        <w:t xml:space="preserve">are still harmful to </w:t>
      </w:r>
      <w:r w:rsidR="003D11BB">
        <w:t xml:space="preserve">health, </w:t>
      </w:r>
      <w:r w:rsidR="0027698B">
        <w:t>and</w:t>
      </w:r>
    </w:p>
    <w:p w14:paraId="06C96356" w14:textId="695E992B" w:rsidR="003D11BB" w:rsidRDefault="003D11BB" w:rsidP="00A96744">
      <w:pPr>
        <w:pStyle w:val="ListParagraph"/>
        <w:numPr>
          <w:ilvl w:val="0"/>
          <w:numId w:val="12"/>
        </w:numPr>
      </w:pPr>
      <w:r>
        <w:t>involv</w:t>
      </w:r>
      <w:r w:rsidR="002228D7">
        <w:t>e</w:t>
      </w:r>
      <w:r>
        <w:t xml:space="preserve"> unnecessary cost and risk to households.</w:t>
      </w:r>
    </w:p>
    <w:p w14:paraId="026C9B20" w14:textId="71229DD8" w:rsidR="00AF5B01" w:rsidRDefault="003D11BB" w:rsidP="0033158A">
      <w:r>
        <w:t>ACOSS strongly supports electrification of the residential sector as a key solution to</w:t>
      </w:r>
      <w:r w:rsidR="00FF24E4">
        <w:t xml:space="preserve"> not only cut carbon emissions but to</w:t>
      </w:r>
      <w:r w:rsidR="0010120A">
        <w:t>:</w:t>
      </w:r>
    </w:p>
    <w:p w14:paraId="13136E6B" w14:textId="4FC0AB0D" w:rsidR="00AF5B01" w:rsidRPr="00135F87" w:rsidRDefault="00AF5B01" w:rsidP="00A96744">
      <w:pPr>
        <w:pStyle w:val="ListParagraph"/>
        <w:numPr>
          <w:ilvl w:val="0"/>
          <w:numId w:val="15"/>
        </w:numPr>
      </w:pPr>
      <w:r>
        <w:t>R</w:t>
      </w:r>
      <w:r w:rsidR="003D11BB">
        <w:t>educ</w:t>
      </w:r>
      <w:r w:rsidR="00A60503">
        <w:t>e</w:t>
      </w:r>
      <w:r w:rsidR="003D11BB">
        <w:t xml:space="preserve"> energy bills</w:t>
      </w:r>
      <w:r>
        <w:t xml:space="preserve"> - </w:t>
      </w:r>
      <w:r w:rsidRPr="00135F87">
        <w:t xml:space="preserve">Climate Council analysis shows electrifying a home’s cooking, heating and hot water can save a household between $336 and $1,311 a year; with households in Hobart, Melbourne, </w:t>
      </w:r>
      <w:proofErr w:type="gramStart"/>
      <w:r w:rsidRPr="00135F87">
        <w:t>Canberra</w:t>
      </w:r>
      <w:proofErr w:type="gramEnd"/>
      <w:r w:rsidRPr="00135F87">
        <w:t xml:space="preserve"> and Brisbane saving the most.</w:t>
      </w:r>
      <w:r w:rsidRPr="00135F87">
        <w:rPr>
          <w:vertAlign w:val="superscript"/>
        </w:rPr>
        <w:footnoteReference w:id="27"/>
      </w:r>
    </w:p>
    <w:p w14:paraId="43B26422" w14:textId="0B63D638" w:rsidR="00AF5B01" w:rsidRDefault="00AF5B01" w:rsidP="00A96744">
      <w:pPr>
        <w:pStyle w:val="ListParagraph"/>
        <w:numPr>
          <w:ilvl w:val="0"/>
          <w:numId w:val="15"/>
        </w:numPr>
      </w:pPr>
      <w:r>
        <w:t>I</w:t>
      </w:r>
      <w:r w:rsidR="003D11BB">
        <w:t>mproving health outcomes</w:t>
      </w:r>
      <w:r w:rsidR="00AF09D5">
        <w:t xml:space="preserve"> </w:t>
      </w:r>
      <w:r w:rsidR="7185D0EF">
        <w:t>-</w:t>
      </w:r>
      <w:r w:rsidR="00AF09D5">
        <w:t xml:space="preserve"> </w:t>
      </w:r>
      <w:r w:rsidR="00AF09D5" w:rsidRPr="00AF09D5">
        <w:t>There are significant health benefits of households shifting off gas to electric appliances. Gas is poisonous, and the use of gas appliances in homes reduces indoor air quality, both when gas is burned and through leakage.  For example, cooking with gas has been estimated to be responsible for up to 12% of the burden of childhood asthma in Australia.</w:t>
      </w:r>
      <w:r w:rsidR="00AF09D5" w:rsidRPr="00AF09D5">
        <w:rPr>
          <w:vertAlign w:val="superscript"/>
        </w:rPr>
        <w:footnoteReference w:id="28"/>
      </w:r>
      <w:r w:rsidR="00AF09D5" w:rsidRPr="00AF09D5">
        <w:t xml:space="preserve"> Better ventilation, including modern extraction fans over stoves, flues for gas heaters and other safety measures like ensuring appliances are properly serviced or opening windows can reduce but not eliminate these risks</w:t>
      </w:r>
      <w:r w:rsidR="03DA18BA" w:rsidRPr="00AF09D5">
        <w:t>.</w:t>
      </w:r>
    </w:p>
    <w:p w14:paraId="5B481AF7" w14:textId="3C4D1F6D" w:rsidR="00135F87" w:rsidRDefault="002A78EF" w:rsidP="00A96744">
      <w:pPr>
        <w:pStyle w:val="ListParagraph"/>
        <w:numPr>
          <w:ilvl w:val="0"/>
          <w:numId w:val="15"/>
        </w:numPr>
      </w:pPr>
      <w:r>
        <w:t>Reduce poverty and inequality - Given people on low incomes spend disproportionately more of their income on energy bills, and experience higher levels of energy deprivation and debt, high energy performing homes will benefit people on low incomes the most, will significantly reduce the numbers of people in energy hardship and help reduce poverty and inequality</w:t>
      </w:r>
    </w:p>
    <w:p w14:paraId="4B6840D6" w14:textId="7807CC53" w:rsidR="00DF0D16" w:rsidRDefault="001A68BB" w:rsidP="0033158A">
      <w:r>
        <w:t>However, e</w:t>
      </w:r>
      <w:r w:rsidR="003D11BB">
        <w:t xml:space="preserve">lectrification must </w:t>
      </w:r>
      <w:r w:rsidR="006F0643">
        <w:t xml:space="preserve">also </w:t>
      </w:r>
      <w:r w:rsidR="003D11BB">
        <w:t xml:space="preserve">be done alongside </w:t>
      </w:r>
      <w:r w:rsidR="002D41E1">
        <w:t xml:space="preserve">thermal </w:t>
      </w:r>
      <w:r w:rsidR="003D11BB">
        <w:t xml:space="preserve">efficiency improvements, including insulation, draught proofing, efficiency windows, shading and coverings and where feasible, access to small-scale renewables and storage (rooftop solar, solar heat pumps, batteries), to achieve emission reduction goals and maximise the other benefits. </w:t>
      </w:r>
    </w:p>
    <w:p w14:paraId="2C76E5EF" w14:textId="0D2F0D2F" w:rsidR="008E1356" w:rsidRDefault="0046097D" w:rsidP="0033158A">
      <w:r>
        <w:t xml:space="preserve">People on low incomes would benefit the most from </w:t>
      </w:r>
      <w:r w:rsidR="003E0601">
        <w:t xml:space="preserve">thermal </w:t>
      </w:r>
      <w:r w:rsidR="001E4B14">
        <w:t>efficiency</w:t>
      </w:r>
      <w:r w:rsidR="003E0601">
        <w:t xml:space="preserve"> and </w:t>
      </w:r>
      <w:r>
        <w:t>electrification</w:t>
      </w:r>
      <w:r w:rsidR="003E0601">
        <w:t>, rooftop solar home energy upgrades</w:t>
      </w:r>
      <w:r>
        <w:t xml:space="preserve">, given they pay disproportionately more of their income on electricity and gas bills, and face high cost of living or other essentials. However, they also face the greatest barriers to electrification, especially if they rent, because they have less choice and control over changes to their home. </w:t>
      </w:r>
    </w:p>
    <w:p w14:paraId="3CDCFDD4" w14:textId="2AF6172C" w:rsidR="008E1356" w:rsidRPr="00763D68" w:rsidRDefault="003943CB" w:rsidP="0033158A">
      <w:hyperlink r:id="rId23" w:history="1">
        <w:r w:rsidR="008E1356" w:rsidRPr="00F91368">
          <w:rPr>
            <w:color w:val="0070C0"/>
            <w:u w:val="single"/>
          </w:rPr>
          <w:t>ACOSS Submission on Senate Inquiry on Electrification 2024</w:t>
        </w:r>
      </w:hyperlink>
      <w:r w:rsidR="008E1356" w:rsidRPr="00A40870">
        <w:rPr>
          <w:color w:val="1F3864" w:themeColor="accent5" w:themeShade="80"/>
        </w:rPr>
        <w:t xml:space="preserve"> </w:t>
      </w:r>
      <w:r w:rsidR="008E1356" w:rsidRPr="00A40870">
        <w:t>provides</w:t>
      </w:r>
      <w:r w:rsidR="00BE3370" w:rsidRPr="00A40870">
        <w:t xml:space="preserve"> further information on barriers to </w:t>
      </w:r>
      <w:r w:rsidR="005F77A7">
        <w:t xml:space="preserve">home </w:t>
      </w:r>
      <w:r w:rsidR="00BE3370" w:rsidRPr="00A40870">
        <w:t>efficiency, electrification</w:t>
      </w:r>
      <w:r w:rsidR="005F77A7">
        <w:t>, and</w:t>
      </w:r>
      <w:r w:rsidR="00BE3370" w:rsidRPr="00A40870">
        <w:t xml:space="preserve"> </w:t>
      </w:r>
      <w:r w:rsidR="00A40870" w:rsidRPr="00A40870">
        <w:t xml:space="preserve">solar, </w:t>
      </w:r>
      <w:r w:rsidR="00BE3370" w:rsidRPr="00A40870">
        <w:t xml:space="preserve">and the additional barriers that face people in low-income </w:t>
      </w:r>
      <w:r w:rsidR="00A40870" w:rsidRPr="00A40870">
        <w:t>housing</w:t>
      </w:r>
      <w:r w:rsidR="00BE3370" w:rsidRPr="00A40870">
        <w:t>.</w:t>
      </w:r>
    </w:p>
    <w:p w14:paraId="3BA78D3C" w14:textId="6F9448C2" w:rsidR="00593B54" w:rsidRDefault="00593B54" w:rsidP="0033158A">
      <w:r w:rsidRPr="00593B54">
        <w:t>ClimateWorks finds an overreliance on market forces will not generate the levels of action needed to achieve electrification and energy efficiency across the building stock and that regulation and other policy interventions will be necessary.</w:t>
      </w:r>
      <w:r w:rsidRPr="00593B54">
        <w:rPr>
          <w:vertAlign w:val="superscript"/>
        </w:rPr>
        <w:footnoteReference w:id="29"/>
      </w:r>
      <w:r w:rsidRPr="00593B54">
        <w:t xml:space="preserve"> </w:t>
      </w:r>
    </w:p>
    <w:p w14:paraId="2B6D927B" w14:textId="2F1ECC16" w:rsidR="00B12D1A" w:rsidRPr="005F252C" w:rsidRDefault="00E94E58" w:rsidP="0033158A">
      <w:r w:rsidRPr="005F252C">
        <w:lastRenderedPageBreak/>
        <w:t>Consultation</w:t>
      </w:r>
      <w:r w:rsidR="0096171F" w:rsidRPr="005F252C">
        <w:t xml:space="preserve"> undertaken by ACOSS </w:t>
      </w:r>
      <w:r w:rsidRPr="005F252C">
        <w:t>found</w:t>
      </w:r>
      <w:r w:rsidR="0096171F" w:rsidRPr="005F252C">
        <w:t xml:space="preserve"> </w:t>
      </w:r>
      <w:r w:rsidRPr="005F252C">
        <w:t>broad</w:t>
      </w:r>
      <w:r w:rsidR="0096171F" w:rsidRPr="005F252C">
        <w:t xml:space="preserve"> </w:t>
      </w:r>
      <w:r w:rsidRPr="005F252C">
        <w:t>consensus</w:t>
      </w:r>
      <w:r w:rsidR="0096171F" w:rsidRPr="005F252C">
        <w:t xml:space="preserve"> </w:t>
      </w:r>
      <w:r w:rsidRPr="005F252C">
        <w:t>for government prioritis</w:t>
      </w:r>
      <w:r w:rsidR="00923ED3">
        <w:t xml:space="preserve">ation </w:t>
      </w:r>
      <w:r w:rsidRPr="005F252C">
        <w:t xml:space="preserve">and direct funding </w:t>
      </w:r>
      <w:r w:rsidR="00923ED3">
        <w:t xml:space="preserve">of </w:t>
      </w:r>
      <w:r w:rsidRPr="005F252C">
        <w:t xml:space="preserve">home energy </w:t>
      </w:r>
      <w:r w:rsidR="005F252C" w:rsidRPr="005F252C">
        <w:t>upgrades</w:t>
      </w:r>
      <w:r w:rsidRPr="005F252C">
        <w:t xml:space="preserve"> for low-income housing</w:t>
      </w:r>
      <w:r w:rsidR="005F252C" w:rsidRPr="005F252C">
        <w:t xml:space="preserve">. That </w:t>
      </w:r>
      <w:r w:rsidR="007D4B40" w:rsidRPr="005F252C">
        <w:t xml:space="preserve">government </w:t>
      </w:r>
      <w:r w:rsidR="005F252C" w:rsidRPr="005F252C">
        <w:t>prioritis</w:t>
      </w:r>
      <w:r w:rsidR="00E53FBE">
        <w:t>ation</w:t>
      </w:r>
      <w:r w:rsidRPr="005F252C">
        <w:t xml:space="preserve"> and accelerat</w:t>
      </w:r>
      <w:r w:rsidR="00E53FBE">
        <w:t>ion of</w:t>
      </w:r>
      <w:r w:rsidRPr="005F252C">
        <w:t xml:space="preserve"> home energy </w:t>
      </w:r>
      <w:r w:rsidR="005F252C" w:rsidRPr="005F252C">
        <w:t>upgrades</w:t>
      </w:r>
      <w:r w:rsidRPr="005F252C">
        <w:t xml:space="preserve"> for low-</w:t>
      </w:r>
      <w:r w:rsidR="005F252C" w:rsidRPr="005F252C">
        <w:t>income</w:t>
      </w:r>
      <w:r w:rsidRPr="005F252C">
        <w:t xml:space="preserve"> housing </w:t>
      </w:r>
      <w:r w:rsidR="007D4B40" w:rsidRPr="005F252C">
        <w:t>would build economies of scale and market capacity, reducing the costs for all housing retrofits, while reducing poverty and inequality</w:t>
      </w:r>
      <w:r w:rsidR="005F252C">
        <w:t>.</w:t>
      </w:r>
      <w:r w:rsidR="002F2CBE">
        <w:rPr>
          <w:rStyle w:val="FootnoteReference"/>
        </w:rPr>
        <w:footnoteReference w:id="30"/>
      </w:r>
    </w:p>
    <w:p w14:paraId="306C2665" w14:textId="22E14860" w:rsidR="00DE1468" w:rsidRDefault="00DE1468" w:rsidP="0033158A">
      <w:r>
        <w:t xml:space="preserve">ACOSS also notes that the current Government framing around choice to shift from </w:t>
      </w:r>
      <w:r w:rsidR="001158B5">
        <w:t>gas</w:t>
      </w:r>
      <w:r>
        <w:t xml:space="preserve"> to electri</w:t>
      </w:r>
      <w:r w:rsidR="00F843A0">
        <w:t>c</w:t>
      </w:r>
      <w:r>
        <w:t xml:space="preserve">, is </w:t>
      </w:r>
      <w:r w:rsidR="001158B5">
        <w:t>dangerous for the following reasons:</w:t>
      </w:r>
    </w:p>
    <w:p w14:paraId="17FD38DB" w14:textId="3D40C113" w:rsidR="007F5096" w:rsidRDefault="001158B5" w:rsidP="00A96744">
      <w:pPr>
        <w:pStyle w:val="ListParagraph"/>
        <w:numPr>
          <w:ilvl w:val="0"/>
          <w:numId w:val="16"/>
        </w:numPr>
      </w:pPr>
      <w:r>
        <w:t xml:space="preserve">It puts the onus for decarbonisation on </w:t>
      </w:r>
      <w:r w:rsidR="00E96F65">
        <w:t>the household</w:t>
      </w:r>
      <w:r w:rsidR="0055249F">
        <w:t>.</w:t>
      </w:r>
    </w:p>
    <w:p w14:paraId="571093EF" w14:textId="500A44EF" w:rsidR="000867F3" w:rsidRDefault="0039339C" w:rsidP="00A96744">
      <w:pPr>
        <w:pStyle w:val="ListParagraph"/>
        <w:numPr>
          <w:ilvl w:val="0"/>
          <w:numId w:val="16"/>
        </w:numPr>
      </w:pPr>
      <w:r>
        <w:t xml:space="preserve">It increases </w:t>
      </w:r>
      <w:r w:rsidR="007F5096">
        <w:t xml:space="preserve">the </w:t>
      </w:r>
      <w:r>
        <w:t>costs and risk to people who do not have the choice or control</w:t>
      </w:r>
      <w:r w:rsidR="0055249F">
        <w:t>, or are in hard to electrify homes.</w:t>
      </w:r>
    </w:p>
    <w:p w14:paraId="28614BEC" w14:textId="1E4EFB6F" w:rsidR="0055249F" w:rsidRPr="0055249F" w:rsidRDefault="0055249F" w:rsidP="00A96744">
      <w:pPr>
        <w:pStyle w:val="ListParagraph"/>
        <w:numPr>
          <w:ilvl w:val="0"/>
          <w:numId w:val="16"/>
        </w:numPr>
      </w:pPr>
      <w:r>
        <w:t>It delays decarbonisation.</w:t>
      </w:r>
    </w:p>
    <w:p w14:paraId="1BAD4FED" w14:textId="41147F6D" w:rsidR="007F5096" w:rsidRDefault="00222544" w:rsidP="0033158A">
      <w:r>
        <w:t>There needs to be</w:t>
      </w:r>
      <w:r w:rsidR="005E431D">
        <w:t xml:space="preserve"> planning, timelines, ed</w:t>
      </w:r>
      <w:r>
        <w:t xml:space="preserve">ucation and supports in place to </w:t>
      </w:r>
      <w:r w:rsidR="00FD1580">
        <w:t>efficiently</w:t>
      </w:r>
      <w:r>
        <w:t xml:space="preserve"> and effectively electrify</w:t>
      </w:r>
      <w:r w:rsidR="00FD1580">
        <w:t xml:space="preserve"> </w:t>
      </w:r>
      <w:r w:rsidR="00245CED">
        <w:t xml:space="preserve">in order </w:t>
      </w:r>
      <w:r w:rsidR="00FD1580">
        <w:t>t</w:t>
      </w:r>
      <w:r w:rsidR="00245CED">
        <w:t>o</w:t>
      </w:r>
      <w:r w:rsidR="00FD1580">
        <w:t xml:space="preserve"> support our decarbonisation goals.</w:t>
      </w:r>
    </w:p>
    <w:p w14:paraId="7EBA1DA3" w14:textId="5B7B13A4" w:rsidR="00106F67" w:rsidRDefault="003D11BB" w:rsidP="1B4F636D">
      <w:pPr>
        <w:pStyle w:val="List3"/>
        <w:ind w:left="0" w:firstLine="0"/>
      </w:pPr>
      <w:r>
        <w:t xml:space="preserve">Low-income households must be prioritised and supported to access </w:t>
      </w:r>
      <w:r w:rsidR="005F77A7" w:rsidRPr="00A40870">
        <w:rPr>
          <w:rFonts w:eastAsia="Times New Roman" w:cs="Times New Roman"/>
          <w:sz w:val="22"/>
          <w:szCs w:val="22"/>
        </w:rPr>
        <w:t xml:space="preserve">to </w:t>
      </w:r>
      <w:r w:rsidR="005F77A7">
        <w:rPr>
          <w:rFonts w:eastAsia="Times New Roman" w:cs="Times New Roman"/>
          <w:sz w:val="22"/>
          <w:szCs w:val="22"/>
        </w:rPr>
        <w:t xml:space="preserve">home </w:t>
      </w:r>
      <w:r w:rsidR="005F77A7" w:rsidRPr="00A40870">
        <w:rPr>
          <w:rFonts w:eastAsia="Times New Roman" w:cs="Times New Roman"/>
          <w:sz w:val="22"/>
          <w:szCs w:val="22"/>
        </w:rPr>
        <w:t>efficiency, electrification</w:t>
      </w:r>
      <w:r w:rsidR="005F77A7">
        <w:rPr>
          <w:rFonts w:eastAsia="Times New Roman" w:cs="Times New Roman"/>
          <w:sz w:val="22"/>
          <w:szCs w:val="22"/>
        </w:rPr>
        <w:t>, and</w:t>
      </w:r>
      <w:r w:rsidR="005F77A7" w:rsidRPr="00A40870">
        <w:rPr>
          <w:rFonts w:eastAsia="Times New Roman" w:cs="Times New Roman"/>
          <w:sz w:val="22"/>
          <w:szCs w:val="22"/>
        </w:rPr>
        <w:t xml:space="preserve"> solar</w:t>
      </w:r>
      <w:r w:rsidR="00DD1E3A">
        <w:rPr>
          <w:rFonts w:eastAsia="Times New Roman" w:cs="Times New Roman"/>
          <w:sz w:val="22"/>
          <w:szCs w:val="22"/>
        </w:rPr>
        <w:t>.</w:t>
      </w:r>
    </w:p>
    <w:p w14:paraId="04498094" w14:textId="1DE9ABD8" w:rsidR="001E4B14" w:rsidRDefault="004143F0" w:rsidP="0033158A">
      <w:r>
        <w:t>We make the following recommendations:</w:t>
      </w:r>
    </w:p>
    <w:p w14:paraId="7D14532A" w14:textId="5B1B872C" w:rsidR="003A12B9" w:rsidRPr="00730925" w:rsidRDefault="003A12B9" w:rsidP="0023702C">
      <w:pPr>
        <w:ind w:left="426"/>
      </w:pPr>
      <w:bookmarkStart w:id="7" w:name="_Hlk165362028"/>
      <w:r w:rsidRPr="00730925">
        <w:rPr>
          <w:b/>
          <w:color w:val="CC0000"/>
        </w:rPr>
        <w:t xml:space="preserve">Recommendation </w:t>
      </w:r>
      <w:r w:rsidR="000D147F">
        <w:rPr>
          <w:b/>
          <w:color w:val="CC0000"/>
        </w:rPr>
        <w:t>9</w:t>
      </w:r>
      <w:r w:rsidRPr="00730925">
        <w:rPr>
          <w:b/>
          <w:color w:val="CC0000"/>
        </w:rPr>
        <w:t>:</w:t>
      </w:r>
      <w:r w:rsidRPr="00730925">
        <w:rPr>
          <w:b/>
        </w:rPr>
        <w:t xml:space="preserve"> </w:t>
      </w:r>
      <w:r w:rsidRPr="00730925">
        <w:t>Put in place a strategy, with timelines, to phase out gas and support electrification</w:t>
      </w:r>
      <w:r>
        <w:t xml:space="preserve">, </w:t>
      </w:r>
      <w:r w:rsidR="003C50F6">
        <w:t xml:space="preserve">along with </w:t>
      </w:r>
      <w:r>
        <w:t>thermal efficiency and solar upgrades</w:t>
      </w:r>
      <w:r w:rsidRPr="00730925">
        <w:t xml:space="preserve"> in existing homes with targeted support for people on low-incomes and policies for rental properties, to ensure a fair and inclusive transition.</w:t>
      </w:r>
    </w:p>
    <w:p w14:paraId="2FEE14A2" w14:textId="70E64F28" w:rsidR="00730925" w:rsidRPr="00730925" w:rsidRDefault="00730925" w:rsidP="0023702C">
      <w:pPr>
        <w:ind w:left="426"/>
      </w:pPr>
      <w:r w:rsidRPr="00730925">
        <w:rPr>
          <w:b/>
          <w:color w:val="CC0000"/>
        </w:rPr>
        <w:t xml:space="preserve">Recommendation </w:t>
      </w:r>
      <w:r w:rsidR="000D147F">
        <w:rPr>
          <w:b/>
          <w:color w:val="CC0000"/>
        </w:rPr>
        <w:t>10</w:t>
      </w:r>
      <w:r w:rsidRPr="00730925">
        <w:rPr>
          <w:b/>
          <w:color w:val="CC0000"/>
        </w:rPr>
        <w:t>:</w:t>
      </w:r>
      <w:r w:rsidRPr="00730925">
        <w:t xml:space="preserve"> All jurisdictions implement the new 7-star NatHERS rating and energy budget in all jurisdictions by the end of 2023.</w:t>
      </w:r>
    </w:p>
    <w:p w14:paraId="5B9A4645" w14:textId="43C1BCCF" w:rsidR="00730925" w:rsidRPr="00730925" w:rsidRDefault="00730925" w:rsidP="0023702C">
      <w:pPr>
        <w:ind w:left="426"/>
        <w:rPr>
          <w:b/>
        </w:rPr>
      </w:pPr>
      <w:r w:rsidRPr="00730925">
        <w:rPr>
          <w:b/>
          <w:color w:val="CC0000"/>
        </w:rPr>
        <w:t xml:space="preserve">Recommendation </w:t>
      </w:r>
      <w:r w:rsidR="0090687D">
        <w:rPr>
          <w:b/>
          <w:color w:val="CC0000"/>
        </w:rPr>
        <w:t>1</w:t>
      </w:r>
      <w:r w:rsidR="00B4399F">
        <w:rPr>
          <w:b/>
          <w:color w:val="CC0000"/>
        </w:rPr>
        <w:t>1</w:t>
      </w:r>
      <w:r w:rsidRPr="00730925">
        <w:rPr>
          <w:b/>
        </w:rPr>
        <w:t xml:space="preserve">: </w:t>
      </w:r>
      <w:r w:rsidRPr="00730925">
        <w:t>Federal Government support new social housing development to meet at least 7.5 plus star rating, with all properties electric and renewable-powered, including through providing access to additional funding if needed</w:t>
      </w:r>
      <w:r w:rsidRPr="00730925">
        <w:rPr>
          <w:b/>
        </w:rPr>
        <w:t>.</w:t>
      </w:r>
    </w:p>
    <w:p w14:paraId="4886A07B" w14:textId="7C06B00B" w:rsidR="00730925" w:rsidRPr="00730925" w:rsidRDefault="00730925" w:rsidP="0023702C">
      <w:pPr>
        <w:ind w:left="426"/>
      </w:pPr>
      <w:r w:rsidRPr="00730925">
        <w:rPr>
          <w:b/>
          <w:color w:val="CC0000"/>
        </w:rPr>
        <w:t xml:space="preserve">Recommendation </w:t>
      </w:r>
      <w:r w:rsidR="003E30E7">
        <w:rPr>
          <w:b/>
          <w:color w:val="CC0000"/>
        </w:rPr>
        <w:t>1</w:t>
      </w:r>
      <w:r w:rsidR="00B4399F">
        <w:rPr>
          <w:b/>
          <w:color w:val="CC0000"/>
        </w:rPr>
        <w:t>2</w:t>
      </w:r>
      <w:r w:rsidRPr="00730925">
        <w:rPr>
          <w:b/>
          <w:color w:val="CC0000"/>
        </w:rPr>
        <w:t>:</w:t>
      </w:r>
      <w:r w:rsidRPr="00730925">
        <w:t xml:space="preserve"> The next update to new build standards should aim to achieve zero carbon homes (best practice thermal efficiency, all-electric, powered by renewable). </w:t>
      </w:r>
    </w:p>
    <w:p w14:paraId="6FC7593C" w14:textId="7314DCB7" w:rsidR="00730925" w:rsidRPr="00296674" w:rsidRDefault="00730925" w:rsidP="0023702C">
      <w:pPr>
        <w:ind w:left="426"/>
      </w:pPr>
      <w:r w:rsidRPr="00730925">
        <w:rPr>
          <w:b/>
          <w:color w:val="CC0000"/>
        </w:rPr>
        <w:t xml:space="preserve">Recommendations </w:t>
      </w:r>
      <w:r w:rsidR="003E30E7">
        <w:rPr>
          <w:b/>
          <w:color w:val="CC0000"/>
        </w:rPr>
        <w:t>1</w:t>
      </w:r>
      <w:r w:rsidR="00B4399F">
        <w:rPr>
          <w:b/>
          <w:color w:val="CC0000"/>
        </w:rPr>
        <w:t>3</w:t>
      </w:r>
      <w:r w:rsidRPr="00730925">
        <w:rPr>
          <w:b/>
          <w:color w:val="CC0000"/>
        </w:rPr>
        <w:t>:</w:t>
      </w:r>
      <w:r w:rsidRPr="00730925">
        <w:rPr>
          <w:b/>
        </w:rPr>
        <w:t xml:space="preserve"> </w:t>
      </w:r>
      <w:r w:rsidRPr="00730925">
        <w:t xml:space="preserve">The Federal </w:t>
      </w:r>
      <w:r w:rsidR="448F48E2">
        <w:t>G</w:t>
      </w:r>
      <w:r>
        <w:t>overnment</w:t>
      </w:r>
      <w:r w:rsidRPr="00730925">
        <w:t xml:space="preserve"> works with state and territory jurisdictions to end gas connections to new builds.</w:t>
      </w:r>
    </w:p>
    <w:p w14:paraId="28ABFBD5" w14:textId="114F14F8" w:rsidR="00296674" w:rsidRDefault="00296674" w:rsidP="0023702C">
      <w:pPr>
        <w:ind w:left="426"/>
        <w:rPr>
          <w:rStyle w:val="normaltextrun"/>
        </w:rPr>
      </w:pPr>
      <w:r w:rsidRPr="00296674">
        <w:rPr>
          <w:rStyle w:val="normaltextrun"/>
          <w:b/>
          <w:bCs/>
          <w:color w:val="C00000"/>
        </w:rPr>
        <w:t xml:space="preserve">Recommendation </w:t>
      </w:r>
      <w:r>
        <w:rPr>
          <w:rStyle w:val="normaltextrun"/>
          <w:b/>
          <w:bCs/>
          <w:color w:val="C00000"/>
        </w:rPr>
        <w:t>1</w:t>
      </w:r>
      <w:r w:rsidR="00B4399F">
        <w:rPr>
          <w:rStyle w:val="normaltextrun"/>
          <w:b/>
          <w:bCs/>
          <w:color w:val="C00000"/>
        </w:rPr>
        <w:t>4</w:t>
      </w:r>
      <w:r w:rsidRPr="00296674">
        <w:rPr>
          <w:rStyle w:val="normaltextrun"/>
          <w:b/>
          <w:bCs/>
          <w:color w:val="C00000"/>
        </w:rPr>
        <w:t>:</w:t>
      </w:r>
      <w:r w:rsidRPr="00296674">
        <w:rPr>
          <w:rStyle w:val="normaltextrun"/>
          <w:color w:val="C00000"/>
        </w:rPr>
        <w:t xml:space="preserve"> </w:t>
      </w:r>
      <w:r w:rsidRPr="00296674">
        <w:rPr>
          <w:rStyle w:val="normaltextrun"/>
        </w:rPr>
        <w:t>Investigate a phase out of the sale of gas appliances. Complementary measures will be needed to support people on low incomes to electrify.  </w:t>
      </w:r>
    </w:p>
    <w:p w14:paraId="7373A4AB" w14:textId="4994FC71" w:rsidR="00AE5B58" w:rsidRDefault="00AE5B58" w:rsidP="0023702C">
      <w:pPr>
        <w:ind w:left="426"/>
        <w:rPr>
          <w:shd w:val="clear" w:color="auto" w:fill="FFFFFF"/>
        </w:rPr>
      </w:pPr>
      <w:r w:rsidRPr="00730925">
        <w:rPr>
          <w:b/>
          <w:color w:val="CC0000"/>
        </w:rPr>
        <w:t>Recommendation 1</w:t>
      </w:r>
      <w:r w:rsidR="00B4399F">
        <w:rPr>
          <w:b/>
          <w:color w:val="CC0000"/>
        </w:rPr>
        <w:t>5</w:t>
      </w:r>
      <w:r w:rsidRPr="00730925">
        <w:rPr>
          <w:b/>
          <w:color w:val="CC0000"/>
        </w:rPr>
        <w:t xml:space="preserve"> </w:t>
      </w:r>
      <w:r w:rsidRPr="00730925">
        <w:rPr>
          <w:shd w:val="clear" w:color="auto" w:fill="FFFFFF"/>
        </w:rPr>
        <w:t>Eliminate inefficient appliances sold in Australia by tightening requirements and expanding eligible appliances via the Greenhouse and Energy Minimum Standards (GEMS). </w:t>
      </w:r>
    </w:p>
    <w:p w14:paraId="35B3D08B" w14:textId="6BA9B871" w:rsidR="003820E2" w:rsidRDefault="003820E2" w:rsidP="0023702C">
      <w:pPr>
        <w:ind w:left="426"/>
        <w:rPr>
          <w:shd w:val="clear" w:color="auto" w:fill="FFFFFF"/>
        </w:rPr>
      </w:pPr>
      <w:r w:rsidRPr="007D3B04">
        <w:rPr>
          <w:b/>
          <w:bCs/>
          <w:color w:val="C00000"/>
        </w:rPr>
        <w:t xml:space="preserve">Recommendation </w:t>
      </w:r>
      <w:r w:rsidR="00B4399F">
        <w:rPr>
          <w:b/>
          <w:bCs/>
          <w:color w:val="C00000"/>
        </w:rPr>
        <w:t>1</w:t>
      </w:r>
      <w:r w:rsidRPr="007D3B04">
        <w:rPr>
          <w:b/>
          <w:bCs/>
          <w:color w:val="C00000"/>
        </w:rPr>
        <w:t>6:</w:t>
      </w:r>
      <w:r w:rsidRPr="007D3B04">
        <w:rPr>
          <w:color w:val="C00000"/>
        </w:rPr>
        <w:t xml:space="preserve"> </w:t>
      </w:r>
      <w:r w:rsidRPr="007D3B04">
        <w:t>Remove high costs and disincentives to disconnect from gas networks</w:t>
      </w:r>
      <w:r w:rsidR="70C761FA">
        <w:t>.</w:t>
      </w:r>
    </w:p>
    <w:p w14:paraId="7CCD358F" w14:textId="289CA1AA" w:rsidR="00554AC4" w:rsidRPr="007D3B04" w:rsidRDefault="00554AC4" w:rsidP="0023702C">
      <w:pPr>
        <w:pStyle w:val="NoSpacing"/>
        <w:ind w:left="426"/>
        <w:rPr>
          <w:rStyle w:val="eop"/>
        </w:rPr>
      </w:pPr>
      <w:r w:rsidRPr="00B4399F">
        <w:rPr>
          <w:rStyle w:val="eop"/>
          <w:b/>
          <w:color w:val="C00000"/>
          <w:sz w:val="21"/>
          <w:szCs w:val="21"/>
          <w:shd w:val="clear" w:color="auto" w:fill="FFFFFF"/>
        </w:rPr>
        <w:lastRenderedPageBreak/>
        <w:t xml:space="preserve">Recommendation </w:t>
      </w:r>
      <w:r w:rsidR="00B4399F" w:rsidRPr="00B4399F">
        <w:rPr>
          <w:rStyle w:val="eop"/>
          <w:b/>
          <w:color w:val="C00000"/>
          <w:sz w:val="21"/>
          <w:szCs w:val="21"/>
          <w:shd w:val="clear" w:color="auto" w:fill="FFFFFF"/>
        </w:rPr>
        <w:t>1</w:t>
      </w:r>
      <w:r w:rsidRPr="00B4399F">
        <w:rPr>
          <w:rStyle w:val="eop"/>
          <w:b/>
          <w:color w:val="C00000"/>
          <w:sz w:val="21"/>
          <w:szCs w:val="21"/>
          <w:shd w:val="clear" w:color="auto" w:fill="FFFFFF"/>
        </w:rPr>
        <w:t>7:</w:t>
      </w:r>
      <w:r w:rsidRPr="007D3B04">
        <w:rPr>
          <w:rStyle w:val="eop"/>
          <w:color w:val="C00000"/>
          <w:shd w:val="clear" w:color="auto" w:fill="FFFFFF"/>
        </w:rPr>
        <w:t xml:space="preserve"> </w:t>
      </w:r>
      <w:r w:rsidRPr="007D3B04">
        <w:rPr>
          <w:rStyle w:val="eop"/>
          <w:shd w:val="clear" w:color="auto" w:fill="FFFFFF"/>
        </w:rPr>
        <w:t>Put in place targeted policies to help people on low-incomes and renters electrify (in addition to energy efficiency improvements and access to solar), including:</w:t>
      </w:r>
    </w:p>
    <w:p w14:paraId="678CAD5A" w14:textId="77777777" w:rsidR="00554AC4" w:rsidRPr="007D3B04" w:rsidRDefault="00554AC4" w:rsidP="0005336F">
      <w:pPr>
        <w:pStyle w:val="NoSpacing"/>
        <w:numPr>
          <w:ilvl w:val="0"/>
          <w:numId w:val="18"/>
        </w:numPr>
        <w:pBdr>
          <w:top w:val="nil"/>
          <w:left w:val="nil"/>
          <w:bottom w:val="nil"/>
          <w:right w:val="nil"/>
          <w:between w:val="nil"/>
          <w:bar w:val="nil"/>
        </w:pBdr>
        <w:spacing w:before="120" w:after="120" w:line="259" w:lineRule="auto"/>
        <w:ind w:left="851"/>
        <w:rPr>
          <w:sz w:val="21"/>
          <w:szCs w:val="21"/>
        </w:rPr>
      </w:pPr>
      <w:r w:rsidRPr="4F5FD904">
        <w:rPr>
          <w:sz w:val="21"/>
          <w:szCs w:val="21"/>
        </w:rPr>
        <w:t xml:space="preserve">Federal Government support for </w:t>
      </w:r>
      <w:r w:rsidRPr="4F5FD904">
        <w:rPr>
          <w:b/>
          <w:bCs/>
          <w:sz w:val="21"/>
          <w:szCs w:val="21"/>
        </w:rPr>
        <w:t>new</w:t>
      </w:r>
      <w:r w:rsidRPr="4F5FD904">
        <w:rPr>
          <w:sz w:val="21"/>
          <w:szCs w:val="21"/>
        </w:rPr>
        <w:t xml:space="preserve"> social housing development to meet at least 7.5 plus star rating, with all properties electric and renewable-powered, including through providing access to additional funding if needed</w:t>
      </w:r>
      <w:r w:rsidRPr="4F5FD904">
        <w:rPr>
          <w:b/>
          <w:bCs/>
          <w:sz w:val="21"/>
          <w:szCs w:val="21"/>
        </w:rPr>
        <w:t>.</w:t>
      </w:r>
    </w:p>
    <w:p w14:paraId="1AE34005" w14:textId="77777777" w:rsidR="00554AC4" w:rsidRPr="007D3B04" w:rsidRDefault="00554AC4" w:rsidP="0005336F">
      <w:pPr>
        <w:pStyle w:val="NoSpacing"/>
        <w:numPr>
          <w:ilvl w:val="0"/>
          <w:numId w:val="18"/>
        </w:numPr>
        <w:pBdr>
          <w:top w:val="nil"/>
          <w:left w:val="nil"/>
          <w:bottom w:val="nil"/>
          <w:right w:val="nil"/>
          <w:between w:val="nil"/>
          <w:bar w:val="nil"/>
        </w:pBdr>
        <w:spacing w:before="120" w:after="120" w:line="259" w:lineRule="auto"/>
        <w:ind w:left="851"/>
        <w:rPr>
          <w:sz w:val="21"/>
          <w:szCs w:val="21"/>
        </w:rPr>
      </w:pPr>
      <w:r w:rsidRPr="007D3B04">
        <w:rPr>
          <w:sz w:val="21"/>
          <w:szCs w:val="21"/>
        </w:rPr>
        <w:t xml:space="preserve">Mandating minimum energy efficiency performance standards for rental properties, as part of broader standards for what constitutes healthy and habitable rental housing, with the aim to improve efficiency, electrify and install solar. The minimum energy efficiency performance standards are aligned with the </w:t>
      </w:r>
      <w:hyperlink r:id="rId24">
        <w:r w:rsidRPr="007D3B04">
          <w:rPr>
            <w:color w:val="1155CC"/>
            <w:sz w:val="21"/>
            <w:szCs w:val="21"/>
            <w:u w:val="single"/>
          </w:rPr>
          <w:t>Community Sector Blueprint</w:t>
        </w:r>
      </w:hyperlink>
      <w:r w:rsidRPr="007D3B04">
        <w:rPr>
          <w:sz w:val="21"/>
          <w:szCs w:val="21"/>
        </w:rPr>
        <w:t xml:space="preserve"> for energy efficiency rental standards.</w:t>
      </w:r>
      <w:r w:rsidRPr="007D3B04">
        <w:rPr>
          <w:sz w:val="21"/>
          <w:szCs w:val="21"/>
          <w:vertAlign w:val="superscript"/>
        </w:rPr>
        <w:footnoteReference w:id="31"/>
      </w:r>
      <w:r w:rsidRPr="007D3B04">
        <w:rPr>
          <w:sz w:val="21"/>
          <w:szCs w:val="21"/>
        </w:rPr>
        <w:t xml:space="preserve"> </w:t>
      </w:r>
    </w:p>
    <w:p w14:paraId="1B1BCFFE" w14:textId="77777777" w:rsidR="00554AC4" w:rsidRPr="007D3B04" w:rsidRDefault="00554AC4" w:rsidP="0005336F">
      <w:pPr>
        <w:pStyle w:val="NoSpacing"/>
        <w:numPr>
          <w:ilvl w:val="0"/>
          <w:numId w:val="18"/>
        </w:numPr>
        <w:pBdr>
          <w:top w:val="nil"/>
          <w:left w:val="nil"/>
          <w:bottom w:val="nil"/>
          <w:right w:val="nil"/>
          <w:between w:val="nil"/>
          <w:bar w:val="nil"/>
        </w:pBdr>
        <w:spacing w:before="120" w:after="120" w:line="259" w:lineRule="auto"/>
        <w:ind w:left="851"/>
        <w:rPr>
          <w:sz w:val="21"/>
          <w:szCs w:val="21"/>
        </w:rPr>
      </w:pPr>
      <w:r w:rsidRPr="007D3B04">
        <w:rPr>
          <w:sz w:val="21"/>
          <w:szCs w:val="21"/>
        </w:rPr>
        <w:t xml:space="preserve">Amend the property repairs, </w:t>
      </w:r>
      <w:proofErr w:type="gramStart"/>
      <w:r w:rsidRPr="007D3B04">
        <w:rPr>
          <w:sz w:val="21"/>
          <w:szCs w:val="21"/>
        </w:rPr>
        <w:t>maintenance</w:t>
      </w:r>
      <w:proofErr w:type="gramEnd"/>
      <w:r w:rsidRPr="007D3B04">
        <w:rPr>
          <w:sz w:val="21"/>
          <w:szCs w:val="21"/>
        </w:rPr>
        <w:t xml:space="preserve"> and capital expenditure tax rebate to require appliance replacement with energy efficient, electric appliances.</w:t>
      </w:r>
    </w:p>
    <w:p w14:paraId="4936C3BE" w14:textId="77777777" w:rsidR="00FF1C52" w:rsidRPr="00734BB5" w:rsidRDefault="00FF1C52" w:rsidP="0005336F">
      <w:pPr>
        <w:pStyle w:val="NormalWeb"/>
        <w:numPr>
          <w:ilvl w:val="0"/>
          <w:numId w:val="18"/>
        </w:numPr>
        <w:spacing w:before="0" w:beforeAutospacing="0" w:after="0" w:afterAutospacing="0"/>
        <w:ind w:left="851"/>
        <w:rPr>
          <w:rFonts w:ascii="Verdana" w:eastAsiaTheme="minorEastAsia" w:hAnsi="Verdana" w:cs="Calibri"/>
          <w:sz w:val="21"/>
          <w:szCs w:val="21"/>
          <w:lang w:val="en-US"/>
        </w:rPr>
      </w:pPr>
      <w:r w:rsidRPr="2E7B3162">
        <w:rPr>
          <w:rFonts w:ascii="Verdana" w:hAnsi="Verdana" w:cs="Calibri"/>
          <w:color w:val="000000" w:themeColor="text1"/>
          <w:sz w:val="21"/>
          <w:szCs w:val="21"/>
          <w:lang w:val="en-US"/>
        </w:rPr>
        <w:t xml:space="preserve">Establish a Special Purpose Funding Vehicle, with an initial Federal Government injection of $2 billion over four years - matched by the states and territories, and topped up by other sources – to accelerate and scale up energy upgrades tailored across low-income housing tenure types. Use the funds to do the </w:t>
      </w:r>
      <w:r w:rsidRPr="2E7B3162">
        <w:rPr>
          <w:rStyle w:val="xgrame"/>
          <w:rFonts w:ascii="Verdana" w:hAnsi="Verdana" w:cs="Calibri"/>
          <w:color w:val="000000" w:themeColor="text1"/>
          <w:sz w:val="21"/>
          <w:szCs w:val="21"/>
          <w:lang w:val="en-US"/>
        </w:rPr>
        <w:t>following.</w:t>
      </w:r>
    </w:p>
    <w:p w14:paraId="55001C60" w14:textId="77777777" w:rsidR="00FF1C52" w:rsidRPr="007D3B04" w:rsidRDefault="00FF1C52" w:rsidP="0005336F">
      <w:pPr>
        <w:pStyle w:val="NoSpacing"/>
        <w:numPr>
          <w:ilvl w:val="1"/>
          <w:numId w:val="18"/>
        </w:numPr>
        <w:pBdr>
          <w:top w:val="nil"/>
          <w:left w:val="nil"/>
          <w:bottom w:val="nil"/>
          <w:right w:val="nil"/>
          <w:between w:val="nil"/>
          <w:bar w:val="nil"/>
        </w:pBdr>
        <w:spacing w:before="120" w:after="120" w:line="259" w:lineRule="auto"/>
        <w:rPr>
          <w:sz w:val="21"/>
          <w:szCs w:val="21"/>
        </w:rPr>
      </w:pPr>
      <w:r w:rsidRPr="007D3B04">
        <w:rPr>
          <w:sz w:val="21"/>
          <w:szCs w:val="21"/>
        </w:rPr>
        <w:t>Implement a 7-year program to fund retrofits (efficiency, electrification and solar) for social housing (public and community housing) and First Nations Controlled housing before 2030 (Prioritising First Nations housing). Governments need to budget for upgrades or replacement of stock (where it's not cost effective to upgrade) through additional funding to ensure there is not a reduction in present or future stock.</w:t>
      </w:r>
    </w:p>
    <w:p w14:paraId="004D6C3D" w14:textId="77777777" w:rsidR="00FF1C52" w:rsidRDefault="00FF1C52" w:rsidP="0005336F">
      <w:pPr>
        <w:pStyle w:val="NoSpacing"/>
        <w:numPr>
          <w:ilvl w:val="1"/>
          <w:numId w:val="18"/>
        </w:numPr>
        <w:pBdr>
          <w:top w:val="nil"/>
          <w:left w:val="nil"/>
          <w:bottom w:val="nil"/>
          <w:right w:val="nil"/>
          <w:between w:val="nil"/>
          <w:bar w:val="nil"/>
        </w:pBdr>
        <w:spacing w:before="120" w:after="120" w:line="259" w:lineRule="auto"/>
        <w:rPr>
          <w:sz w:val="21"/>
          <w:szCs w:val="21"/>
        </w:rPr>
      </w:pPr>
      <w:r w:rsidRPr="007D3B04">
        <w:rPr>
          <w:sz w:val="21"/>
          <w:szCs w:val="21"/>
        </w:rPr>
        <w:t>Implement a 7-year program to provide financial support to low-income owner occupiers to retrofit their homes (efficiency, electrification and solar)</w:t>
      </w:r>
      <w:r>
        <w:rPr>
          <w:sz w:val="21"/>
          <w:szCs w:val="21"/>
        </w:rPr>
        <w:t xml:space="preserve">. This could be done </w:t>
      </w:r>
      <w:r w:rsidRPr="007D3B04">
        <w:rPr>
          <w:sz w:val="21"/>
          <w:szCs w:val="21"/>
        </w:rPr>
        <w:t>through</w:t>
      </w:r>
      <w:r>
        <w:rPr>
          <w:sz w:val="21"/>
          <w:szCs w:val="21"/>
        </w:rPr>
        <w:t xml:space="preserve"> programs like:</w:t>
      </w:r>
    </w:p>
    <w:p w14:paraId="353E2013" w14:textId="77777777" w:rsidR="00FF1C52" w:rsidRDefault="00FF1C52" w:rsidP="0005336F">
      <w:pPr>
        <w:pStyle w:val="NoSpacing"/>
        <w:numPr>
          <w:ilvl w:val="2"/>
          <w:numId w:val="18"/>
        </w:numPr>
        <w:pBdr>
          <w:top w:val="nil"/>
          <w:left w:val="nil"/>
          <w:bottom w:val="nil"/>
          <w:right w:val="nil"/>
          <w:between w:val="nil"/>
          <w:bar w:val="nil"/>
        </w:pBdr>
        <w:spacing w:before="120" w:after="120" w:line="259" w:lineRule="auto"/>
        <w:rPr>
          <w:sz w:val="21"/>
          <w:szCs w:val="21"/>
        </w:rPr>
      </w:pPr>
      <w:r w:rsidRPr="007D3B04">
        <w:rPr>
          <w:sz w:val="21"/>
          <w:szCs w:val="21"/>
        </w:rPr>
        <w:t>Environmental Upgrade Financing via local councils (which provides long-term finance that stays with the property and is recovered through council rates) plus subsidies</w:t>
      </w:r>
      <w:r>
        <w:rPr>
          <w:sz w:val="21"/>
          <w:szCs w:val="21"/>
        </w:rPr>
        <w:t>;</w:t>
      </w:r>
      <w:r w:rsidRPr="007D3B04">
        <w:rPr>
          <w:sz w:val="21"/>
          <w:szCs w:val="21"/>
        </w:rPr>
        <w:t xml:space="preserve"> or </w:t>
      </w:r>
    </w:p>
    <w:p w14:paraId="2B61506C" w14:textId="77777777" w:rsidR="00FF1C52" w:rsidRPr="00377356" w:rsidRDefault="00FF1C52" w:rsidP="0005336F">
      <w:pPr>
        <w:pStyle w:val="NoSpacing"/>
        <w:numPr>
          <w:ilvl w:val="2"/>
          <w:numId w:val="18"/>
        </w:numPr>
        <w:pBdr>
          <w:top w:val="nil"/>
          <w:left w:val="nil"/>
          <w:bottom w:val="nil"/>
          <w:right w:val="nil"/>
          <w:between w:val="nil"/>
          <w:bar w:val="nil"/>
        </w:pBdr>
        <w:spacing w:before="120" w:after="120" w:line="259" w:lineRule="auto"/>
        <w:rPr>
          <w:sz w:val="21"/>
          <w:szCs w:val="21"/>
        </w:rPr>
      </w:pPr>
      <w:r>
        <w:rPr>
          <w:sz w:val="21"/>
          <w:szCs w:val="21"/>
        </w:rPr>
        <w:t>B</w:t>
      </w:r>
      <w:r w:rsidRPr="007D3B04">
        <w:rPr>
          <w:sz w:val="21"/>
          <w:szCs w:val="21"/>
        </w:rPr>
        <w:t xml:space="preserve">y providing access to no-interest loans and subsidies along the lines (with modifications) of the </w:t>
      </w:r>
      <w:r w:rsidRPr="007D3B04">
        <w:rPr>
          <w:rFonts w:eastAsia="MS Gothic"/>
          <w:kern w:val="24"/>
          <w:sz w:val="21"/>
          <w:szCs w:val="21"/>
        </w:rPr>
        <w:t xml:space="preserve">ACT </w:t>
      </w:r>
      <w:hyperlink r:id="rId25" w:history="1">
        <w:r w:rsidRPr="007D3B04">
          <w:rPr>
            <w:rFonts w:eastAsia="MS Gothic"/>
            <w:color w:val="0000FF"/>
            <w:kern w:val="24"/>
            <w:sz w:val="21"/>
            <w:szCs w:val="21"/>
            <w:u w:val="single"/>
          </w:rPr>
          <w:t>Sustainable Household Scheme</w:t>
        </w:r>
      </w:hyperlink>
      <w:r w:rsidRPr="007D3B04">
        <w:rPr>
          <w:rFonts w:eastAsia="MS Gothic"/>
          <w:kern w:val="24"/>
          <w:sz w:val="21"/>
          <w:szCs w:val="21"/>
          <w:u w:val="single"/>
        </w:rPr>
        <w:t>.</w:t>
      </w:r>
    </w:p>
    <w:p w14:paraId="4F570717" w14:textId="77777777" w:rsidR="00FF1C52" w:rsidRDefault="00FF1C52" w:rsidP="0005336F">
      <w:pPr>
        <w:pStyle w:val="NoSpacing"/>
        <w:numPr>
          <w:ilvl w:val="1"/>
          <w:numId w:val="18"/>
        </w:numPr>
        <w:pBdr>
          <w:top w:val="nil"/>
          <w:left w:val="nil"/>
          <w:bottom w:val="nil"/>
          <w:right w:val="nil"/>
          <w:between w:val="nil"/>
          <w:bar w:val="nil"/>
        </w:pBdr>
        <w:spacing w:before="120" w:after="120" w:line="259" w:lineRule="auto"/>
        <w:rPr>
          <w:sz w:val="21"/>
          <w:szCs w:val="21"/>
        </w:rPr>
      </w:pPr>
      <w:r w:rsidRPr="4F5FD904">
        <w:rPr>
          <w:sz w:val="21"/>
          <w:szCs w:val="21"/>
        </w:rPr>
        <w:t xml:space="preserve">To support minimum energy performance rental standards, provide </w:t>
      </w:r>
      <w:r>
        <w:rPr>
          <w:sz w:val="21"/>
          <w:szCs w:val="21"/>
        </w:rPr>
        <w:t xml:space="preserve">conditional </w:t>
      </w:r>
      <w:r w:rsidRPr="4F5FD904">
        <w:rPr>
          <w:sz w:val="21"/>
          <w:szCs w:val="21"/>
        </w:rPr>
        <w:t>financial support to landlord</w:t>
      </w:r>
      <w:r>
        <w:rPr>
          <w:sz w:val="21"/>
          <w:szCs w:val="21"/>
        </w:rPr>
        <w:t>.</w:t>
      </w:r>
      <w:r w:rsidRPr="00953107">
        <w:rPr>
          <w:sz w:val="21"/>
          <w:szCs w:val="21"/>
        </w:rPr>
        <w:t xml:space="preserve"> </w:t>
      </w:r>
      <w:r>
        <w:rPr>
          <w:sz w:val="21"/>
          <w:szCs w:val="21"/>
        </w:rPr>
        <w:t xml:space="preserve">This could be done </w:t>
      </w:r>
      <w:r w:rsidRPr="007D3B04">
        <w:rPr>
          <w:sz w:val="21"/>
          <w:szCs w:val="21"/>
        </w:rPr>
        <w:t>through</w:t>
      </w:r>
      <w:r>
        <w:rPr>
          <w:sz w:val="21"/>
          <w:szCs w:val="21"/>
        </w:rPr>
        <w:t xml:space="preserve"> programs like:</w:t>
      </w:r>
    </w:p>
    <w:p w14:paraId="58B7DE9C" w14:textId="77777777" w:rsidR="00FF1C52" w:rsidRDefault="00FF1C52" w:rsidP="0005336F">
      <w:pPr>
        <w:pStyle w:val="NoSpacing"/>
        <w:numPr>
          <w:ilvl w:val="2"/>
          <w:numId w:val="18"/>
        </w:numPr>
        <w:pBdr>
          <w:top w:val="nil"/>
          <w:left w:val="nil"/>
          <w:bottom w:val="nil"/>
          <w:right w:val="nil"/>
          <w:between w:val="nil"/>
          <w:bar w:val="nil"/>
        </w:pBdr>
        <w:spacing w:before="120" w:after="120" w:line="259" w:lineRule="auto"/>
        <w:rPr>
          <w:sz w:val="21"/>
          <w:szCs w:val="21"/>
        </w:rPr>
      </w:pPr>
      <w:r w:rsidRPr="4F5FD904">
        <w:rPr>
          <w:sz w:val="21"/>
          <w:szCs w:val="21"/>
        </w:rPr>
        <w:t xml:space="preserve">Environmental Upgrade Financing via local councils (which provides long-term finance that stays with the property and is recovered through council rates) or </w:t>
      </w:r>
    </w:p>
    <w:p w14:paraId="20E3FE09" w14:textId="77777777" w:rsidR="00FF1C52" w:rsidRPr="00734BB5" w:rsidRDefault="00FF1C52" w:rsidP="0005336F">
      <w:pPr>
        <w:pStyle w:val="NoSpacing"/>
        <w:numPr>
          <w:ilvl w:val="2"/>
          <w:numId w:val="18"/>
        </w:numPr>
        <w:pBdr>
          <w:top w:val="nil"/>
          <w:left w:val="nil"/>
          <w:bottom w:val="nil"/>
          <w:right w:val="nil"/>
          <w:between w:val="nil"/>
          <w:bar w:val="nil"/>
        </w:pBdr>
        <w:spacing w:before="120" w:after="120" w:line="259" w:lineRule="auto"/>
        <w:rPr>
          <w:sz w:val="21"/>
          <w:szCs w:val="21"/>
        </w:rPr>
      </w:pPr>
      <w:r>
        <w:rPr>
          <w:sz w:val="21"/>
          <w:szCs w:val="21"/>
        </w:rPr>
        <w:t>P</w:t>
      </w:r>
      <w:r w:rsidRPr="4F5FD904">
        <w:rPr>
          <w:sz w:val="21"/>
          <w:szCs w:val="21"/>
        </w:rPr>
        <w:t xml:space="preserve">rovide access to no-interest loans and potential subsidies. </w:t>
      </w:r>
      <w:r w:rsidRPr="00734BB5">
        <w:rPr>
          <w:sz w:val="21"/>
          <w:szCs w:val="21"/>
        </w:rPr>
        <w:t>A cap on rent rises above CPI, should be implemented if subsidies are provided.</w:t>
      </w:r>
    </w:p>
    <w:p w14:paraId="55DA4CF2" w14:textId="6E6AAAFA" w:rsidR="00730925" w:rsidRDefault="00730925" w:rsidP="0023702C">
      <w:pPr>
        <w:ind w:left="426"/>
      </w:pPr>
      <w:r w:rsidRPr="00730925">
        <w:rPr>
          <w:b/>
          <w:color w:val="CC0000"/>
        </w:rPr>
        <w:lastRenderedPageBreak/>
        <w:t>Recommendation 1</w:t>
      </w:r>
      <w:r w:rsidR="00B4399F">
        <w:rPr>
          <w:b/>
          <w:color w:val="CC0000"/>
        </w:rPr>
        <w:t>8</w:t>
      </w:r>
      <w:r w:rsidRPr="00730925">
        <w:rPr>
          <w:b/>
          <w:color w:val="CC0000"/>
        </w:rPr>
        <w:t xml:space="preserve">: </w:t>
      </w:r>
      <w:r w:rsidRPr="00730925">
        <w:t xml:space="preserve">Work with jurisdictional governments to investigate whether reform of relevant strata laws and/or new governance options is required to improve energy efficiency and </w:t>
      </w:r>
      <w:r w:rsidR="00F97AFB">
        <w:t>electrification</w:t>
      </w:r>
      <w:r w:rsidRPr="00730925">
        <w:t xml:space="preserve"> in existing apartments. This may include, for example, limiting or prohibiting the ability of strata schemes to prevent or restrict upgrades or retrofits in individual strata lots that may be required to meet new mandated energy efficiency standards.</w:t>
      </w:r>
    </w:p>
    <w:p w14:paraId="59739885" w14:textId="1AFD936A" w:rsidR="00730925" w:rsidRPr="00730925" w:rsidRDefault="00730925" w:rsidP="0023702C">
      <w:pPr>
        <w:ind w:left="426"/>
      </w:pPr>
      <w:r w:rsidRPr="00730925">
        <w:rPr>
          <w:b/>
          <w:color w:val="CC0000"/>
        </w:rPr>
        <w:t>Recommendation 1</w:t>
      </w:r>
      <w:r w:rsidR="00B4399F">
        <w:rPr>
          <w:b/>
          <w:color w:val="CC0000"/>
        </w:rPr>
        <w:t>9</w:t>
      </w:r>
      <w:r w:rsidRPr="00730925">
        <w:rPr>
          <w:b/>
          <w:color w:val="CC0000"/>
        </w:rPr>
        <w:t xml:space="preserve"> </w:t>
      </w:r>
      <w:r w:rsidRPr="00730925">
        <w:rPr>
          <w:shd w:val="clear" w:color="auto" w:fill="FFFFFF"/>
        </w:rPr>
        <w:t xml:space="preserve">Set energy performance targets for </w:t>
      </w:r>
      <w:r w:rsidR="00315740">
        <w:rPr>
          <w:shd w:val="clear" w:color="auto" w:fill="FFFFFF"/>
        </w:rPr>
        <w:t xml:space="preserve">home energy </w:t>
      </w:r>
      <w:r w:rsidR="00A85570">
        <w:rPr>
          <w:shd w:val="clear" w:color="auto" w:fill="FFFFFF"/>
        </w:rPr>
        <w:t>upgrades</w:t>
      </w:r>
      <w:r w:rsidR="00315740">
        <w:rPr>
          <w:shd w:val="clear" w:color="auto" w:fill="FFFFFF"/>
        </w:rPr>
        <w:t xml:space="preserve"> </w:t>
      </w:r>
      <w:r w:rsidRPr="00730925">
        <w:rPr>
          <w:shd w:val="clear" w:color="auto" w:fill="FFFFFF"/>
        </w:rPr>
        <w:t>for low-income housing.</w:t>
      </w:r>
    </w:p>
    <w:p w14:paraId="42AF1702" w14:textId="5E82DF96" w:rsidR="00730925" w:rsidRPr="00730925" w:rsidRDefault="00730925" w:rsidP="0023702C">
      <w:pPr>
        <w:ind w:left="426"/>
      </w:pPr>
      <w:r w:rsidRPr="00730925">
        <w:rPr>
          <w:b/>
          <w:color w:val="CC0000"/>
        </w:rPr>
        <w:t xml:space="preserve">Recommendation </w:t>
      </w:r>
      <w:r w:rsidR="00B4399F">
        <w:rPr>
          <w:b/>
          <w:color w:val="CC0000"/>
        </w:rPr>
        <w:t>20</w:t>
      </w:r>
      <w:r w:rsidRPr="00730925">
        <w:rPr>
          <w:b/>
          <w:color w:val="CC0000"/>
        </w:rPr>
        <w:t>:</w:t>
      </w:r>
      <w:r w:rsidRPr="00730925">
        <w:rPr>
          <w:b/>
        </w:rPr>
        <w:t xml:space="preserve"> </w:t>
      </w:r>
      <w:r w:rsidRPr="00730925">
        <w:t>Urgently finalise and implement a national residential building energy performance rating system for existing homes.</w:t>
      </w:r>
    </w:p>
    <w:p w14:paraId="521288C2" w14:textId="42E5A9F9" w:rsidR="00730925" w:rsidRPr="00730925" w:rsidRDefault="00730925" w:rsidP="0023702C">
      <w:pPr>
        <w:ind w:left="426"/>
      </w:pPr>
      <w:r w:rsidRPr="00730925">
        <w:rPr>
          <w:b/>
          <w:color w:val="CC0000"/>
        </w:rPr>
        <w:t xml:space="preserve">Recommendation </w:t>
      </w:r>
      <w:r w:rsidR="00B4399F">
        <w:rPr>
          <w:b/>
          <w:color w:val="CC0000"/>
        </w:rPr>
        <w:t>21</w:t>
      </w:r>
      <w:r w:rsidRPr="00730925">
        <w:rPr>
          <w:b/>
          <w:color w:val="CC0000"/>
        </w:rPr>
        <w:t>:</w:t>
      </w:r>
      <w:r w:rsidRPr="00730925">
        <w:rPr>
          <w:b/>
          <w:color w:val="E06666"/>
        </w:rPr>
        <w:t xml:space="preserve"> </w:t>
      </w:r>
      <w:r w:rsidRPr="00730925">
        <w:t>Introduce mandatory disclosure of energy performance for all buildings when they are sold and leased by 2025.</w:t>
      </w:r>
    </w:p>
    <w:p w14:paraId="4A9B0A3A" w14:textId="145E4C43" w:rsidR="00730925" w:rsidRDefault="00730925" w:rsidP="0023702C">
      <w:pPr>
        <w:ind w:left="426"/>
      </w:pPr>
      <w:r w:rsidRPr="00730925">
        <w:rPr>
          <w:b/>
          <w:color w:val="CC0000"/>
        </w:rPr>
        <w:t xml:space="preserve">Recommendation </w:t>
      </w:r>
      <w:r w:rsidR="00B4399F">
        <w:rPr>
          <w:b/>
          <w:color w:val="CC0000"/>
        </w:rPr>
        <w:t>22</w:t>
      </w:r>
      <w:r w:rsidRPr="00730925">
        <w:rPr>
          <w:b/>
          <w:color w:val="CC0000"/>
        </w:rPr>
        <w:t>:</w:t>
      </w:r>
      <w:r w:rsidRPr="00730925">
        <w:t xml:space="preserve"> The Federal Government funds programs – like one-stop shops - to provide people with user-friendly and culturally appropriate information, </w:t>
      </w:r>
      <w:proofErr w:type="gramStart"/>
      <w:r w:rsidRPr="00730925">
        <w:t>tools</w:t>
      </w:r>
      <w:proofErr w:type="gramEnd"/>
      <w:r w:rsidRPr="00730925">
        <w:t xml:space="preserve"> and access to qualified trades, to understand energy performance ratings, electrification and the potential long-term benefits of energy performance measures, in order to encourage take-up beyond the minimum performance standard.</w:t>
      </w:r>
    </w:p>
    <w:p w14:paraId="5B204CA1" w14:textId="1E04D469" w:rsidR="005538B3" w:rsidRPr="007D3B04" w:rsidRDefault="005538B3" w:rsidP="0023702C">
      <w:pPr>
        <w:pStyle w:val="Body"/>
        <w:ind w:left="426"/>
        <w:rPr>
          <w:sz w:val="21"/>
          <w:szCs w:val="21"/>
          <w:lang w:val="en-AU"/>
        </w:rPr>
      </w:pPr>
      <w:r w:rsidRPr="3D3EED71">
        <w:rPr>
          <w:b/>
          <w:color w:val="C00000"/>
          <w:sz w:val="21"/>
          <w:szCs w:val="21"/>
          <w:lang w:val="en-AU"/>
        </w:rPr>
        <w:t xml:space="preserve">Recommendation </w:t>
      </w:r>
      <w:r w:rsidR="00B4399F" w:rsidRPr="3D3EED71">
        <w:rPr>
          <w:b/>
          <w:color w:val="C00000"/>
          <w:sz w:val="21"/>
          <w:szCs w:val="21"/>
          <w:lang w:val="en-AU"/>
        </w:rPr>
        <w:t>23</w:t>
      </w:r>
      <w:r w:rsidRPr="3D3EED71">
        <w:rPr>
          <w:b/>
          <w:color w:val="C00000"/>
          <w:sz w:val="21"/>
          <w:szCs w:val="21"/>
          <w:lang w:val="en-AU"/>
        </w:rPr>
        <w:t>:</w:t>
      </w:r>
      <w:r w:rsidRPr="3D3EED71">
        <w:rPr>
          <w:color w:val="C00000"/>
          <w:sz w:val="21"/>
          <w:szCs w:val="21"/>
          <w:lang w:val="en-AU"/>
        </w:rPr>
        <w:t xml:space="preserve"> </w:t>
      </w:r>
      <w:r w:rsidRPr="3D3EED71">
        <w:rPr>
          <w:sz w:val="21"/>
          <w:szCs w:val="21"/>
          <w:lang w:val="en-AU"/>
        </w:rPr>
        <w:t>Culturally and linguistically appropriate education campaign on the benefits of electrification and the renewable transition.</w:t>
      </w:r>
    </w:p>
    <w:p w14:paraId="65DF5BCF" w14:textId="5C3E0BF6" w:rsidR="003E5105" w:rsidRDefault="003E5105" w:rsidP="0023702C">
      <w:pPr>
        <w:pStyle w:val="Body"/>
        <w:ind w:left="426"/>
        <w:rPr>
          <w:sz w:val="21"/>
          <w:szCs w:val="21"/>
          <w:lang w:val="en-AU"/>
        </w:rPr>
      </w:pPr>
      <w:r w:rsidRPr="3D3EED71">
        <w:rPr>
          <w:b/>
          <w:color w:val="C00000"/>
          <w:sz w:val="21"/>
          <w:szCs w:val="21"/>
          <w:lang w:val="en-AU"/>
        </w:rPr>
        <w:t xml:space="preserve">Recommendation </w:t>
      </w:r>
      <w:r w:rsidR="00B4399F" w:rsidRPr="3D3EED71">
        <w:rPr>
          <w:b/>
          <w:color w:val="C00000"/>
          <w:sz w:val="21"/>
          <w:szCs w:val="21"/>
          <w:lang w:val="en-AU"/>
        </w:rPr>
        <w:t>24</w:t>
      </w:r>
      <w:r w:rsidRPr="3D3EED71">
        <w:rPr>
          <w:b/>
          <w:color w:val="C00000"/>
          <w:sz w:val="21"/>
          <w:szCs w:val="21"/>
          <w:lang w:val="en-AU"/>
        </w:rPr>
        <w:t>:</w:t>
      </w:r>
      <w:r w:rsidRPr="3D3EED71">
        <w:rPr>
          <w:color w:val="C00000"/>
          <w:sz w:val="21"/>
          <w:szCs w:val="21"/>
          <w:lang w:val="en-AU"/>
        </w:rPr>
        <w:t xml:space="preserve"> </w:t>
      </w:r>
      <w:r w:rsidRPr="3D3EED71">
        <w:rPr>
          <w:sz w:val="21"/>
          <w:szCs w:val="21"/>
          <w:lang w:val="en-AU"/>
        </w:rPr>
        <w:t xml:space="preserve">Partner with building industry peak bodies, </w:t>
      </w:r>
      <w:proofErr w:type="gramStart"/>
      <w:r w:rsidRPr="3D3EED71">
        <w:rPr>
          <w:sz w:val="21"/>
          <w:szCs w:val="21"/>
          <w:lang w:val="en-AU"/>
        </w:rPr>
        <w:t>unions</w:t>
      </w:r>
      <w:proofErr w:type="gramEnd"/>
      <w:r w:rsidRPr="3D3EED71">
        <w:rPr>
          <w:sz w:val="21"/>
          <w:szCs w:val="21"/>
          <w:lang w:val="en-AU"/>
        </w:rPr>
        <w:t xml:space="preserve"> and trades associations to educate retailers, tradespeople and installers about great all-electric alternatives to gas appliances. There is an opportunity to train workers in the building and servicing of all-electric </w:t>
      </w:r>
      <w:proofErr w:type="gramStart"/>
      <w:r w:rsidRPr="3D3EED71">
        <w:rPr>
          <w:sz w:val="21"/>
          <w:szCs w:val="21"/>
          <w:lang w:val="en-AU"/>
        </w:rPr>
        <w:t>homes</w:t>
      </w:r>
      <w:proofErr w:type="gramEnd"/>
      <w:r w:rsidRPr="3D3EED71">
        <w:rPr>
          <w:sz w:val="21"/>
          <w:szCs w:val="21"/>
          <w:lang w:val="en-AU"/>
        </w:rPr>
        <w:t xml:space="preserve"> so tradespeople and installers know about all-electric alternatives. This could be facilitated through the New Energy Apprenticeships Initiative, as well as being directed by peak bodies, </w:t>
      </w:r>
      <w:proofErr w:type="gramStart"/>
      <w:r w:rsidRPr="3D3EED71">
        <w:rPr>
          <w:sz w:val="21"/>
          <w:szCs w:val="21"/>
          <w:lang w:val="en-AU"/>
        </w:rPr>
        <w:t>unions</w:t>
      </w:r>
      <w:proofErr w:type="gramEnd"/>
      <w:r w:rsidRPr="3D3EED71">
        <w:rPr>
          <w:sz w:val="21"/>
          <w:szCs w:val="21"/>
          <w:lang w:val="en-AU"/>
        </w:rPr>
        <w:t xml:space="preserve"> and trade associations. In particular, courses should be provided by education providers to upskill workers on how to shift away from gas and micro-credentials offered through the National Skills Agreement.</w:t>
      </w:r>
    </w:p>
    <w:p w14:paraId="60C24973" w14:textId="7A2D69AD" w:rsidR="0007535D" w:rsidRPr="00296674" w:rsidRDefault="0007535D" w:rsidP="0023702C">
      <w:pPr>
        <w:ind w:left="426"/>
      </w:pPr>
      <w:r w:rsidRPr="00296674">
        <w:rPr>
          <w:b/>
          <w:bCs/>
          <w:color w:val="C00000"/>
        </w:rPr>
        <w:t xml:space="preserve">Recommendation </w:t>
      </w:r>
      <w:r w:rsidR="00B4399F">
        <w:rPr>
          <w:b/>
          <w:bCs/>
          <w:color w:val="C00000"/>
        </w:rPr>
        <w:t>25</w:t>
      </w:r>
      <w:r w:rsidRPr="00296674">
        <w:rPr>
          <w:b/>
          <w:bCs/>
          <w:color w:val="C00000"/>
        </w:rPr>
        <w:t>:</w:t>
      </w:r>
      <w:r w:rsidRPr="00296674">
        <w:rPr>
          <w:color w:val="C00000"/>
        </w:rPr>
        <w:t xml:space="preserve"> </w:t>
      </w:r>
      <w:r w:rsidRPr="00296674">
        <w:t>The Federal Government works with jurisdictions and industry to ensure effective compliance with minimum standards through skills training and incentives, and improved mechanisms for dispute resolution and redress.</w:t>
      </w:r>
    </w:p>
    <w:p w14:paraId="22823081" w14:textId="3516C9F8" w:rsidR="00730925" w:rsidRPr="00730925" w:rsidRDefault="00730925" w:rsidP="0023702C">
      <w:pPr>
        <w:ind w:left="426"/>
      </w:pPr>
      <w:r w:rsidRPr="00730925">
        <w:rPr>
          <w:b/>
          <w:color w:val="CC0000"/>
        </w:rPr>
        <w:t xml:space="preserve">Recommendation </w:t>
      </w:r>
      <w:r w:rsidR="00B4399F">
        <w:rPr>
          <w:b/>
          <w:color w:val="CC0000"/>
        </w:rPr>
        <w:t>26</w:t>
      </w:r>
      <w:r w:rsidRPr="00730925">
        <w:rPr>
          <w:b/>
          <w:color w:val="CC0000"/>
        </w:rPr>
        <w:t>:</w:t>
      </w:r>
      <w:r w:rsidRPr="00730925">
        <w:rPr>
          <w:b/>
        </w:rPr>
        <w:t xml:space="preserve"> </w:t>
      </w:r>
      <w:r w:rsidRPr="00730925">
        <w:t xml:space="preserve">Commonwealth, </w:t>
      </w:r>
      <w:proofErr w:type="gramStart"/>
      <w:r w:rsidRPr="00730925">
        <w:t>state</w:t>
      </w:r>
      <w:proofErr w:type="gramEnd"/>
      <w:r w:rsidRPr="00730925">
        <w:t xml:space="preserve"> and territory governments require that the Integrated System Plan gives </w:t>
      </w:r>
      <w:r w:rsidRPr="00730925">
        <w:rPr>
          <w:b/>
        </w:rPr>
        <w:t>greater weighting</w:t>
      </w:r>
      <w:r w:rsidRPr="00730925">
        <w:t xml:space="preserve"> to electrification, energy efficiency and demand management opportunities in future plans. This activity could be supported by resourcing the development of an annual Energy Performance Statement of Opportunities.</w:t>
      </w:r>
    </w:p>
    <w:p w14:paraId="55967CE7" w14:textId="785505EB" w:rsidR="00372C95" w:rsidRPr="007D3B04" w:rsidRDefault="00372C95" w:rsidP="0023702C">
      <w:pPr>
        <w:pStyle w:val="Body"/>
        <w:ind w:left="426"/>
        <w:rPr>
          <w:sz w:val="21"/>
          <w:szCs w:val="21"/>
        </w:rPr>
      </w:pPr>
      <w:r w:rsidRPr="007D3B04">
        <w:rPr>
          <w:b/>
          <w:bCs/>
          <w:color w:val="C00000"/>
          <w:sz w:val="21"/>
          <w:szCs w:val="21"/>
        </w:rPr>
        <w:t xml:space="preserve">Recommendation </w:t>
      </w:r>
      <w:r w:rsidR="00B4399F">
        <w:rPr>
          <w:b/>
          <w:bCs/>
          <w:color w:val="C00000"/>
          <w:sz w:val="21"/>
          <w:szCs w:val="21"/>
        </w:rPr>
        <w:t>27</w:t>
      </w:r>
      <w:r w:rsidRPr="007D3B04">
        <w:rPr>
          <w:b/>
          <w:bCs/>
          <w:color w:val="C00000"/>
          <w:sz w:val="21"/>
          <w:szCs w:val="21"/>
        </w:rPr>
        <w:t>:</w:t>
      </w:r>
      <w:r w:rsidRPr="007D3B04">
        <w:rPr>
          <w:sz w:val="21"/>
          <w:szCs w:val="21"/>
        </w:rPr>
        <w:t xml:space="preserve"> </w:t>
      </w:r>
      <w:r>
        <w:rPr>
          <w:sz w:val="21"/>
          <w:szCs w:val="21"/>
        </w:rPr>
        <w:t>The Government should m</w:t>
      </w:r>
      <w:r w:rsidRPr="007D3B04">
        <w:rPr>
          <w:sz w:val="21"/>
          <w:szCs w:val="21"/>
        </w:rPr>
        <w:t>odel the co-benefits, including economic, health, household savings, job creation of accelerating residential energy efficiency and electrification</w:t>
      </w:r>
      <w:r w:rsidR="00E32343">
        <w:rPr>
          <w:sz w:val="21"/>
          <w:szCs w:val="21"/>
        </w:rPr>
        <w:t>.</w:t>
      </w:r>
    </w:p>
    <w:bookmarkEnd w:id="7"/>
    <w:p w14:paraId="39F40E67" w14:textId="604FD0BE" w:rsidR="00106F67" w:rsidRDefault="000D3A17" w:rsidP="0033158A">
      <w:pPr>
        <w:pStyle w:val="Heading3"/>
      </w:pPr>
      <w:r>
        <w:rPr>
          <w:noProof/>
        </w:rPr>
        <w:lastRenderedPageBreak/>
        <mc:AlternateContent>
          <mc:Choice Requires="wps">
            <w:drawing>
              <wp:anchor distT="45720" distB="45720" distL="114300" distR="114300" simplePos="0" relativeHeight="251658752" behindDoc="0" locked="0" layoutInCell="1" allowOverlap="1" wp14:anchorId="2B0B49F2" wp14:editId="0721B0BD">
                <wp:simplePos x="0" y="0"/>
                <wp:positionH relativeFrom="margin">
                  <wp:align>right</wp:align>
                </wp:positionH>
                <wp:positionV relativeFrom="paragraph">
                  <wp:posOffset>494665</wp:posOffset>
                </wp:positionV>
                <wp:extent cx="5800725" cy="1619250"/>
                <wp:effectExtent l="0" t="0" r="28575" b="19050"/>
                <wp:wrapSquare wrapText="bothSides"/>
                <wp:docPr id="1857019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1619250"/>
                        </a:xfrm>
                        <a:prstGeom prst="rect">
                          <a:avLst/>
                        </a:prstGeom>
                        <a:solidFill>
                          <a:srgbClr val="5B9BD5">
                            <a:lumMod val="40000"/>
                            <a:lumOff val="60000"/>
                          </a:srgbClr>
                        </a:solidFill>
                        <a:ln w="9525">
                          <a:solidFill>
                            <a:srgbClr val="000000"/>
                          </a:solidFill>
                          <a:miter lim="800000"/>
                          <a:headEnd/>
                          <a:tailEnd/>
                        </a:ln>
                      </wps:spPr>
                      <wps:txbx>
                        <w:txbxContent>
                          <w:p w14:paraId="5F72E46E" w14:textId="579C1E64" w:rsidR="000D3A17" w:rsidRPr="007A5A2E" w:rsidRDefault="000D3A17" w:rsidP="0033158A">
                            <w:pPr>
                              <w:pStyle w:val="ListBullet"/>
                            </w:pPr>
                            <w:r w:rsidRPr="007A5A2E">
                              <w:t xml:space="preserve">5.What policy settings and certainty are required to support a fair, equitable and orderly transition for the decarbonisation of both natural gas and liquid fuels? </w:t>
                            </w:r>
                          </w:p>
                          <w:p w14:paraId="55B2399C" w14:textId="070348E3" w:rsidR="000D3A17" w:rsidRPr="007A5A2E" w:rsidRDefault="000D3A17" w:rsidP="0033158A">
                            <w:pPr>
                              <w:pStyle w:val="ListBullet"/>
                            </w:pPr>
                            <w:r w:rsidRPr="007A5A2E">
                              <w:t>6.What actions are required to establish low carbon fuel industries in Australia, including enabling supply and demand, and what are the most prospective production pathways?</w:t>
                            </w:r>
                          </w:p>
                          <w:p w14:paraId="3158F3DC" w14:textId="108A8CAA" w:rsidR="000D3A17" w:rsidRPr="007A5A2E" w:rsidRDefault="000D3A17" w:rsidP="0033158A">
                            <w:pPr>
                              <w:pStyle w:val="ListBullet"/>
                            </w:pPr>
                            <w:r w:rsidRPr="007A5A2E">
                              <w:t>7.Are the proposed policy focus areas for managing the liquid fuels transition (outlined in Section 4 of the discussion paper) the correct areas to focus on, and what is missing?</w:t>
                            </w:r>
                          </w:p>
                          <w:p w14:paraId="71B65784" w14:textId="44F0A83C" w:rsidR="00B74A65" w:rsidRPr="00A4656C" w:rsidRDefault="00B74A65" w:rsidP="0033158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0B49F2" id="_x0000_s1028" type="#_x0000_t202" style="position:absolute;left:0;text-align:left;margin-left:405.55pt;margin-top:38.95pt;width:456.75pt;height:127.5pt;z-index:2516587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CdaNQIAAGAEAAAOAAAAZHJzL2Uyb0RvYy54bWysVNuO0zAQfUfiHyy/0yRV091Gm662LYuQ&#10;lou08AGO4zQWjsfYbpPy9YydtFtA4gGRB8szts/MnDOTu/uhU+QorJOgS5rNUkqE5lBLvS/p1y+P&#10;b24pcZ7pminQoqQn4ej9+vWru94UYg4tqFpYgiDaFb0paeu9KZLE8VZ0zM3ACI2HDdiOeTTtPqkt&#10;6xG9U8k8TZdJD7Y2FrhwDr278ZCuI37TCO4/NY0TnqiSYm4+rjauVViT9R0r9paZVvIpDfYPWXRM&#10;agx6gdoxz8jByj+gOsktOGj8jEOXQNNILmINWE2W/lbNc8uMiLUgOc5caHL/D5Z/PD6bz5b4YQMD&#10;ChiLcOYJ+DdHNGxbpvfiwVroW8FqDJwFypLeuGJ6Gqh2hQsgVf8BahSZHTxEoKGxXWAF6ySIjgKc&#10;LqSLwROOzvw2TW/mOSUcz7JltprnUZaEFefnxjr/TkBHwqakFlWN8Oz45HxIhxXnKyGaAyXrR6lU&#10;NOy+2ipLjgw7IN+sNrs8vlWHDpMd3YsUv7EV0I0NM7qXZzfiuxEmxvoFX2nSl3SVYwV/jx3AxigB&#10;7jrFTnqcASW7kiIX0yVWBMLf6jp2qGdSjXt8rPSkQCB9pN8P1UBkXdJ5KCMIUkF9QkksjC2PI4qb&#10;FuwPSnps95K67wdmBSXqvUZZV9liEeYjGov8Zo6GvT6prk+Y5ghVUk/JuN36OFOBAQ0PKH8jozAv&#10;mUwpYxtHDqeRC3NybcdbLz+G9U8AAAD//wMAUEsDBBQABgAIAAAAIQAr7HnU4AAAAAcBAAAPAAAA&#10;ZHJzL2Rvd25yZXYueG1sTI9Ba8JAFITvhf6H5RV6qxsNVRPzIlIoWGjB2oJ6W7OvSTD7NmQ3Gv99&#10;11N7HGaY+SZbDqYRZ+pcbRlhPIpAEBdW11wifH+9Ps1BOK9Yq8YyIVzJwTK/v8tUqu2FP+m89aUI&#10;JexShVB536ZSuqIio9zItsTB+7GdUT7IrpS6U5dQbho5iaKpNKrmsFCpll4qKk7b3iDI/X76vn7b&#10;XD/6+SrZrYtDsTkdEB8fhtUChKfB/4Xhhh/QIQ9MR9uzdqJBCEc8wmyWgAhuMo6fQRwR4niSgMwz&#10;+Z8//wUAAP//AwBQSwECLQAUAAYACAAAACEAtoM4kv4AAADhAQAAEwAAAAAAAAAAAAAAAAAAAAAA&#10;W0NvbnRlbnRfVHlwZXNdLnhtbFBLAQItABQABgAIAAAAIQA4/SH/1gAAAJQBAAALAAAAAAAAAAAA&#10;AAAAAC8BAABfcmVscy8ucmVsc1BLAQItABQABgAIAAAAIQBLMCdaNQIAAGAEAAAOAAAAAAAAAAAA&#10;AAAAAC4CAABkcnMvZTJvRG9jLnhtbFBLAQItABQABgAIAAAAIQAr7HnU4AAAAAcBAAAPAAAAAAAA&#10;AAAAAAAAAI8EAABkcnMvZG93bnJldi54bWxQSwUGAAAAAAQABADzAAAAnAUAAAAA&#10;" fillcolor="#bdd7ee">
                <v:textbox>
                  <w:txbxContent>
                    <w:p w14:paraId="5F72E46E" w14:textId="579C1E64" w:rsidR="000D3A17" w:rsidRPr="007A5A2E" w:rsidRDefault="000D3A17" w:rsidP="0033158A">
                      <w:pPr>
                        <w:pStyle w:val="ListBullet"/>
                      </w:pPr>
                      <w:r w:rsidRPr="007A5A2E">
                        <w:t xml:space="preserve">5.What policy settings and certainty are required to support a fair, equitable and orderly transition for the decarbonisation of both natural gas and liquid fuels? </w:t>
                      </w:r>
                    </w:p>
                    <w:p w14:paraId="55B2399C" w14:textId="070348E3" w:rsidR="000D3A17" w:rsidRPr="007A5A2E" w:rsidRDefault="000D3A17" w:rsidP="0033158A">
                      <w:pPr>
                        <w:pStyle w:val="ListBullet"/>
                      </w:pPr>
                      <w:r w:rsidRPr="007A5A2E">
                        <w:t>6.What actions are required to establish low carbon fuel industries in Australia, including enabling supply and demand, and what are the most prospective production pathways?</w:t>
                      </w:r>
                    </w:p>
                    <w:p w14:paraId="3158F3DC" w14:textId="108A8CAA" w:rsidR="000D3A17" w:rsidRPr="007A5A2E" w:rsidRDefault="000D3A17" w:rsidP="0033158A">
                      <w:pPr>
                        <w:pStyle w:val="ListBullet"/>
                      </w:pPr>
                      <w:r w:rsidRPr="007A5A2E">
                        <w:t>7.Are the proposed policy focus areas for managing the liquid fuels transition (outlined in Section 4 of the discussion paper) the correct areas to focus on, and what is missing?</w:t>
                      </w:r>
                    </w:p>
                    <w:p w14:paraId="71B65784" w14:textId="44F0A83C" w:rsidR="00B74A65" w:rsidRPr="00A4656C" w:rsidRDefault="00B74A65" w:rsidP="0033158A"/>
                  </w:txbxContent>
                </v:textbox>
                <w10:wrap type="square" anchorx="margin"/>
              </v:shape>
            </w:pict>
          </mc:Fallback>
        </mc:AlternateContent>
      </w:r>
      <w:r w:rsidR="00106F67">
        <w:t>Growing alternative low carbon fuels</w:t>
      </w:r>
    </w:p>
    <w:p w14:paraId="5E654D7C" w14:textId="61F31141" w:rsidR="00EB4D28" w:rsidRPr="001C5A88" w:rsidRDefault="00166A84" w:rsidP="0033158A">
      <w:r w:rsidRPr="00B87D20">
        <w:t>The</w:t>
      </w:r>
      <w:r w:rsidR="00EB4D28" w:rsidRPr="00B87D20">
        <w:t xml:space="preserve"> </w:t>
      </w:r>
      <w:hyperlink r:id="rId26">
        <w:r w:rsidR="00EB4D28" w:rsidRPr="1B4F636D">
          <w:rPr>
            <w:rStyle w:val="Hyperlink"/>
            <w:rFonts w:eastAsia="Times New Roman" w:cs="Times New Roman"/>
            <w:color w:val="0070C0"/>
          </w:rPr>
          <w:t>ACOSS Submission on Future Gas Strategy 2023</w:t>
        </w:r>
      </w:hyperlink>
      <w:r w:rsidRPr="00B87D20">
        <w:rPr>
          <w:color w:val="0070C0"/>
        </w:rPr>
        <w:t xml:space="preserve">, </w:t>
      </w:r>
      <w:r w:rsidRPr="00B87D20">
        <w:t xml:space="preserve">provides </w:t>
      </w:r>
      <w:r w:rsidR="57ADA296">
        <w:t>an</w:t>
      </w:r>
      <w:r w:rsidRPr="00B87D20">
        <w:t xml:space="preserve"> extensive outline</w:t>
      </w:r>
      <w:r w:rsidRPr="001C5A88">
        <w:t xml:space="preserve"> of our views on gas and alternative gas</w:t>
      </w:r>
      <w:r w:rsidR="00F56DC5" w:rsidRPr="001C5A88">
        <w:t xml:space="preserve"> as part of fair, equitable and orderly transition. </w:t>
      </w:r>
    </w:p>
    <w:p w14:paraId="07A34A6F" w14:textId="188A1DFA" w:rsidR="00A407E8" w:rsidRDefault="001C5A88" w:rsidP="0033158A">
      <w:r>
        <w:t>In summary, t</w:t>
      </w:r>
      <w:r w:rsidR="00A407E8">
        <w:t xml:space="preserve">he expansion of gas is not consistent with Australia’s commitment to pursue limiting warming to 1.5 degrees and will leave us with costly stranded assets as we make the transition to renewable energies. It will slow the energy transition, leaving Australia behind in securing supply chains for renewable infrastructure and delay our development of clean economy industries and workforce. Gas has negative health impacts as a result of extraction and use in the home. Expansion will negatively impact First Nations communities, water supply and degrade the environment. It will also increase costs to consumers, particularly those on low-income and/or renting who have no choice or ability to electrify. </w:t>
      </w:r>
    </w:p>
    <w:p w14:paraId="2C08C8CD" w14:textId="6720793D" w:rsidR="0051124C" w:rsidRDefault="0051124C" w:rsidP="0033158A">
      <w:r>
        <w:t xml:space="preserve">Residential use of hydrogen or biogases as potential ‘alternatives’ to the methane gas in residential network is not efficient or effective. They fail to contribute to emissions reduction and improved household health or involve substantial unnecessary cost and risk to households. </w:t>
      </w:r>
    </w:p>
    <w:p w14:paraId="680C3417" w14:textId="77777777" w:rsidR="0051124C" w:rsidRDefault="0051124C" w:rsidP="0033158A">
      <w:r>
        <w:t>Existing gas infrastructure would either have to be replaced or modified to hold hydrogen gas. Estimates for upgrading infrastructure to accept 100% supplies of hydrogen vary from 28% of the cost of an entirely new network, to more than 100% of the cost.</w:t>
      </w:r>
      <w:r w:rsidRPr="001144D3">
        <w:rPr>
          <w:rStyle w:val="FootnoteReference"/>
        </w:rPr>
        <w:footnoteReference w:id="32"/>
      </w:r>
    </w:p>
    <w:p w14:paraId="37374B78" w14:textId="77777777" w:rsidR="0051124C" w:rsidRDefault="0051124C" w:rsidP="0033158A">
      <w:r>
        <w:t>At the household level existing appliances would need to be replaced to accommodate hydrogen, many of these appliances are not yet available. Collective cost to upgrade appliances to accept hydrogen for Victorian and South Australian customers has been estimated at $585 million.</w:t>
      </w:r>
      <w:r>
        <w:rPr>
          <w:rStyle w:val="FootnoteReference"/>
        </w:rPr>
        <w:footnoteReference w:id="33"/>
      </w:r>
    </w:p>
    <w:p w14:paraId="5F5710C2" w14:textId="77777777" w:rsidR="0051124C" w:rsidRDefault="0051124C" w:rsidP="0033158A">
      <w:r>
        <w:t xml:space="preserve">Biomethane could be more readily accepted by existing infrastructure and appliances. However, it is heavily supply-constrained and is better served in other hard to abate areas </w:t>
      </w:r>
      <w:r w:rsidRPr="00E2720A">
        <w:t>such as a chemical feedstock in some manufacturing processes, and in the refining of some metals.</w:t>
      </w:r>
      <w:r>
        <w:rPr>
          <w:rStyle w:val="FootnoteReference"/>
        </w:rPr>
        <w:footnoteReference w:id="34"/>
      </w:r>
    </w:p>
    <w:p w14:paraId="070285F3" w14:textId="584048D3" w:rsidR="00463B3E" w:rsidRDefault="00463B3E" w:rsidP="0033158A">
      <w:r w:rsidRPr="001445FB">
        <w:lastRenderedPageBreak/>
        <w:t>While gas has historically been marketed as a cheap energy option, that is no longer true</w:t>
      </w:r>
      <w:r>
        <w:t xml:space="preserve">. </w:t>
      </w:r>
      <w:r w:rsidRPr="00554007">
        <w:t xml:space="preserve">Gas </w:t>
      </w:r>
      <w:r>
        <w:t xml:space="preserve">and alternative gas options </w:t>
      </w:r>
      <w:r w:rsidR="00FC308A">
        <w:t>are</w:t>
      </w:r>
      <w:r w:rsidRPr="00554007">
        <w:t xml:space="preserve"> expensive, with </w:t>
      </w:r>
      <w:r>
        <w:t>gas prices</w:t>
      </w:r>
      <w:r w:rsidRPr="00554007">
        <w:t xml:space="preserve"> rising faster than </w:t>
      </w:r>
      <w:r>
        <w:t xml:space="preserve">electricity and </w:t>
      </w:r>
      <w:r w:rsidRPr="00554007">
        <w:t>the rate of inflation since 2012</w:t>
      </w:r>
      <w:r>
        <w:t>.</w:t>
      </w:r>
      <w:r>
        <w:rPr>
          <w:rStyle w:val="FootnoteReference"/>
        </w:rPr>
        <w:footnoteReference w:id="35"/>
      </w:r>
      <w:r>
        <w:t xml:space="preserve"> </w:t>
      </w:r>
    </w:p>
    <w:p w14:paraId="06D96265" w14:textId="77777777" w:rsidR="00463B3E" w:rsidRDefault="00463B3E" w:rsidP="0033158A">
      <w:r w:rsidRPr="00275CCC">
        <w:t>Gas-consuming households are more exposed to energy price inflation than all-electric homes, which generally have lower energy bills.</w:t>
      </w:r>
      <w:r>
        <w:rPr>
          <w:rStyle w:val="FootnoteReference"/>
        </w:rPr>
        <w:footnoteReference w:id="36"/>
      </w:r>
      <w:r w:rsidRPr="00275CCC">
        <w:t xml:space="preserve"> </w:t>
      </w:r>
    </w:p>
    <w:p w14:paraId="025931FF" w14:textId="3536B792" w:rsidR="004A6BEF" w:rsidRDefault="004A6BEF" w:rsidP="0033158A">
      <w:r>
        <w:t xml:space="preserve">Connection to a separate gas network creates additional and unnecessary costs to households. Having both electricity and gas in the home requires households to pay two lots of network costs. </w:t>
      </w:r>
    </w:p>
    <w:p w14:paraId="760A6A9F" w14:textId="77777777" w:rsidR="00E21FE6" w:rsidRDefault="00E21FE6" w:rsidP="0033158A">
      <w:r>
        <w:t xml:space="preserve">Given a portion of network costs are fixed, people on </w:t>
      </w:r>
      <w:proofErr w:type="gramStart"/>
      <w:r>
        <w:t>low-incomes</w:t>
      </w:r>
      <w:proofErr w:type="gramEnd"/>
      <w:r>
        <w:t xml:space="preserve">, who pay disproportionately more of their income on household energy, cannot minimise these costs. People on low-income would significantly benefit from only paying for one network. </w:t>
      </w:r>
    </w:p>
    <w:p w14:paraId="456B4A97" w14:textId="0DFAEC8A" w:rsidR="00111255" w:rsidRDefault="006252E1" w:rsidP="0033158A">
      <w:r>
        <w:t>Households</w:t>
      </w:r>
      <w:r w:rsidR="00111255">
        <w:t xml:space="preserve"> are already shifting </w:t>
      </w:r>
      <w:r>
        <w:t>away</w:t>
      </w:r>
      <w:r w:rsidR="00111255">
        <w:t xml:space="preserve"> from gas, increasing costs for those who don’t have a choice</w:t>
      </w:r>
      <w:r>
        <w:t>.</w:t>
      </w:r>
    </w:p>
    <w:p w14:paraId="08A95478" w14:textId="77777777" w:rsidR="00E21FE6" w:rsidRDefault="00E21FE6" w:rsidP="0033158A">
      <w:pPr>
        <w:rPr>
          <w:sz w:val="13"/>
          <w:szCs w:val="13"/>
        </w:rPr>
      </w:pPr>
      <w:r>
        <w:t xml:space="preserve">Some have argued that phasing out the gas network will increase the load and cost of electricity networks and consumers would therefore not be better off. However, </w:t>
      </w:r>
      <w:r w:rsidRPr="00CD24E5">
        <w:t xml:space="preserve">CSIRO analysis for Energy Consumers Australia found </w:t>
      </w:r>
      <w:r>
        <w:t>that electrification of households would increase</w:t>
      </w:r>
      <w:r w:rsidRPr="00CD24E5">
        <w:t xml:space="preserve"> </w:t>
      </w:r>
      <w:r>
        <w:t xml:space="preserve">electricity </w:t>
      </w:r>
      <w:r w:rsidRPr="00CD24E5">
        <w:t xml:space="preserve">network utilisation </w:t>
      </w:r>
      <w:r>
        <w:t xml:space="preserve">of existing infrastructure and would </w:t>
      </w:r>
      <w:r w:rsidRPr="00CD24E5">
        <w:t>reduce costs for all consumers</w:t>
      </w:r>
      <w:r>
        <w:rPr>
          <w:rStyle w:val="FootnoteReference"/>
          <w:rFonts w:ascii="Arial Nova" w:hAnsi="Arial Nova" w:cs="Arial Nova"/>
        </w:rPr>
        <w:footnoteReference w:id="37"/>
      </w:r>
      <w:r w:rsidRPr="00CD24E5">
        <w:rPr>
          <w:sz w:val="13"/>
          <w:szCs w:val="13"/>
        </w:rPr>
        <w:t xml:space="preserve"> </w:t>
      </w:r>
    </w:p>
    <w:p w14:paraId="2A2ADE56" w14:textId="23940FB7" w:rsidR="0051124C" w:rsidRDefault="0051124C" w:rsidP="0033158A">
      <w:r>
        <w:t xml:space="preserve">Use of </w:t>
      </w:r>
      <w:r w:rsidR="0DAE29C0">
        <w:t>hydrogen or biogas</w:t>
      </w:r>
      <w:r>
        <w:t xml:space="preserve"> to replace existing methane in gas networks would represent an inefficient waste of resources, </w:t>
      </w:r>
      <w:r w:rsidR="00CB7863">
        <w:t xml:space="preserve">and </w:t>
      </w:r>
      <w:r>
        <w:t xml:space="preserve">would be better utilised in harder to abate areas, especially where there are more efficient, </w:t>
      </w:r>
      <w:proofErr w:type="gramStart"/>
      <w:r>
        <w:t>effective</w:t>
      </w:r>
      <w:proofErr w:type="gramEnd"/>
      <w:r>
        <w:t xml:space="preserve"> and lower emissions options in residential sector.</w:t>
      </w:r>
    </w:p>
    <w:p w14:paraId="52AEF79B" w14:textId="5323B266" w:rsidR="00203065" w:rsidRPr="0017778E" w:rsidRDefault="00203065" w:rsidP="0033158A">
      <w:r>
        <w:t>The recomm</w:t>
      </w:r>
      <w:r w:rsidR="00983573">
        <w:t>endations in section 5 cover key recommendations to support a fair, equitable and inclusive shift away from gas to electrification in residential setting</w:t>
      </w:r>
      <w:r w:rsidR="6F2FCE36">
        <w:t>s</w:t>
      </w:r>
      <w:r w:rsidR="00983573">
        <w:t>.</w:t>
      </w:r>
      <w:r w:rsidR="00AF17D7">
        <w:t xml:space="preserve"> In </w:t>
      </w:r>
      <w:r w:rsidR="00813757">
        <w:t>addition,</w:t>
      </w:r>
      <w:r w:rsidR="00AF17D7">
        <w:t xml:space="preserve"> we make the following recommendation.</w:t>
      </w:r>
    </w:p>
    <w:p w14:paraId="0917F4B9" w14:textId="7D0B81AF" w:rsidR="00B04B07" w:rsidRDefault="00B04B07" w:rsidP="003779A6">
      <w:pPr>
        <w:pStyle w:val="Body"/>
        <w:ind w:left="426"/>
        <w:rPr>
          <w:sz w:val="21"/>
          <w:szCs w:val="21"/>
        </w:rPr>
      </w:pPr>
      <w:r w:rsidRPr="007D3B04">
        <w:rPr>
          <w:b/>
          <w:bCs/>
          <w:color w:val="C00000"/>
          <w:sz w:val="21"/>
          <w:szCs w:val="21"/>
        </w:rPr>
        <w:t xml:space="preserve">Recommendation </w:t>
      </w:r>
      <w:r w:rsidR="00F22CB3">
        <w:rPr>
          <w:b/>
          <w:bCs/>
          <w:color w:val="C00000"/>
          <w:sz w:val="21"/>
          <w:szCs w:val="21"/>
        </w:rPr>
        <w:t>28</w:t>
      </w:r>
      <w:r w:rsidRPr="007D3B04">
        <w:rPr>
          <w:b/>
          <w:bCs/>
          <w:color w:val="C00000"/>
          <w:sz w:val="21"/>
          <w:szCs w:val="21"/>
        </w:rPr>
        <w:t>:</w:t>
      </w:r>
      <w:r w:rsidRPr="007D3B04">
        <w:rPr>
          <w:sz w:val="21"/>
          <w:szCs w:val="21"/>
        </w:rPr>
        <w:t xml:space="preserve"> </w:t>
      </w:r>
      <w:r>
        <w:rPr>
          <w:sz w:val="21"/>
          <w:szCs w:val="21"/>
        </w:rPr>
        <w:t>The Government should m</w:t>
      </w:r>
      <w:r w:rsidRPr="007D3B04">
        <w:rPr>
          <w:sz w:val="21"/>
          <w:szCs w:val="21"/>
        </w:rPr>
        <w:t xml:space="preserve">odel the economic and consumer costs of keeping gas </w:t>
      </w:r>
      <w:r w:rsidR="00B87D20">
        <w:rPr>
          <w:sz w:val="21"/>
          <w:szCs w:val="21"/>
        </w:rPr>
        <w:t xml:space="preserve">and alterative gas options </w:t>
      </w:r>
      <w:r w:rsidRPr="007D3B04">
        <w:rPr>
          <w:sz w:val="21"/>
          <w:szCs w:val="21"/>
        </w:rPr>
        <w:t>in the system versus accelerating investment in demand reduction, energy efficiency and electrification.</w:t>
      </w:r>
    </w:p>
    <w:p w14:paraId="62D95B95" w14:textId="67A3863A" w:rsidR="00106F67" w:rsidRDefault="003970CD" w:rsidP="0033158A">
      <w:pPr>
        <w:pStyle w:val="Heading3"/>
      </w:pPr>
      <w:r>
        <w:rPr>
          <w:noProof/>
        </w:rPr>
        <mc:AlternateContent>
          <mc:Choice Requires="wps">
            <w:drawing>
              <wp:anchor distT="45720" distB="45720" distL="114300" distR="114300" simplePos="0" relativeHeight="251661824" behindDoc="0" locked="0" layoutInCell="1" allowOverlap="1" wp14:anchorId="13FABF94" wp14:editId="07359831">
                <wp:simplePos x="0" y="0"/>
                <wp:positionH relativeFrom="margin">
                  <wp:posOffset>31115</wp:posOffset>
                </wp:positionH>
                <wp:positionV relativeFrom="paragraph">
                  <wp:posOffset>376555</wp:posOffset>
                </wp:positionV>
                <wp:extent cx="5800725" cy="514350"/>
                <wp:effectExtent l="0" t="0" r="28575" b="19050"/>
                <wp:wrapSquare wrapText="bothSides"/>
                <wp:docPr id="20603213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514350"/>
                        </a:xfrm>
                        <a:prstGeom prst="rect">
                          <a:avLst/>
                        </a:prstGeom>
                        <a:solidFill>
                          <a:srgbClr val="5B9BD5">
                            <a:lumMod val="40000"/>
                            <a:lumOff val="60000"/>
                          </a:srgbClr>
                        </a:solidFill>
                        <a:ln w="9525">
                          <a:solidFill>
                            <a:srgbClr val="000000"/>
                          </a:solidFill>
                          <a:miter lim="800000"/>
                          <a:headEnd/>
                          <a:tailEnd/>
                        </a:ln>
                      </wps:spPr>
                      <wps:txbx>
                        <w:txbxContent>
                          <w:p w14:paraId="47BC3E02" w14:textId="28B0266E" w:rsidR="003970CD" w:rsidRPr="00056B6D" w:rsidRDefault="00642292" w:rsidP="0033158A">
                            <w:pPr>
                              <w:pStyle w:val="ListBullet"/>
                            </w:pPr>
                            <w:r w:rsidRPr="00056B6D">
                              <w:t>8.What actions are required to ensure workforce requirements for the energy transformation are met, while supporting equitable outcomes?</w:t>
                            </w:r>
                          </w:p>
                          <w:p w14:paraId="1BA3A59A" w14:textId="77777777" w:rsidR="003970CD" w:rsidRPr="00A4656C" w:rsidRDefault="003970CD" w:rsidP="0033158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FABF94" id="_x0000_s1029" type="#_x0000_t202" style="position:absolute;left:0;text-align:left;margin-left:2.45pt;margin-top:29.65pt;width:456.75pt;height:40.5pt;z-index:2516618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mR5NAIAAF8EAAAOAAAAZHJzL2Uyb0RvYy54bWysVNtu2zAMfR+wfxD0vthJ47Yx4hRNsg4D&#10;ugvQ7QMUWY6FSaImKbG7rx8lO2m2AXsY5gdBpKRD8hzSy7teK3IUzkswFZ1OckqE4VBLs6/o1y8P&#10;b24p8YGZmikwoqLPwtO71etXy86WYgYtqFo4giDGl52taBuCLbPM81Zo5idghcHDBpxmAU23z2rH&#10;OkTXKpvl+XXWgautAy68R+92OKSrhN80godPTeNFIKqimFtIq0vrLq7ZasnKvWO2lXxMg/1DFppJ&#10;g0HPUFsWGDk4+QeUltyBhyZMOOgMmkZykWrAaqb5b9U8tcyKVAuS4+2ZJv//YPnH45P97Ejo19Cj&#10;gKkIbx+Bf/PEwKZlZi/unYOuFazGwNNIWdZZX45PI9W+9BFk132AGkVmhwAJqG+cjqxgnQTRUYDn&#10;M+miD4Sjs7jN85tZQQnHs2I6vyqSKhkrT6+t8+GdAE3ipqIORU3o7PjoQ8yGlacrMZgHJesHqVQy&#10;3H63UY4cGTZAsV6st0V6qw4acx3c8xy/oRPQjf0yuK9PbsT3A0yK9Qu+MqSr6KLAAv4eO4INUSLc&#10;ZYpaBhwBJXVFkYrxEisj329NnRo0MKmGPT5WZhQgcj6wH/pdT2Rd0atYRtRjB/UzKuJg6HicUNy0&#10;4H5Q0mG3V9R/PzAnKFHvDaq6mM7ncTySMS9uZmi4y5Pd5QkzHKEqGigZtpuQRioyYOAe1W9kEuYl&#10;kzFl7OLE4ThxcUwu7XTr5b+w+gkAAP//AwBQSwMEFAAGAAgAAAAhAG+baG3hAAAACAEAAA8AAABk&#10;cnMvZG93bnJldi54bWxMj0FLw0AQhe+C/2EZwZvd1MaSpNmUIggVFGoVbG/b7DQJzc6G7KZN/73j&#10;SY/D+3jvm3w52lacsfeNIwXTSQQCqXSmoUrB1+fLQwLCB01Gt45QwRU9LIvbm1xnxl3oA8/bUAku&#10;IZ9pBXUIXSalL2u02k9ch8TZ0fVWBz77SppeX7jctvIxiubS6oZ4odYdPtdYnraDVSB3u/nb+nVz&#10;fR+SVfq9Lvfl5rRX6v5uXC1ABBzDHwy/+qwOBTsd3EDGi1ZBnDKo4CmdgeA4nSYxiANzcTQDWeTy&#10;/wPFDwAAAP//AwBQSwECLQAUAAYACAAAACEAtoM4kv4AAADhAQAAEwAAAAAAAAAAAAAAAAAAAAAA&#10;W0NvbnRlbnRfVHlwZXNdLnhtbFBLAQItABQABgAIAAAAIQA4/SH/1gAAAJQBAAALAAAAAAAAAAAA&#10;AAAAAC8BAABfcmVscy8ucmVsc1BLAQItABQABgAIAAAAIQAUnmR5NAIAAF8EAAAOAAAAAAAAAAAA&#10;AAAAAC4CAABkcnMvZTJvRG9jLnhtbFBLAQItABQABgAIAAAAIQBvm2ht4QAAAAgBAAAPAAAAAAAA&#10;AAAAAAAAAI4EAABkcnMvZG93bnJldi54bWxQSwUGAAAAAAQABADzAAAAnAUAAAAA&#10;" fillcolor="#bdd7ee">
                <v:textbox>
                  <w:txbxContent>
                    <w:p w14:paraId="47BC3E02" w14:textId="28B0266E" w:rsidR="003970CD" w:rsidRPr="00056B6D" w:rsidRDefault="00642292" w:rsidP="0033158A">
                      <w:pPr>
                        <w:pStyle w:val="ListBullet"/>
                      </w:pPr>
                      <w:r w:rsidRPr="00056B6D">
                        <w:t>8.What actions are required to ensure workforce requirements for the energy transformation are met, while supporting equitable outcomes?</w:t>
                      </w:r>
                    </w:p>
                    <w:p w14:paraId="1BA3A59A" w14:textId="77777777" w:rsidR="003970CD" w:rsidRPr="00A4656C" w:rsidRDefault="003970CD" w:rsidP="0033158A"/>
                  </w:txbxContent>
                </v:textbox>
                <w10:wrap type="square" anchorx="margin"/>
              </v:shape>
            </w:pict>
          </mc:Fallback>
        </mc:AlternateContent>
      </w:r>
      <w:r w:rsidR="00106F67">
        <w:t>Building Australia’s Clean energy workforce</w:t>
      </w:r>
    </w:p>
    <w:p w14:paraId="2FBA7D9A" w14:textId="02230E45" w:rsidR="00832B0A" w:rsidRPr="00081A43" w:rsidRDefault="00A9693E" w:rsidP="0033158A">
      <w:pPr>
        <w:rPr>
          <w:lang w:eastAsia="en-US"/>
        </w:rPr>
      </w:pPr>
      <w:r w:rsidRPr="00081A43">
        <w:rPr>
          <w:lang w:eastAsia="en-US"/>
        </w:rPr>
        <w:t xml:space="preserve">Employment and workforce transition to a zero-emissions economy </w:t>
      </w:r>
      <w:r w:rsidR="00AC4AB4" w:rsidRPr="00081A43">
        <w:rPr>
          <w:lang w:eastAsia="en-US"/>
        </w:rPr>
        <w:t>should be</w:t>
      </w:r>
      <w:r w:rsidRPr="00081A43">
        <w:rPr>
          <w:lang w:eastAsia="en-US"/>
        </w:rPr>
        <w:t xml:space="preserve"> equitably and inclusively</w:t>
      </w:r>
      <w:r w:rsidR="00AC4AB4" w:rsidRPr="00081A43">
        <w:rPr>
          <w:lang w:eastAsia="en-US"/>
        </w:rPr>
        <w:t xml:space="preserve"> </w:t>
      </w:r>
      <w:r w:rsidRPr="00081A43">
        <w:rPr>
          <w:lang w:eastAsia="en-US"/>
        </w:rPr>
        <w:t>planned and managed to promote full employment, prioritising people experiencing disadvantage, so</w:t>
      </w:r>
      <w:r w:rsidR="00AC4AB4" w:rsidRPr="00081A43">
        <w:rPr>
          <w:lang w:eastAsia="en-US"/>
        </w:rPr>
        <w:t xml:space="preserve"> </w:t>
      </w:r>
      <w:r w:rsidRPr="00081A43">
        <w:rPr>
          <w:lang w:eastAsia="en-US"/>
        </w:rPr>
        <w:t>that people seeking paid jobs or more hours can find them.</w:t>
      </w:r>
      <w:r w:rsidR="001F2E96" w:rsidRPr="00081A43">
        <w:rPr>
          <w:lang w:eastAsia="en-US"/>
        </w:rPr>
        <w:t xml:space="preserve"> We make the following recommendation</w:t>
      </w:r>
      <w:r w:rsidR="00081A43" w:rsidRPr="00081A43">
        <w:rPr>
          <w:lang w:eastAsia="en-US"/>
        </w:rPr>
        <w:t xml:space="preserve"> to support this outcome.</w:t>
      </w:r>
    </w:p>
    <w:p w14:paraId="0DA375C6" w14:textId="290A2F1F" w:rsidR="00B4586F" w:rsidRDefault="00FF2C48" w:rsidP="00681FB8">
      <w:pPr>
        <w:ind w:left="360"/>
      </w:pPr>
      <w:r>
        <w:rPr>
          <w:b/>
          <w:color w:val="CC0000"/>
        </w:rPr>
        <w:lastRenderedPageBreak/>
        <w:t xml:space="preserve">Recommendation </w:t>
      </w:r>
      <w:r w:rsidR="00F22CB3">
        <w:rPr>
          <w:b/>
          <w:color w:val="CC0000"/>
        </w:rPr>
        <w:t>29</w:t>
      </w:r>
      <w:r>
        <w:rPr>
          <w:b/>
          <w:color w:val="CC0000"/>
        </w:rPr>
        <w:t>:</w:t>
      </w:r>
      <w:r>
        <w:t xml:space="preserve"> T</w:t>
      </w:r>
      <w:r w:rsidR="00B4586F">
        <w:t xml:space="preserve">he </w:t>
      </w:r>
      <w:r w:rsidR="311DB0ED">
        <w:t>G</w:t>
      </w:r>
      <w:r w:rsidR="00B4586F">
        <w:t>overnment fund and deploy an implementation plan alongside the National Energy Workforce Strategy that outlines a clear pathway to bridge the gap between the number of clean economy workers we have now, and what we need to realise our 2030 and 2050 emissions reduction goals, and to deliver on energy performance and climate resilience retrofits. The plan should:</w:t>
      </w:r>
    </w:p>
    <w:p w14:paraId="52E9EDF7" w14:textId="43AA01E1" w:rsidR="00B4586F" w:rsidRDefault="00B4586F" w:rsidP="00A96744">
      <w:pPr>
        <w:pStyle w:val="ListParagraph"/>
        <w:numPr>
          <w:ilvl w:val="0"/>
          <w:numId w:val="6"/>
        </w:numPr>
      </w:pPr>
      <w:r>
        <w:t xml:space="preserve">Provide quality, </w:t>
      </w:r>
      <w:proofErr w:type="gramStart"/>
      <w:r>
        <w:t>accessible</w:t>
      </w:r>
      <w:proofErr w:type="gramEnd"/>
      <w:r>
        <w:t xml:space="preserve"> and affordable education, training</w:t>
      </w:r>
      <w:r w:rsidR="00036E4B">
        <w:t xml:space="preserve">, </w:t>
      </w:r>
      <w:r>
        <w:t xml:space="preserve">re-skilling </w:t>
      </w:r>
      <w:r w:rsidR="00036E4B">
        <w:t xml:space="preserve">and upskilling </w:t>
      </w:r>
      <w:r>
        <w:t>opportunities targeting people unemployed long-term and others who are marginalised in the labour market</w:t>
      </w:r>
      <w:r w:rsidR="00D63474">
        <w:t xml:space="preserve">, </w:t>
      </w:r>
      <w:r w:rsidR="001A1CEE">
        <w:t>including</w:t>
      </w:r>
      <w:r w:rsidR="00D63474">
        <w:t xml:space="preserve"> </w:t>
      </w:r>
      <w:r w:rsidR="00D63474" w:rsidRPr="00D70873">
        <w:t xml:space="preserve">First Nations people, </w:t>
      </w:r>
      <w:r w:rsidR="001A1CEE">
        <w:t>people with disability and women.</w:t>
      </w:r>
    </w:p>
    <w:p w14:paraId="735B100B" w14:textId="6CC04B12" w:rsidR="00B4586F" w:rsidRDefault="00665B13" w:rsidP="00A96744">
      <w:pPr>
        <w:pStyle w:val="ListParagraph"/>
        <w:numPr>
          <w:ilvl w:val="0"/>
          <w:numId w:val="6"/>
        </w:numPr>
      </w:pPr>
      <w:r w:rsidRPr="00D70873">
        <w:t>Promote meaningful employment for people unemployed long-term, First Nations people, people with disability, and others marginalised in the labour market, including through social procurement guidelines and employment and training programs targeting those groups</w:t>
      </w:r>
      <w:r w:rsidR="00B4586F">
        <w:t xml:space="preserve">. </w:t>
      </w:r>
    </w:p>
    <w:p w14:paraId="078364BE" w14:textId="6FD75A91" w:rsidR="00B4586F" w:rsidRDefault="00B4586F" w:rsidP="00A96744">
      <w:pPr>
        <w:pStyle w:val="ListParagraph"/>
        <w:numPr>
          <w:ilvl w:val="0"/>
          <w:numId w:val="6"/>
        </w:numPr>
      </w:pPr>
      <w:r>
        <w:t>Ensure clean job creation meets the needs of local communities, including by targeting jobs for groups who are long-term unemployed, through local employment and skills development partnerships, paid work experience and training for trades assistants.</w:t>
      </w:r>
    </w:p>
    <w:p w14:paraId="63E94AF4" w14:textId="03B2CB33" w:rsidR="00106F67" w:rsidRPr="00106F67" w:rsidRDefault="00B4586F" w:rsidP="00A96744">
      <w:pPr>
        <w:pStyle w:val="ListParagraph"/>
        <w:numPr>
          <w:ilvl w:val="0"/>
          <w:numId w:val="6"/>
        </w:numPr>
      </w:pPr>
      <w:r>
        <w:t xml:space="preserve">Be aligned with </w:t>
      </w:r>
      <w:r w:rsidR="00E0268D" w:rsidRPr="00106005">
        <w:t xml:space="preserve">relevant economic participation/employment strategies, including the </w:t>
      </w:r>
      <w:hyperlink r:id="rId27" w:history="1">
        <w:r w:rsidR="00E0268D" w:rsidRPr="00106005">
          <w:rPr>
            <w:rStyle w:val="Hyperlink"/>
          </w:rPr>
          <w:t>Strategy for Gender Equality</w:t>
        </w:r>
      </w:hyperlink>
      <w:r w:rsidR="00E0268D" w:rsidRPr="00106005">
        <w:t xml:space="preserve"> and the </w:t>
      </w:r>
      <w:hyperlink r:id="rId28" w:history="1">
        <w:r w:rsidR="00E0268D" w:rsidRPr="00106005">
          <w:rPr>
            <w:rStyle w:val="Hyperlink"/>
          </w:rPr>
          <w:t>Women’s Economic Equality Taskforce’s 10-year plan</w:t>
        </w:r>
      </w:hyperlink>
      <w:r w:rsidR="00E0268D" w:rsidRPr="00106005">
        <w:t>, Disability Employment Strategy, </w:t>
      </w:r>
      <w:r w:rsidR="00800103">
        <w:t xml:space="preserve">and </w:t>
      </w:r>
      <w:r w:rsidR="00E0268D" w:rsidRPr="00106005">
        <w:t>Closing the Gap employment targets</w:t>
      </w:r>
      <w:r>
        <w:t>.</w:t>
      </w:r>
    </w:p>
    <w:p w14:paraId="479B5EFC" w14:textId="4510F3DF" w:rsidR="00106F67" w:rsidRDefault="00D86E67" w:rsidP="0033158A">
      <w:pPr>
        <w:pStyle w:val="Heading3"/>
      </w:pPr>
      <w:r>
        <w:rPr>
          <w:noProof/>
        </w:rPr>
        <mc:AlternateContent>
          <mc:Choice Requires="wps">
            <w:drawing>
              <wp:anchor distT="45720" distB="45720" distL="114300" distR="114300" simplePos="0" relativeHeight="251664896" behindDoc="0" locked="0" layoutInCell="1" allowOverlap="1" wp14:anchorId="46B256E6" wp14:editId="46900154">
                <wp:simplePos x="0" y="0"/>
                <wp:positionH relativeFrom="margin">
                  <wp:align>right</wp:align>
                </wp:positionH>
                <wp:positionV relativeFrom="paragraph">
                  <wp:posOffset>406400</wp:posOffset>
                </wp:positionV>
                <wp:extent cx="5800725" cy="904875"/>
                <wp:effectExtent l="0" t="0" r="28575" b="28575"/>
                <wp:wrapSquare wrapText="bothSides"/>
                <wp:docPr id="1152174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904875"/>
                        </a:xfrm>
                        <a:prstGeom prst="rect">
                          <a:avLst/>
                        </a:prstGeom>
                        <a:solidFill>
                          <a:srgbClr val="5B9BD5">
                            <a:lumMod val="40000"/>
                            <a:lumOff val="60000"/>
                          </a:srgbClr>
                        </a:solidFill>
                        <a:ln w="9525">
                          <a:solidFill>
                            <a:srgbClr val="000000"/>
                          </a:solidFill>
                          <a:miter lim="800000"/>
                          <a:headEnd/>
                          <a:tailEnd/>
                        </a:ln>
                      </wps:spPr>
                      <wps:txbx>
                        <w:txbxContent>
                          <w:p w14:paraId="6D7E30DC" w14:textId="1241185C" w:rsidR="009A73DF" w:rsidRPr="007A5A2E" w:rsidRDefault="009A73DF" w:rsidP="0033158A">
                            <w:pPr>
                              <w:pStyle w:val="ListBullet"/>
                            </w:pPr>
                            <w:r w:rsidRPr="007A5A2E">
                              <w:t>9.What actions are required to ensure better energy outcomes for people and businesses, and maximise their benefit from the energy transformation?</w:t>
                            </w:r>
                          </w:p>
                          <w:p w14:paraId="1D25528C" w14:textId="03DA56BC" w:rsidR="009A73DF" w:rsidRPr="007A5A2E" w:rsidRDefault="009A73DF" w:rsidP="0033158A">
                            <w:pPr>
                              <w:pStyle w:val="ListBullet"/>
                            </w:pPr>
                            <w:r w:rsidRPr="007A5A2E">
                              <w:t>10.What social licence and circular economy aspects should be considered as part of the pathway for the energy transformation?</w:t>
                            </w:r>
                          </w:p>
                          <w:p w14:paraId="4332D8A3" w14:textId="77777777" w:rsidR="006B49EF" w:rsidRPr="00A4656C" w:rsidRDefault="006B49EF" w:rsidP="0033158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B256E6" id="_x0000_s1030" type="#_x0000_t202" style="position:absolute;left:0;text-align:left;margin-left:405.55pt;margin-top:32pt;width:456.75pt;height:71.25pt;z-index:25166489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rXMwIAAF8EAAAOAAAAZHJzL2Uyb0RvYy54bWysVNuO2yAQfa/Uf0C8N3aieJNYcVabpFtV&#10;2l6kbT8AYxyjAuMCiZ1+fQfsZNNW6kNVPyBmgDMz58x4fd9rRU7COgmmoNNJSokwHCppDgX9+uXx&#10;zZIS55mpmAIjCnoWjt5vXr9ad20uZtCAqoQlCGJc3rUFbbxv8yRxvBGauQm0wuBhDVYzj6Y9JJVl&#10;HaJrlczS9C7pwFatBS6cQ+9+OKSbiF/XgvtPde2EJ6qgmJuPq41rGdZks2b5wbK2kXxMg/1DFppJ&#10;g0GvUHvmGTla+QeUltyCg9pPOOgE6lpyEWvAaqbpb9U8N6wVsRYkx7VXmtz/g+UfT8/tZ0t8v4Ue&#10;BYxFuPYJ+DdHDOwaZg7iwVroGsEqDDwNlCVd6/LxaaDa5S6AlN0HqFBkdvQQgfra6sAK1kkQHQU4&#10;X0kXvSccndkyTRezjBKOZ6t0vlxkMQTLL69b6/w7AZqETUEtihrR2enJ+ZANyy9XQjAHSlaPUqlo&#10;2EO5U5acGDZAtl1t91l8q44acx3c8xS/oRPQjf0yuO8ubsR3A0yM9Qu+MqTDtDMs4O+xA9gQJcDd&#10;pqilxxFQUhcUqRgvsTzw/dZUsUE9k2rY42NlRgEC5wP7vi97IquCzkMZQY8SqjMqYmHoeJxQ3DRg&#10;f1DSYbcX1H0/MisoUe8NqrqazudhPKIxzxYzNOztSXl7wgxHqIJ6SobtzseRCgwYeED1axmFeclk&#10;TBm7OHI4TlwYk1s73nr5L2x+AgAA//8DAFBLAwQUAAYACAAAACEAmUBcSeEAAAAHAQAADwAAAGRy&#10;cy9kb3ducmV2LnhtbEyPQUvDQBCF74L/YRnBm9202tDGTEoRhAoWahVsb9vdMQnNzobspk3/veup&#10;nobHe7z3Tb4YbCNO1PnaMcJ4lIAg1s7UXCJ8fb4+zED4oNioxjEhXMjDori9yVVm3Jk/6LQNpYgl&#10;7DOFUIXQZlJ6XZFVfuRa4uj9uM6qEGVXStOpcyy3jZwkSSqtqjkuVKqll4r0cdtbBLnbpe+rt81l&#10;3c+W8++V3uvNcY94fzcsn0EEGsI1DH/4ER2KyHRwPRsvGoT4SEBIn+KN7nz8OAVxQJgk6RRkkcv/&#10;/MUvAAAA//8DAFBLAQItABQABgAIAAAAIQC2gziS/gAAAOEBAAATAAAAAAAAAAAAAAAAAAAAAABb&#10;Q29udGVudF9UeXBlc10ueG1sUEsBAi0AFAAGAAgAAAAhADj9If/WAAAAlAEAAAsAAAAAAAAAAAAA&#10;AAAALwEAAF9yZWxzLy5yZWxzUEsBAi0AFAAGAAgAAAAhAJpz+tczAgAAXwQAAA4AAAAAAAAAAAAA&#10;AAAALgIAAGRycy9lMm9Eb2MueG1sUEsBAi0AFAAGAAgAAAAhAJlAXEnhAAAABwEAAA8AAAAAAAAA&#10;AAAAAAAAjQQAAGRycy9kb3ducmV2LnhtbFBLBQYAAAAABAAEAPMAAACbBQAAAAA=&#10;" fillcolor="#bdd7ee">
                <v:textbox>
                  <w:txbxContent>
                    <w:p w14:paraId="6D7E30DC" w14:textId="1241185C" w:rsidR="009A73DF" w:rsidRPr="007A5A2E" w:rsidRDefault="009A73DF" w:rsidP="0033158A">
                      <w:pPr>
                        <w:pStyle w:val="ListBullet"/>
                      </w:pPr>
                      <w:r w:rsidRPr="007A5A2E">
                        <w:t>9.What actions are required to ensure better energy outcomes for people and businesses, and maximise their benefit from the energy transformation?</w:t>
                      </w:r>
                    </w:p>
                    <w:p w14:paraId="1D25528C" w14:textId="03DA56BC" w:rsidR="009A73DF" w:rsidRPr="007A5A2E" w:rsidRDefault="009A73DF" w:rsidP="0033158A">
                      <w:pPr>
                        <w:pStyle w:val="ListBullet"/>
                      </w:pPr>
                      <w:r w:rsidRPr="007A5A2E">
                        <w:t>10.What social licence and circular economy aspects should be considered as part of the pathway for the energy transformation?</w:t>
                      </w:r>
                    </w:p>
                    <w:p w14:paraId="4332D8A3" w14:textId="77777777" w:rsidR="006B49EF" w:rsidRPr="00A4656C" w:rsidRDefault="006B49EF" w:rsidP="0033158A"/>
                  </w:txbxContent>
                </v:textbox>
                <w10:wrap type="square" anchorx="margin"/>
              </v:shape>
            </w:pict>
          </mc:Fallback>
        </mc:AlternateContent>
      </w:r>
      <w:r w:rsidR="00106F67">
        <w:t>Maximising outcomes for people and businesses</w:t>
      </w:r>
    </w:p>
    <w:p w14:paraId="2DF427A1" w14:textId="5400FDAF" w:rsidR="006B49EF" w:rsidRDefault="00DF5B19" w:rsidP="0033158A">
      <w:r>
        <w:t>We have touched on ma</w:t>
      </w:r>
      <w:r w:rsidR="004D3906">
        <w:t>n</w:t>
      </w:r>
      <w:r>
        <w:t xml:space="preserve">y of the solutions </w:t>
      </w:r>
      <w:r w:rsidR="004D3906">
        <w:t>to ensure better outcomes for people and communities</w:t>
      </w:r>
      <w:r w:rsidR="00244CE0">
        <w:t xml:space="preserve"> in the sections above. </w:t>
      </w:r>
      <w:r w:rsidR="00E65AB2">
        <w:t>However,</w:t>
      </w:r>
      <w:r w:rsidR="00244CE0">
        <w:t xml:space="preserve"> more is needed</w:t>
      </w:r>
      <w:r w:rsidR="000C21F9">
        <w:t xml:space="preserve"> if we are to ensure the transition to clean energy sector is fair, fast, inclusive</w:t>
      </w:r>
      <w:r w:rsidR="00F546B5">
        <w:t>,</w:t>
      </w:r>
      <w:r w:rsidR="000C21F9">
        <w:t xml:space="preserve"> and affordable.</w:t>
      </w:r>
    </w:p>
    <w:p w14:paraId="625042A3" w14:textId="21A9946C" w:rsidR="0065740D" w:rsidRPr="001B52CC" w:rsidRDefault="00E31307" w:rsidP="0033158A">
      <w:pPr>
        <w:pStyle w:val="Heading4"/>
      </w:pPr>
      <w:r w:rsidRPr="001B52CC">
        <w:t xml:space="preserve">8.2 Implement principles to guide the energy transition </w:t>
      </w:r>
    </w:p>
    <w:p w14:paraId="53424692" w14:textId="02660A57" w:rsidR="00001181" w:rsidRDefault="00E70638" w:rsidP="0033158A">
      <w:r>
        <w:t>We welcome the</w:t>
      </w:r>
      <w:r w:rsidR="005B32C9">
        <w:t xml:space="preserve"> electricity and Energy Sector plan vision and objectives. We would </w:t>
      </w:r>
      <w:r w:rsidR="00A03B7E">
        <w:t>encourage</w:t>
      </w:r>
      <w:r w:rsidR="005B32C9">
        <w:t xml:space="preserve"> the Government to consider</w:t>
      </w:r>
      <w:r w:rsidR="00B644C0">
        <w:t xml:space="preserve"> </w:t>
      </w:r>
      <w:r w:rsidR="00372B90">
        <w:t xml:space="preserve">the vision, principles and </w:t>
      </w:r>
      <w:r w:rsidR="00A03B7E">
        <w:t>guiding</w:t>
      </w:r>
      <w:r w:rsidR="00372B90">
        <w:t xml:space="preserve"> principles outlined in </w:t>
      </w:r>
      <w:hyperlink r:id="rId29" w:history="1">
        <w:r w:rsidR="00372B90" w:rsidRPr="00073881">
          <w:rPr>
            <w:rStyle w:val="Hyperlink"/>
          </w:rPr>
          <w:t>ourPower</w:t>
        </w:r>
      </w:hyperlink>
      <w:r w:rsidR="00073881">
        <w:t xml:space="preserve">, </w:t>
      </w:r>
      <w:r w:rsidR="00372B90">
        <w:t xml:space="preserve">developed </w:t>
      </w:r>
      <w:r w:rsidR="00073881">
        <w:t xml:space="preserve">by ACOSS </w:t>
      </w:r>
      <w:r w:rsidR="00372B90">
        <w:t xml:space="preserve">in collaboration with a wide </w:t>
      </w:r>
      <w:r w:rsidR="00073881">
        <w:t>range</w:t>
      </w:r>
      <w:r w:rsidR="00372B90">
        <w:t xml:space="preserve"> </w:t>
      </w:r>
      <w:r w:rsidR="00073881">
        <w:t>of organisation</w:t>
      </w:r>
      <w:r w:rsidR="00A03B7E">
        <w:t>, to further guide the plan and its implementation.</w:t>
      </w:r>
    </w:p>
    <w:p w14:paraId="471A1D66" w14:textId="3EC6DDED" w:rsidR="00020CB7" w:rsidRDefault="003B36CF" w:rsidP="00681FB8">
      <w:pPr>
        <w:ind w:left="426"/>
      </w:pPr>
      <w:r>
        <w:rPr>
          <w:b/>
          <w:color w:val="CC0000"/>
        </w:rPr>
        <w:t xml:space="preserve">Recommendation 30: </w:t>
      </w:r>
      <w:r w:rsidR="00FF2B78" w:rsidRPr="00FF2B78">
        <w:t>Review vision and implement principles to guide the electricity an</w:t>
      </w:r>
      <w:r w:rsidR="00C45637">
        <w:t>d</w:t>
      </w:r>
      <w:r w:rsidR="00FF2B78" w:rsidRPr="00FF2B78">
        <w:t xml:space="preserve"> energy sector plan</w:t>
      </w:r>
      <w:r w:rsidR="005F3E65">
        <w:t xml:space="preserve"> (see </w:t>
      </w:r>
      <w:hyperlink r:id="rId30" w:history="1">
        <w:r w:rsidR="005F3E65" w:rsidRPr="00073881">
          <w:rPr>
            <w:rStyle w:val="Hyperlink"/>
          </w:rPr>
          <w:t>ourPower</w:t>
        </w:r>
      </w:hyperlink>
      <w:r w:rsidR="005F3E65">
        <w:rPr>
          <w:rStyle w:val="Hyperlink"/>
        </w:rPr>
        <w:t xml:space="preserve"> for </w:t>
      </w:r>
      <w:r w:rsidR="008C4F61">
        <w:rPr>
          <w:rStyle w:val="Hyperlink"/>
        </w:rPr>
        <w:t>guidance</w:t>
      </w:r>
      <w:r w:rsidR="005F3E65">
        <w:rPr>
          <w:rStyle w:val="Hyperlink"/>
        </w:rPr>
        <w:t>)</w:t>
      </w:r>
    </w:p>
    <w:p w14:paraId="1D108949" w14:textId="77777777" w:rsidR="00133F16" w:rsidRDefault="00133F16" w:rsidP="008C4F61">
      <w:pPr>
        <w:pStyle w:val="NormalWeb"/>
        <w:jc w:val="center"/>
      </w:pPr>
      <w:r>
        <w:rPr>
          <w:noProof/>
        </w:rPr>
        <w:lastRenderedPageBreak/>
        <w:drawing>
          <wp:inline distT="0" distB="0" distL="0" distR="0" wp14:anchorId="1E6F6733" wp14:editId="2E6841ED">
            <wp:extent cx="4352545" cy="3238500"/>
            <wp:effectExtent l="0" t="0" r="0" b="0"/>
            <wp:docPr id="1" name="Picture 1">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16"/>
                    </pic:cNvPr>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377195" cy="3256841"/>
                    </a:xfrm>
                    <a:prstGeom prst="rect">
                      <a:avLst/>
                    </a:prstGeom>
                    <a:noFill/>
                    <a:ln>
                      <a:noFill/>
                    </a:ln>
                  </pic:spPr>
                </pic:pic>
              </a:graphicData>
            </a:graphic>
          </wp:inline>
        </w:drawing>
      </w:r>
    </w:p>
    <w:p w14:paraId="3B10ECE7" w14:textId="71873D6A" w:rsidR="000051B7" w:rsidRDefault="00A57F38" w:rsidP="0033158A">
      <w:pPr>
        <w:pStyle w:val="Heading4"/>
      </w:pPr>
      <w:r>
        <w:t xml:space="preserve">8.1 </w:t>
      </w:r>
      <w:r w:rsidRPr="00A57F38">
        <w:t>Energy Equity and Inclusion workstream to the National Energy Transformation Partnership</w:t>
      </w:r>
    </w:p>
    <w:p w14:paraId="5786B734" w14:textId="77777777" w:rsidR="00AA3533" w:rsidRPr="0033158A" w:rsidRDefault="000201C7" w:rsidP="0033158A">
      <w:r w:rsidRPr="0033158A">
        <w:t>We recommend an Energy Equity and Inclusion workstream be added to the National Energy Transformation Partnership. This workstream should focus on reducing energy hardship and ensuring the energy transformation helps to improve outcomes for people experiencing disadvantage.</w:t>
      </w:r>
    </w:p>
    <w:p w14:paraId="22AE68E0" w14:textId="77777777" w:rsidR="0026141E" w:rsidRPr="0033158A" w:rsidRDefault="002453B7" w:rsidP="0033158A">
      <w:r w:rsidRPr="0033158A">
        <w:t xml:space="preserve">The discussion paper refers </w:t>
      </w:r>
      <w:r w:rsidR="00E63899" w:rsidRPr="0033158A">
        <w:t>to a number of process</w:t>
      </w:r>
      <w:r w:rsidR="00686A69" w:rsidRPr="0033158A">
        <w:t xml:space="preserve"> to consider affordability and equity</w:t>
      </w:r>
      <w:r w:rsidR="00E63899" w:rsidRPr="0033158A">
        <w:t>,</w:t>
      </w:r>
      <w:r w:rsidR="006C3ECC" w:rsidRPr="0033158A">
        <w:t xml:space="preserve"> however</w:t>
      </w:r>
      <w:r w:rsidR="00E63899" w:rsidRPr="0033158A">
        <w:t xml:space="preserve"> there is no dedicated process</w:t>
      </w:r>
      <w:r w:rsidR="006C3ECC" w:rsidRPr="0033158A">
        <w:t xml:space="preserve">, apart from including the First Nations Clean Energy Strategy, that </w:t>
      </w:r>
      <w:r w:rsidR="000A47EC" w:rsidRPr="0033158A">
        <w:t xml:space="preserve">is </w:t>
      </w:r>
      <w:r w:rsidR="006C3ECC" w:rsidRPr="0033158A">
        <w:t xml:space="preserve">specifically </w:t>
      </w:r>
      <w:r w:rsidR="000A47EC" w:rsidRPr="0033158A">
        <w:t xml:space="preserve">dedicated to reducing energy </w:t>
      </w:r>
      <w:r w:rsidR="0026141E" w:rsidRPr="0033158A">
        <w:t>hardship</w:t>
      </w:r>
      <w:r w:rsidR="000A47EC" w:rsidRPr="0033158A">
        <w:t xml:space="preserve"> and ensuring </w:t>
      </w:r>
      <w:r w:rsidR="00DD27C4" w:rsidRPr="0033158A">
        <w:t xml:space="preserve">people and communities experiencing financial and social disadvantage </w:t>
      </w:r>
      <w:r w:rsidR="00686A69" w:rsidRPr="0033158A">
        <w:t xml:space="preserve"> </w:t>
      </w:r>
      <w:r w:rsidR="004725CE" w:rsidRPr="0033158A">
        <w:t xml:space="preserve"> </w:t>
      </w:r>
      <w:r w:rsidR="0026141E" w:rsidRPr="0033158A">
        <w:t xml:space="preserve">benefit from and are not left behind in the transition. </w:t>
      </w:r>
    </w:p>
    <w:p w14:paraId="104EAC0B" w14:textId="71093769" w:rsidR="00F83345" w:rsidRDefault="006B7517" w:rsidP="00681FB8">
      <w:pPr>
        <w:ind w:left="426"/>
      </w:pPr>
      <w:r>
        <w:rPr>
          <w:b/>
          <w:color w:val="CC0000"/>
        </w:rPr>
        <w:t xml:space="preserve">Recommendation 31: </w:t>
      </w:r>
      <w:r w:rsidR="00020CB7">
        <w:t xml:space="preserve"> </w:t>
      </w:r>
      <w:r w:rsidR="00374F6A">
        <w:t xml:space="preserve">An </w:t>
      </w:r>
      <w:r w:rsidRPr="000201C7">
        <w:t xml:space="preserve">Energy Equity and Inclusion workstream </w:t>
      </w:r>
      <w:r>
        <w:t xml:space="preserve">be added </w:t>
      </w:r>
      <w:r w:rsidRPr="000201C7">
        <w:t>to the National Energy Transformation Partnership</w:t>
      </w:r>
      <w:r w:rsidR="0052221F" w:rsidRPr="0052221F">
        <w:t xml:space="preserve"> </w:t>
      </w:r>
      <w:r w:rsidR="0052221F">
        <w:t>to reduce energy hardship and ensur</w:t>
      </w:r>
      <w:r w:rsidR="00374F6A">
        <w:t>e</w:t>
      </w:r>
      <w:r w:rsidR="0052221F">
        <w:t xml:space="preserve"> people and communities experiencing financial and social disadvantage benefit from and are not left behind in the </w:t>
      </w:r>
      <w:r w:rsidR="00374F6A">
        <w:t xml:space="preserve">energy </w:t>
      </w:r>
      <w:r w:rsidR="0052221F">
        <w:t>transition.</w:t>
      </w:r>
    </w:p>
    <w:p w14:paraId="465C312C" w14:textId="3702AB7C" w:rsidR="00700F5F" w:rsidRDefault="00186A18" w:rsidP="0033158A">
      <w:pPr>
        <w:pStyle w:val="Heading4"/>
      </w:pPr>
      <w:r>
        <w:t>8.2</w:t>
      </w:r>
      <w:r w:rsidR="00A57F38">
        <w:t xml:space="preserve"> </w:t>
      </w:r>
      <w:r w:rsidR="000051B7" w:rsidRPr="00700F5F">
        <w:t xml:space="preserve">Reform energy concessions/rebates to ensure they are accessible, </w:t>
      </w:r>
      <w:proofErr w:type="gramStart"/>
      <w:r w:rsidR="000051B7" w:rsidRPr="00700F5F">
        <w:t>adequate</w:t>
      </w:r>
      <w:proofErr w:type="gramEnd"/>
      <w:r w:rsidR="000051B7" w:rsidRPr="00700F5F">
        <w:t xml:space="preserve"> and equitable. </w:t>
      </w:r>
    </w:p>
    <w:p w14:paraId="538265A6" w14:textId="156D024D" w:rsidR="00807644" w:rsidRDefault="005D06FB" w:rsidP="0033158A">
      <w:r>
        <w:t xml:space="preserve">We need to urgently reform </w:t>
      </w:r>
      <w:r w:rsidR="00B62D04">
        <w:t>energy</w:t>
      </w:r>
      <w:r>
        <w:t xml:space="preserve"> concessions to ensure they are accessible, </w:t>
      </w:r>
      <w:proofErr w:type="gramStart"/>
      <w:r>
        <w:t>adequate</w:t>
      </w:r>
      <w:proofErr w:type="gramEnd"/>
      <w:r>
        <w:t xml:space="preserve"> and equitable</w:t>
      </w:r>
      <w:r w:rsidR="00807644">
        <w:t xml:space="preserve">. </w:t>
      </w:r>
      <w:r w:rsidR="000051B7" w:rsidRPr="00700F5F">
        <w:t xml:space="preserve">A response to the ACCC recommendation 37 in its 2018 report </w:t>
      </w:r>
      <w:r w:rsidR="000051B7" w:rsidRPr="00700F5F">
        <w:rPr>
          <w:i/>
          <w:iCs/>
        </w:rPr>
        <w:t>Restoring Electricity Affordability and Australia’s Competitive Advantage,</w:t>
      </w:r>
      <w:r w:rsidR="000051B7" w:rsidRPr="2D9602CD">
        <w:rPr>
          <w:rStyle w:val="FootnoteReference"/>
          <w:rFonts w:eastAsiaTheme="minorEastAsia"/>
        </w:rPr>
        <w:footnoteReference w:id="38"/>
      </w:r>
      <w:r w:rsidR="000051B7" w:rsidRPr="00700F5F">
        <w:t xml:space="preserve"> and </w:t>
      </w:r>
      <w:r w:rsidR="000051B7" w:rsidRPr="00700F5F">
        <w:lastRenderedPageBreak/>
        <w:t xml:space="preserve">AEMC recommendation 6 in the </w:t>
      </w:r>
      <w:r w:rsidR="000051B7" w:rsidRPr="00700F5F">
        <w:rPr>
          <w:i/>
          <w:iCs/>
        </w:rPr>
        <w:t>2017 AEMC Retail Energy Competition Review</w:t>
      </w:r>
      <w:r w:rsidR="000051B7" w:rsidRPr="00700F5F">
        <w:t>,</w:t>
      </w:r>
      <w:r w:rsidR="000051B7" w:rsidRPr="2D9602CD">
        <w:rPr>
          <w:rStyle w:val="FootnoteReference"/>
          <w:rFonts w:eastAsiaTheme="minorEastAsia"/>
        </w:rPr>
        <w:footnoteReference w:id="39"/>
      </w:r>
      <w:r w:rsidR="000051B7" w:rsidRPr="00700F5F">
        <w:t xml:space="preserve"> is overdue and urgently needed. </w:t>
      </w:r>
    </w:p>
    <w:p w14:paraId="1FE69678" w14:textId="4C826B11" w:rsidR="000051B7" w:rsidRPr="00700F5F" w:rsidRDefault="000051B7" w:rsidP="0033158A">
      <w:pPr>
        <w:rPr>
          <w:color w:val="000000" w:themeColor="text1"/>
        </w:rPr>
      </w:pPr>
      <w:r w:rsidRPr="00700F5F">
        <w:t>We are calling for governments to work together and reform energy concessions and rebates, ensuring they are proportional to the size of the bill to better meet the needs of people and changing circumstances. They should be automatically applied to those eligible, and eligibility should be expanded to all people who need additional financial assistance to support their energy needs</w:t>
      </w:r>
      <w:r w:rsidRPr="68A7C8FD">
        <w:rPr>
          <w:rStyle w:val="FootnoteReference"/>
          <w:rFonts w:eastAsiaTheme="minorEastAsia"/>
        </w:rPr>
        <w:footnoteReference w:id="40"/>
      </w:r>
      <w:r w:rsidRPr="00700F5F">
        <w:t xml:space="preserve"> People are still falling into energy hardship despite being eligible for energy concessions</w:t>
      </w:r>
      <w:r w:rsidRPr="77913D0B">
        <w:rPr>
          <w:rStyle w:val="FootnoteReference"/>
          <w:rFonts w:eastAsiaTheme="minorEastAsia"/>
        </w:rPr>
        <w:footnoteReference w:id="41"/>
      </w:r>
      <w:r w:rsidRPr="00700F5F">
        <w:t xml:space="preserve"> and some of the most vulnerable people in our community are missing out altogether</w:t>
      </w:r>
      <w:r w:rsidR="00807644">
        <w:t>.</w:t>
      </w:r>
      <w:r w:rsidRPr="68A7C8FD">
        <w:rPr>
          <w:rStyle w:val="FootnoteReference"/>
          <w:rFonts w:eastAsiaTheme="minorEastAsia"/>
        </w:rPr>
        <w:footnoteReference w:id="42"/>
      </w:r>
      <w:r w:rsidRPr="00700F5F">
        <w:t xml:space="preserve"> </w:t>
      </w:r>
    </w:p>
    <w:p w14:paraId="6C274173" w14:textId="39FFA9D9" w:rsidR="000051B7" w:rsidRDefault="000051B7" w:rsidP="0033158A">
      <w:pPr>
        <w:rPr>
          <w:color w:val="000000" w:themeColor="text1"/>
        </w:rPr>
      </w:pPr>
      <w:r w:rsidRPr="2D9602CD">
        <w:t>Fixed energy concessions do not respond to energy price changes, seasonal variations in energy requirements, or the energy performance of the home. Some people are getting more assistance</w:t>
      </w:r>
      <w:r w:rsidR="00B62D04">
        <w:t>.</w:t>
      </w:r>
      <w:r w:rsidRPr="68A7C8FD">
        <w:rPr>
          <w:rStyle w:val="FootnoteReference"/>
          <w:rFonts w:eastAsiaTheme="minorEastAsia"/>
        </w:rPr>
        <w:footnoteReference w:id="43"/>
      </w:r>
      <w:r w:rsidRPr="2D9602CD">
        <w:t xml:space="preserve"> Investment in energy efficiency, electrification and solar for low-income homes, combined with percentage-based c</w:t>
      </w:r>
      <w:r w:rsidRPr="2D9602CD">
        <w:rPr>
          <w:color w:val="000000" w:themeColor="text1"/>
        </w:rPr>
        <w:t>oncessions, would ultimately reduce the long-term cost to governments as well as households.</w:t>
      </w:r>
    </w:p>
    <w:p w14:paraId="5E0C1EF7" w14:textId="4B5A1EA8" w:rsidR="0033158A" w:rsidRDefault="0033158A" w:rsidP="00681FB8">
      <w:pPr>
        <w:ind w:left="426"/>
        <w:rPr>
          <w:color w:val="000000" w:themeColor="text1"/>
        </w:rPr>
      </w:pPr>
      <w:r>
        <w:rPr>
          <w:b/>
          <w:color w:val="CC0000"/>
        </w:rPr>
        <w:t xml:space="preserve">Recommendation 32: </w:t>
      </w:r>
      <w:r>
        <w:t xml:space="preserve"> </w:t>
      </w:r>
      <w:r w:rsidR="00B62D04">
        <w:t xml:space="preserve">Energy Ministers review and reform energy concessions to they are accessible, </w:t>
      </w:r>
      <w:proofErr w:type="gramStart"/>
      <w:r w:rsidR="00B62D04">
        <w:t>adequate</w:t>
      </w:r>
      <w:proofErr w:type="gramEnd"/>
      <w:r w:rsidR="00B62D04">
        <w:t xml:space="preserve"> and equitable.</w:t>
      </w:r>
    </w:p>
    <w:p w14:paraId="097D7CDE" w14:textId="1B173FDD" w:rsidR="00700F5F" w:rsidRPr="00A57F38" w:rsidRDefault="00A57F38" w:rsidP="0033158A">
      <w:pPr>
        <w:pStyle w:val="Heading4"/>
        <w:rPr>
          <w:color w:val="000000" w:themeColor="text1"/>
        </w:rPr>
      </w:pPr>
      <w:r>
        <w:rPr>
          <w:color w:val="000000" w:themeColor="text1"/>
        </w:rPr>
        <w:t xml:space="preserve">8.3 </w:t>
      </w:r>
      <w:r w:rsidR="000051B7" w:rsidRPr="00700F5F">
        <w:rPr>
          <w:color w:val="000000" w:themeColor="text1"/>
        </w:rPr>
        <w:t>Provid</w:t>
      </w:r>
      <w:r w:rsidR="000051B7" w:rsidRPr="00700F5F">
        <w:t xml:space="preserve">e greater retail protection through reform of retail regulation, </w:t>
      </w:r>
      <w:proofErr w:type="gramStart"/>
      <w:r w:rsidR="000051B7" w:rsidRPr="00700F5F">
        <w:t>pricing</w:t>
      </w:r>
      <w:proofErr w:type="gramEnd"/>
      <w:r w:rsidR="000051B7" w:rsidRPr="00700F5F">
        <w:t xml:space="preserve"> and tariffs. </w:t>
      </w:r>
    </w:p>
    <w:p w14:paraId="3906BA09" w14:textId="49F7DED0" w:rsidR="000051B7" w:rsidRPr="00700F5F" w:rsidRDefault="000051B7" w:rsidP="0033158A">
      <w:pPr>
        <w:rPr>
          <w:lang w:val="en-US"/>
        </w:rPr>
      </w:pPr>
      <w:r w:rsidRPr="00700F5F">
        <w:rPr>
          <w:lang w:val="en-US"/>
        </w:rPr>
        <w:t xml:space="preserve">In </w:t>
      </w:r>
      <w:r w:rsidRPr="00700F5F">
        <w:t>2018 the ACCC argued that the energy market and retail competition were failing consumers.</w:t>
      </w:r>
      <w:r w:rsidRPr="00700F5F">
        <w:rPr>
          <w:rStyle w:val="FootnoteReference"/>
          <w:rFonts w:eastAsia="Calibri" w:cs="Calibri"/>
          <w:color w:val="000000" w:themeColor="text1"/>
        </w:rPr>
        <w:footnoteReference w:id="44"/>
      </w:r>
      <w:r w:rsidRPr="00700F5F">
        <w:t xml:space="preserve"> Little has changed</w:t>
      </w:r>
      <w:r w:rsidRPr="00700F5F">
        <w:rPr>
          <w:lang w:val="en-US"/>
        </w:rPr>
        <w:t xml:space="preserve"> </w:t>
      </w:r>
      <w:bookmarkStart w:id="8" w:name="_Int_zvUWRPwb"/>
      <w:r w:rsidRPr="00700F5F">
        <w:rPr>
          <w:lang w:val="en-US"/>
        </w:rPr>
        <w:t>following</w:t>
      </w:r>
      <w:bookmarkEnd w:id="8"/>
      <w:r w:rsidRPr="00700F5F">
        <w:rPr>
          <w:lang w:val="en-US"/>
        </w:rPr>
        <w:t xml:space="preserve"> the report and indeed increases in energy prices have arguably seen a deterioration in outcomes for most energy consumers.  </w:t>
      </w:r>
    </w:p>
    <w:p w14:paraId="521BBC6B" w14:textId="77777777" w:rsidR="000051B7" w:rsidRPr="00700F5F" w:rsidRDefault="000051B7" w:rsidP="0033158A">
      <w:r w:rsidRPr="00700F5F">
        <w:t>Regulated default offers or price caps of some form have been introduced by regulators in all jurisdictions. However, they are not all sufficient to address the issues identified by the ACCC and are not able to deliver acceptable outcomes for energy consumers. The Default Market Offer (DMO) is ineffective because it intentionally does not provide consumers with the protection of a genuinely fair default.  People are burdened with unreasonable wholesale and retail costs that don’t reflect an efficient cost to serve.</w:t>
      </w:r>
      <w:r w:rsidRPr="00700F5F">
        <w:rPr>
          <w:rStyle w:val="FootnoteReference"/>
          <w:rFonts w:eastAsia="Calibri" w:cs="Calibri"/>
          <w:color w:val="000000" w:themeColor="text1"/>
        </w:rPr>
        <w:footnoteReference w:id="45"/>
      </w:r>
      <w:r w:rsidRPr="00700F5F">
        <w:t xml:space="preserve">  Many people are on contracts with expired benefits which may be higher than the ‘regulated or default’ standing offer, meaning people need to </w:t>
      </w:r>
      <w:r w:rsidRPr="00700F5F">
        <w:rPr>
          <w:b/>
          <w:bCs/>
        </w:rPr>
        <w:t>continuously</w:t>
      </w:r>
      <w:r w:rsidRPr="00700F5F">
        <w:t xml:space="preserve"> renegotiate or switch market contracts simply to avoid paying </w:t>
      </w:r>
      <w:r w:rsidRPr="00700F5F">
        <w:lastRenderedPageBreak/>
        <w:t>unreasonable prices.</w:t>
      </w:r>
      <w:r w:rsidRPr="00700F5F">
        <w:rPr>
          <w:rStyle w:val="FootnoteReference"/>
          <w:rFonts w:eastAsia="Calibri" w:cs="Calibri"/>
          <w:color w:val="000000" w:themeColor="text1"/>
        </w:rPr>
        <w:footnoteReference w:id="46"/>
      </w:r>
      <w:r w:rsidRPr="00700F5F">
        <w:t xml:space="preserve"> For people experiencing hardship, language barriers, domestic violence and other barriers, constant switching is not feasible. In fact, constantly switching retailers and monitoring their offers is neither a sustainable nor appropriate expectation to have of any consumers in accessing an essential service. People shouldn't be penalised with higher energy bills for not constantly engaging with a complicated energy market they increasingly cannot trust. </w:t>
      </w:r>
    </w:p>
    <w:p w14:paraId="0D1823D9" w14:textId="77777777" w:rsidR="000051B7" w:rsidRPr="00700F5F" w:rsidRDefault="000051B7" w:rsidP="0033158A">
      <w:r w:rsidRPr="00700F5F">
        <w:t xml:space="preserve">More effective price regulation and transparency focussed on consumer outcomes is also needed, including careful consideration of the role of tariff structures. Network tariff changes should not result in a loss of retail choice for consumers. No consumer should be forced to take up time-of-use or other retail tariff options which do not suit their needs and may leave them worse off.  </w:t>
      </w:r>
    </w:p>
    <w:p w14:paraId="7224008A" w14:textId="77777777" w:rsidR="000051B7" w:rsidRPr="00700F5F" w:rsidRDefault="000051B7" w:rsidP="0033158A">
      <w:pPr>
        <w:rPr>
          <w:rStyle w:val="FootnoteReference"/>
          <w:rFonts w:eastAsia="Calibri" w:cs="Calibri"/>
          <w:color w:val="000000" w:themeColor="text1"/>
        </w:rPr>
      </w:pPr>
      <w:r w:rsidRPr="00700F5F">
        <w:t>Energy market regulations and consumer protections frameworks designed to promote the interests of consumers are clearly failing in their intent and need to be reformed. As evidenced by increasing numbers of people on energy hardship programs and in energy debt, with disconnections increasing again after the AER’s COVID-19 related Statement of Expectations.</w:t>
      </w:r>
    </w:p>
    <w:p w14:paraId="6A359DA0" w14:textId="56CD4B32" w:rsidR="000051B7" w:rsidRPr="00700F5F" w:rsidRDefault="005A6CE8" w:rsidP="00681FB8">
      <w:pPr>
        <w:ind w:left="360"/>
      </w:pPr>
      <w:r>
        <w:rPr>
          <w:b/>
          <w:color w:val="CC0000"/>
        </w:rPr>
        <w:t xml:space="preserve">Recommendation 33: </w:t>
      </w:r>
      <w:r>
        <w:t xml:space="preserve"> </w:t>
      </w:r>
      <w:r w:rsidR="000051B7" w:rsidRPr="00700F5F">
        <w:t xml:space="preserve">We are calling on governments to pursue retail, </w:t>
      </w:r>
      <w:proofErr w:type="gramStart"/>
      <w:r w:rsidR="000051B7" w:rsidRPr="00700F5F">
        <w:t>pricing</w:t>
      </w:r>
      <w:proofErr w:type="gramEnd"/>
      <w:r w:rsidR="000051B7" w:rsidRPr="00700F5F">
        <w:t xml:space="preserve"> and protection reform to ensure energy markets and protections are fit-for purpose. This should include:  </w:t>
      </w:r>
    </w:p>
    <w:p w14:paraId="25ECE7C1" w14:textId="77777777" w:rsidR="000051B7" w:rsidRPr="00700F5F" w:rsidRDefault="000051B7" w:rsidP="00A96744">
      <w:pPr>
        <w:pStyle w:val="ListParagraph"/>
        <w:numPr>
          <w:ilvl w:val="0"/>
          <w:numId w:val="20"/>
        </w:numPr>
      </w:pPr>
      <w:r w:rsidRPr="00700F5F">
        <w:t xml:space="preserve">Retail price regulation to ensure people can expect a fair deal that meets their needs.   This should include a requirement for retailers to offer an efficient, flat tariff default offer, ensuring other energy offers are simple, </w:t>
      </w:r>
      <w:proofErr w:type="gramStart"/>
      <w:r w:rsidRPr="00700F5F">
        <w:t>transparent</w:t>
      </w:r>
      <w:proofErr w:type="gramEnd"/>
      <w:r w:rsidRPr="00700F5F">
        <w:t xml:space="preserve"> and easy to compare, and a guaranteed genuine consumer choice of retail tariff. Better regulatory oversight is needed to ensure these measures are delivered along with greater penalties for retailer breaches.  </w:t>
      </w:r>
    </w:p>
    <w:p w14:paraId="0C83AEC8" w14:textId="77777777" w:rsidR="000051B7" w:rsidRPr="00700F5F" w:rsidRDefault="000051B7" w:rsidP="00A96744">
      <w:pPr>
        <w:pStyle w:val="ListParagraph"/>
        <w:numPr>
          <w:ilvl w:val="0"/>
          <w:numId w:val="20"/>
        </w:numPr>
      </w:pPr>
      <w:r w:rsidRPr="00700F5F">
        <w:t xml:space="preserve">Stronger energy consumer protection and assistance frameworks, centred on introducing a retail duty of care and obligation to act in the best interests of consumers. Reforms should include better promotion of hardship support, earlier detection of payment difficulties and an obligation to offer more effective support, debt reduction and other assistance. Recognition of the essential nature of energy and its impact on households should also involve a banning of disconnection for non-payment.  </w:t>
      </w:r>
    </w:p>
    <w:p w14:paraId="32D4F610" w14:textId="77777777" w:rsidR="000051B7" w:rsidRDefault="000051B7" w:rsidP="00A96744">
      <w:pPr>
        <w:pStyle w:val="ListParagraph"/>
        <w:numPr>
          <w:ilvl w:val="0"/>
          <w:numId w:val="20"/>
        </w:numPr>
      </w:pPr>
      <w:r w:rsidRPr="00700F5F">
        <w:t xml:space="preserve">More effective regulation of energy profits, including through improved transparency and reporting. </w:t>
      </w:r>
    </w:p>
    <w:p w14:paraId="3CE26AF5" w14:textId="650CE4D5" w:rsidR="00A01795" w:rsidRPr="00A01795" w:rsidRDefault="00A01795" w:rsidP="00A01795">
      <w:pPr>
        <w:pStyle w:val="Heading4"/>
      </w:pPr>
      <w:r>
        <w:t>8.4 Shift green schemes of electricity bills</w:t>
      </w:r>
    </w:p>
    <w:p w14:paraId="0197C94E" w14:textId="13FA8EE6" w:rsidR="00D64078" w:rsidRPr="00D64078" w:rsidRDefault="006336CD" w:rsidP="009F29A9">
      <w:pPr>
        <w:rPr>
          <w:rFonts w:eastAsiaTheme="minorHAnsi"/>
          <w:color w:val="000000"/>
          <w:lang w:eastAsia="en-US"/>
        </w:rPr>
      </w:pPr>
      <w:r>
        <w:t>Green schemes account for approximately 10% of electricity bills</w:t>
      </w:r>
      <w:r w:rsidR="001266C0">
        <w:t xml:space="preserve">. </w:t>
      </w:r>
      <w:r w:rsidR="00F82C7A" w:rsidRPr="009F29A9">
        <w:t xml:space="preserve">The cost recovery for </w:t>
      </w:r>
      <w:r w:rsidR="001266C0" w:rsidRPr="009F29A9">
        <w:t>subsidies is</w:t>
      </w:r>
      <w:r w:rsidR="00F82C7A" w:rsidRPr="009F29A9">
        <w:t xml:space="preserve"> consumption based (so the more energy you use the more you pay)</w:t>
      </w:r>
      <w:r w:rsidR="001266C0" w:rsidRPr="009F29A9">
        <w:t>,</w:t>
      </w:r>
      <w:r w:rsidR="001266C0">
        <w:t xml:space="preserve"> with GST charged on top.</w:t>
      </w:r>
      <w:r>
        <w:t xml:space="preserve"> People on </w:t>
      </w:r>
      <w:proofErr w:type="gramStart"/>
      <w:r>
        <w:t>low-incomes</w:t>
      </w:r>
      <w:proofErr w:type="gramEnd"/>
      <w:r>
        <w:t xml:space="preserve"> contribute </w:t>
      </w:r>
      <w:r w:rsidR="001A1C73">
        <w:t>disproportionately</w:t>
      </w:r>
      <w:r>
        <w:t xml:space="preserve"> more to the costs</w:t>
      </w:r>
      <w:r w:rsidR="001A1C73">
        <w:t xml:space="preserve"> of these schemes</w:t>
      </w:r>
      <w:r w:rsidR="00DE596D">
        <w:t xml:space="preserve">. For example, </w:t>
      </w:r>
      <w:r w:rsidR="00337DF5" w:rsidRPr="00337DF5">
        <w:rPr>
          <w:rFonts w:eastAsiaTheme="minorHAnsi"/>
          <w:color w:val="000000"/>
          <w:lang w:eastAsia="en-US"/>
        </w:rPr>
        <w:t>The Small</w:t>
      </w:r>
      <w:r w:rsidR="001C2EE3">
        <w:rPr>
          <w:rFonts w:eastAsiaTheme="minorHAnsi"/>
          <w:b/>
          <w:i/>
          <w:color w:val="000000"/>
          <w:lang w:eastAsia="en-US"/>
        </w:rPr>
        <w:t>-</w:t>
      </w:r>
      <w:r w:rsidR="001C2EE3" w:rsidRPr="00DE596D">
        <w:rPr>
          <w:rFonts w:eastAsiaTheme="minorHAnsi"/>
          <w:bCs/>
          <w:iCs/>
          <w:color w:val="000000"/>
          <w:lang w:eastAsia="en-US"/>
        </w:rPr>
        <w:t>scale Renewable Energy Scheme (</w:t>
      </w:r>
      <w:r w:rsidR="00337DF5" w:rsidRPr="00DE596D">
        <w:rPr>
          <w:rFonts w:eastAsiaTheme="minorHAnsi"/>
          <w:bCs/>
          <w:iCs/>
          <w:color w:val="000000"/>
          <w:lang w:eastAsia="en-US"/>
        </w:rPr>
        <w:t>SRES</w:t>
      </w:r>
      <w:r w:rsidR="001C2EE3" w:rsidRPr="00DE596D">
        <w:rPr>
          <w:rFonts w:eastAsiaTheme="minorHAnsi"/>
          <w:bCs/>
          <w:iCs/>
          <w:color w:val="000000"/>
          <w:lang w:eastAsia="en-US"/>
        </w:rPr>
        <w:t>)</w:t>
      </w:r>
      <w:r w:rsidR="00337DF5" w:rsidRPr="00DE596D">
        <w:rPr>
          <w:rFonts w:eastAsiaTheme="minorHAnsi"/>
          <w:bCs/>
          <w:iCs/>
          <w:color w:val="000000"/>
          <w:lang w:eastAsia="en-US"/>
        </w:rPr>
        <w:t>,</w:t>
      </w:r>
      <w:r w:rsidR="00337DF5" w:rsidRPr="00337DF5">
        <w:rPr>
          <w:rFonts w:eastAsiaTheme="minorHAnsi"/>
          <w:color w:val="000000"/>
          <w:lang w:eastAsia="en-US"/>
        </w:rPr>
        <w:t xml:space="preserve"> </w:t>
      </w:r>
      <w:r w:rsidR="00DE596D">
        <w:t xml:space="preserve">which has been </w:t>
      </w:r>
      <w:r w:rsidR="00337DF5" w:rsidRPr="00337DF5">
        <w:rPr>
          <w:rFonts w:eastAsiaTheme="minorHAnsi"/>
          <w:color w:val="000000"/>
          <w:lang w:eastAsia="en-US"/>
        </w:rPr>
        <w:t xml:space="preserve">in place until 2030, subsidises the costs of installing small-scale renewable energy sources (such as rooftop solar and hot water heat </w:t>
      </w:r>
      <w:r w:rsidR="00337DF5" w:rsidRPr="00337DF5">
        <w:rPr>
          <w:rFonts w:eastAsiaTheme="minorHAnsi"/>
          <w:color w:val="000000"/>
          <w:lang w:eastAsia="en-US"/>
        </w:rPr>
        <w:lastRenderedPageBreak/>
        <w:t>pumps) to households which can afford and access them. The cost is currently recouped through business and household electricity bills, with GST being charged on top. People on low incomes contribute disproportionately more to the costs of the SRES, while wealthier households receive greater direct benefits.</w:t>
      </w:r>
      <w:r w:rsidR="00337DF5">
        <w:rPr>
          <w:rStyle w:val="FootnoteReference"/>
          <w:rFonts w:eastAsiaTheme="minorHAnsi" w:cstheme="minorBidi"/>
          <w:b/>
          <w:i/>
          <w:color w:val="000000"/>
          <w:sz w:val="20"/>
          <w:szCs w:val="20"/>
          <w:lang w:eastAsia="en-US"/>
        </w:rPr>
        <w:footnoteReference w:id="47"/>
      </w:r>
      <w:r w:rsidR="00D64078">
        <w:t xml:space="preserve"> </w:t>
      </w:r>
      <w:r w:rsidR="000E0CF9">
        <w:t xml:space="preserve">The ACCC has previously recommended </w:t>
      </w:r>
      <w:r>
        <w:t xml:space="preserve">that the scheme be </w:t>
      </w:r>
      <w:r w:rsidR="0087403D">
        <w:t>abolished</w:t>
      </w:r>
      <w:r>
        <w:t>.</w:t>
      </w:r>
      <w:r w:rsidR="008D2F9F">
        <w:rPr>
          <w:rStyle w:val="FootnoteReference"/>
        </w:rPr>
        <w:footnoteReference w:id="48"/>
      </w:r>
      <w:r w:rsidR="0087403D">
        <w:t xml:space="preserve"> ACOSS argues green schemes should be shifted off bills and on to government budgets.</w:t>
      </w:r>
    </w:p>
    <w:p w14:paraId="70DC4746" w14:textId="621C8E88" w:rsidR="00D64078" w:rsidRDefault="00D64078" w:rsidP="0087403D">
      <w:pPr>
        <w:autoSpaceDE w:val="0"/>
        <w:autoSpaceDN w:val="0"/>
        <w:adjustRightInd w:val="0"/>
        <w:spacing w:before="0" w:line="240" w:lineRule="auto"/>
        <w:rPr>
          <w:rFonts w:eastAsiaTheme="minorHAnsi"/>
          <w:color w:val="000000"/>
          <w:sz w:val="20"/>
          <w:szCs w:val="20"/>
          <w:lang w:eastAsia="en-US"/>
        </w:rPr>
      </w:pPr>
    </w:p>
    <w:p w14:paraId="7437AF0A" w14:textId="6FA61057" w:rsidR="0087403D" w:rsidRPr="00D64078" w:rsidRDefault="0087403D" w:rsidP="00ED282F">
      <w:pPr>
        <w:autoSpaceDE w:val="0"/>
        <w:autoSpaceDN w:val="0"/>
        <w:adjustRightInd w:val="0"/>
        <w:spacing w:before="0" w:line="240" w:lineRule="auto"/>
        <w:ind w:left="426"/>
        <w:rPr>
          <w:rFonts w:eastAsiaTheme="minorEastAsia"/>
          <w:color w:val="000000"/>
          <w:sz w:val="20"/>
          <w:szCs w:val="20"/>
          <w:lang w:eastAsia="en-US"/>
        </w:rPr>
      </w:pPr>
      <w:r>
        <w:rPr>
          <w:b/>
          <w:color w:val="CC0000"/>
        </w:rPr>
        <w:t xml:space="preserve">Recommendation 34: </w:t>
      </w:r>
      <w:r>
        <w:t xml:space="preserve"> Shift green </w:t>
      </w:r>
      <w:r w:rsidR="009F29A9">
        <w:t>schemes</w:t>
      </w:r>
      <w:r>
        <w:t xml:space="preserve"> of</w:t>
      </w:r>
      <w:r w:rsidR="33C5AD70">
        <w:t>f</w:t>
      </w:r>
      <w:r>
        <w:t xml:space="preserve"> electricity bills and </w:t>
      </w:r>
      <w:r w:rsidR="009F29A9">
        <w:t>on to government budgets.</w:t>
      </w:r>
    </w:p>
    <w:p w14:paraId="771947DB" w14:textId="1B425A8B" w:rsidR="000051B7" w:rsidRDefault="0045592C" w:rsidP="0045592C">
      <w:pPr>
        <w:pStyle w:val="Heading4"/>
      </w:pPr>
      <w:r>
        <w:t>8.</w:t>
      </w:r>
      <w:r w:rsidR="009F29A9">
        <w:t>5</w:t>
      </w:r>
      <w:r>
        <w:t xml:space="preserve"> </w:t>
      </w:r>
      <w:r w:rsidR="00972AF8">
        <w:t xml:space="preserve">Adequate income to reduce energy </w:t>
      </w:r>
      <w:r>
        <w:t>hardship</w:t>
      </w:r>
    </w:p>
    <w:p w14:paraId="03958B50" w14:textId="0D54C97C" w:rsidR="005430AF" w:rsidRPr="00470A90" w:rsidRDefault="00E92581" w:rsidP="005430AF">
      <w:pPr>
        <w:rPr>
          <w:sz w:val="18"/>
          <w:szCs w:val="18"/>
          <w:shd w:val="clear" w:color="auto" w:fill="FFFFFF"/>
        </w:rPr>
      </w:pPr>
      <w:r>
        <w:t xml:space="preserve">There is significant evidence that shows </w:t>
      </w:r>
      <w:r>
        <w:rPr>
          <w:rFonts w:eastAsia="Times New Roman"/>
        </w:rPr>
        <w:t xml:space="preserve">inadequate income support payments directly contribute to energy deprivation, debt, and disconnection. </w:t>
      </w:r>
      <w:hyperlink r:id="rId32" w:history="1">
        <w:r w:rsidR="005430AF" w:rsidRPr="005430AF">
          <w:t>Research</w:t>
        </w:r>
      </w:hyperlink>
      <w:r w:rsidR="005430AF" w:rsidRPr="1B4F636D">
        <w:rPr>
          <w:shd w:val="clear" w:color="auto" w:fill="FFFFFF"/>
        </w:rPr>
        <w:t xml:space="preserve"> </w:t>
      </w:r>
      <w:r w:rsidR="00ED6664" w:rsidRPr="1B4F636D">
        <w:rPr>
          <w:shd w:val="clear" w:color="auto" w:fill="FFFFFF"/>
        </w:rPr>
        <w:t>by Deloitte</w:t>
      </w:r>
      <w:r w:rsidR="00ED6664">
        <w:rPr>
          <w:sz w:val="18"/>
          <w:szCs w:val="18"/>
          <w:shd w:val="clear" w:color="auto" w:fill="FFFFFF"/>
        </w:rPr>
        <w:t xml:space="preserve"> </w:t>
      </w:r>
      <w:r w:rsidR="005430AF" w:rsidRPr="005430AF">
        <w:t>commissioned by the Energy Charter during COVID found that when JobSeeker was doubled to help people with financial pressures imposed by COVID, that people were able to pay down their energy debt.</w:t>
      </w:r>
      <w:r w:rsidR="005430AF">
        <w:rPr>
          <w:rStyle w:val="FootnoteReference"/>
        </w:rPr>
        <w:footnoteReference w:id="49"/>
      </w:r>
      <w:r w:rsidR="005430AF">
        <w:rPr>
          <w:sz w:val="18"/>
          <w:szCs w:val="18"/>
          <w:shd w:val="clear" w:color="auto" w:fill="FFFFFF"/>
        </w:rPr>
        <w:t xml:space="preserve"> </w:t>
      </w:r>
    </w:p>
    <w:p w14:paraId="5D5DEDE8" w14:textId="1B0E1B76" w:rsidR="00E92581" w:rsidRDefault="00E92581" w:rsidP="00E922C0">
      <w:pPr>
        <w:keepNext/>
        <w:pBdr>
          <w:top w:val="nil"/>
          <w:left w:val="nil"/>
          <w:bottom w:val="nil"/>
          <w:right w:val="nil"/>
          <w:between w:val="nil"/>
        </w:pBdr>
        <w:spacing w:before="0"/>
      </w:pPr>
    </w:p>
    <w:p w14:paraId="21AC4C21" w14:textId="4FA2B5FC" w:rsidR="00E922C0" w:rsidRDefault="00E922C0" w:rsidP="00ED282F">
      <w:pPr>
        <w:keepNext/>
        <w:pBdr>
          <w:top w:val="nil"/>
          <w:left w:val="nil"/>
          <w:bottom w:val="nil"/>
          <w:right w:val="nil"/>
          <w:between w:val="nil"/>
        </w:pBdr>
        <w:spacing w:before="0"/>
        <w:ind w:left="360"/>
        <w:rPr>
          <w:b/>
          <w:color w:val="000000"/>
        </w:rPr>
      </w:pPr>
      <w:r w:rsidRPr="003152CC">
        <w:rPr>
          <w:b/>
          <w:bCs/>
          <w:color w:val="C00000"/>
        </w:rPr>
        <w:t>Recommendation 35:</w:t>
      </w:r>
      <w:r w:rsidRPr="003152CC">
        <w:rPr>
          <w:color w:val="C00000"/>
        </w:rPr>
        <w:t xml:space="preserve"> </w:t>
      </w:r>
      <w:r w:rsidRPr="009631A4">
        <w:rPr>
          <w:bCs/>
          <w:color w:val="000000"/>
        </w:rPr>
        <w:t>Ensure</w:t>
      </w:r>
      <w:r>
        <w:rPr>
          <w:b/>
          <w:color w:val="000000"/>
        </w:rPr>
        <w:t xml:space="preserve"> </w:t>
      </w:r>
      <w:r w:rsidRPr="00533B12">
        <w:rPr>
          <w:bCs/>
          <w:color w:val="000000"/>
        </w:rPr>
        <w:t>e</w:t>
      </w:r>
      <w:r>
        <w:rPr>
          <w:color w:val="000000"/>
        </w:rPr>
        <w:t>veryone can cover basic living costs</w:t>
      </w:r>
      <w:r w:rsidR="009631A4">
        <w:rPr>
          <w:color w:val="000000"/>
        </w:rPr>
        <w:t xml:space="preserve"> to afford energy</w:t>
      </w:r>
      <w:r w:rsidR="003152CC">
        <w:rPr>
          <w:color w:val="000000"/>
        </w:rPr>
        <w:t xml:space="preserve">, </w:t>
      </w:r>
      <w:r w:rsidR="009631A4">
        <w:rPr>
          <w:color w:val="000000"/>
        </w:rPr>
        <w:t xml:space="preserve">as well as </w:t>
      </w:r>
      <w:r>
        <w:rPr>
          <w:color w:val="000000"/>
        </w:rPr>
        <w:t xml:space="preserve">housing, essential services, health, </w:t>
      </w:r>
      <w:proofErr w:type="gramStart"/>
      <w:r>
        <w:rPr>
          <w:color w:val="000000"/>
        </w:rPr>
        <w:t>education</w:t>
      </w:r>
      <w:proofErr w:type="gramEnd"/>
      <w:r>
        <w:rPr>
          <w:color w:val="000000"/>
        </w:rPr>
        <w:t xml:space="preserve"> and employment.</w:t>
      </w:r>
      <w:r w:rsidR="003152CC">
        <w:rPr>
          <w:color w:val="000000"/>
        </w:rPr>
        <w:t xml:space="preserve"> R</w:t>
      </w:r>
      <w:r>
        <w:rPr>
          <w:color w:val="000000"/>
        </w:rPr>
        <w:t>ecommended policies include:</w:t>
      </w:r>
    </w:p>
    <w:p w14:paraId="69F163EE" w14:textId="77777777" w:rsidR="00E922C0" w:rsidRPr="003152CC" w:rsidRDefault="00E922C0" w:rsidP="00A96744">
      <w:pPr>
        <w:pStyle w:val="ListParagraph"/>
        <w:numPr>
          <w:ilvl w:val="1"/>
          <w:numId w:val="22"/>
        </w:numPr>
        <w:rPr>
          <w:b/>
        </w:rPr>
      </w:pPr>
      <w:r w:rsidRPr="003152CC">
        <w:t>Lift base rates of income support payments, including JobSeeker and Youth Allowance to the same level as the pension ($532 per week for a single person, including pension supplement) and index all working-age payments twice per year in line with Consumer Price Index and wages.</w:t>
      </w:r>
      <w:r>
        <w:rPr>
          <w:vertAlign w:val="superscript"/>
        </w:rPr>
        <w:footnoteReference w:id="50"/>
      </w:r>
      <w:r w:rsidRPr="003152CC">
        <w:t xml:space="preserve"> </w:t>
      </w:r>
    </w:p>
    <w:p w14:paraId="6C938869" w14:textId="0F8885C2" w:rsidR="00E922C0" w:rsidRDefault="00E922C0" w:rsidP="00A96744">
      <w:pPr>
        <w:pStyle w:val="ListParagraph"/>
        <w:numPr>
          <w:ilvl w:val="1"/>
          <w:numId w:val="22"/>
        </w:numPr>
      </w:pPr>
      <w:r w:rsidRPr="003152CC">
        <w:t>Improve the adequacy of payment supplements to meet additional living costs, including by lifting the maximum threshold for Commonwealth Rent Assistance by 50% and by establishing a Disability and Illness Supplement and a Single Parent Supplement</w:t>
      </w:r>
      <w:r w:rsidR="003152CC">
        <w:t>.</w:t>
      </w:r>
    </w:p>
    <w:p w14:paraId="04798EA1" w14:textId="77777777" w:rsidR="007F7E86" w:rsidRPr="00850B49" w:rsidRDefault="007F7E86" w:rsidP="0033158A">
      <w:pPr>
        <w:pStyle w:val="Heading2"/>
      </w:pPr>
      <w:r w:rsidRPr="00850B49">
        <w:t>Contact  </w:t>
      </w:r>
    </w:p>
    <w:p w14:paraId="466163F8" w14:textId="77777777" w:rsidR="007F7E86" w:rsidRDefault="007F7E86" w:rsidP="0023702C">
      <w:pPr>
        <w:rPr>
          <w:rFonts w:ascii="Segoe UI" w:hAnsi="Segoe UI"/>
          <w:sz w:val="18"/>
          <w:szCs w:val="18"/>
        </w:rPr>
      </w:pPr>
      <w:r>
        <w:rPr>
          <w:rStyle w:val="normaltextrun"/>
          <w:rFonts w:cs="Segoe UI"/>
          <w:sz w:val="22"/>
          <w:szCs w:val="22"/>
        </w:rPr>
        <w:t>Kellie Caught</w:t>
      </w:r>
      <w:r>
        <w:rPr>
          <w:rStyle w:val="eop"/>
          <w:rFonts w:cs="Segoe UI"/>
          <w:sz w:val="22"/>
          <w:szCs w:val="22"/>
        </w:rPr>
        <w:t> </w:t>
      </w:r>
    </w:p>
    <w:p w14:paraId="214504C0" w14:textId="77777777" w:rsidR="007F7E86" w:rsidRDefault="007F7E86" w:rsidP="0023702C">
      <w:pPr>
        <w:rPr>
          <w:rFonts w:ascii="Segoe UI" w:hAnsi="Segoe UI"/>
          <w:sz w:val="18"/>
          <w:szCs w:val="18"/>
        </w:rPr>
      </w:pPr>
      <w:r>
        <w:rPr>
          <w:rStyle w:val="normaltextrun"/>
          <w:rFonts w:cs="Segoe UI"/>
          <w:sz w:val="22"/>
          <w:szCs w:val="22"/>
        </w:rPr>
        <w:t>Program Director, Climate and Energy</w:t>
      </w:r>
      <w:r>
        <w:rPr>
          <w:rStyle w:val="eop"/>
          <w:rFonts w:cs="Segoe UI"/>
          <w:sz w:val="22"/>
          <w:szCs w:val="22"/>
        </w:rPr>
        <w:t> </w:t>
      </w:r>
    </w:p>
    <w:p w14:paraId="6FD4038D" w14:textId="77777777" w:rsidR="007F7E86" w:rsidRDefault="007F7E86" w:rsidP="0023702C">
      <w:pPr>
        <w:rPr>
          <w:rFonts w:ascii="Segoe UI" w:hAnsi="Segoe UI"/>
          <w:sz w:val="18"/>
          <w:szCs w:val="18"/>
        </w:rPr>
      </w:pPr>
      <w:r>
        <w:rPr>
          <w:rStyle w:val="normaltextrun"/>
          <w:rFonts w:cs="Segoe UI"/>
          <w:sz w:val="22"/>
          <w:szCs w:val="22"/>
        </w:rPr>
        <w:t>Email: kellie@acoss.org.au</w:t>
      </w:r>
    </w:p>
    <w:p w14:paraId="33993534" w14:textId="77777777" w:rsidR="007F7E86" w:rsidRDefault="007F7E86" w:rsidP="0033158A"/>
    <w:sectPr w:rsidR="007F7E86" w:rsidSect="00BB3BB2">
      <w:headerReference w:type="default" r:id="rId33"/>
      <w:footerReference w:type="default" r:id="rId34"/>
      <w:headerReference w:type="first" r:id="rId35"/>
      <w:footerReference w:type="first" r:id="rId36"/>
      <w:pgSz w:w="11907" w:h="16839" w:code="9"/>
      <w:pgMar w:top="1701" w:right="1361" w:bottom="1247" w:left="1361" w:header="680"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45314" w14:textId="77777777" w:rsidR="00BB3BB2" w:rsidRDefault="00BB3BB2" w:rsidP="0033158A">
      <w:r>
        <w:separator/>
      </w:r>
    </w:p>
  </w:endnote>
  <w:endnote w:type="continuationSeparator" w:id="0">
    <w:p w14:paraId="6BF559DB" w14:textId="77777777" w:rsidR="00BB3BB2" w:rsidRDefault="00BB3BB2" w:rsidP="0033158A">
      <w:r>
        <w:continuationSeparator/>
      </w:r>
    </w:p>
  </w:endnote>
  <w:endnote w:type="continuationNotice" w:id="1">
    <w:p w14:paraId="151019E2" w14:textId="77777777" w:rsidR="00BB3BB2" w:rsidRDefault="00BB3BB2" w:rsidP="003315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eastAsiaTheme="minorEastAsia" w:hAnsiTheme="minorHAnsi" w:cs="Times New Roman"/>
      </w:rPr>
      <w:id w:val="1409814203"/>
      <w:docPartObj>
        <w:docPartGallery w:val="Page Numbers (Bottom of Page)"/>
        <w:docPartUnique/>
      </w:docPartObj>
    </w:sdtPr>
    <w:sdtEndPr>
      <w:rPr>
        <w:rFonts w:eastAsiaTheme="majorEastAsia" w:cstheme="majorBidi"/>
        <w:sz w:val="40"/>
        <w:szCs w:val="40"/>
      </w:rPr>
    </w:sdtEndPr>
    <w:sdtContent>
      <w:p w14:paraId="702DE6F2" w14:textId="77777777" w:rsidR="005D55FB" w:rsidRPr="009064BC" w:rsidRDefault="005D55FB" w:rsidP="0033158A">
        <w:pPr>
          <w:pStyle w:val="Footer"/>
          <w:rPr>
            <w:rFonts w:eastAsiaTheme="majorEastAsia" w:cstheme="majorBidi"/>
            <w:sz w:val="40"/>
            <w:szCs w:val="40"/>
          </w:rPr>
        </w:pPr>
        <w:r w:rsidRPr="00C10CA9">
          <w:rPr>
            <w:rFonts w:eastAsiaTheme="minorEastAsia" w:cs="Times New Roman"/>
          </w:rPr>
          <w:fldChar w:fldCharType="begin"/>
        </w:r>
        <w:r w:rsidRPr="00C10CA9">
          <w:instrText xml:space="preserve"> PAGE   \* MERGEFORMAT </w:instrText>
        </w:r>
        <w:r w:rsidRPr="00C10CA9">
          <w:rPr>
            <w:rFonts w:eastAsiaTheme="minorEastAsia" w:cs="Times New Roman"/>
          </w:rPr>
          <w:fldChar w:fldCharType="separate"/>
        </w:r>
        <w:r w:rsidR="002F35F2" w:rsidRPr="002F35F2">
          <w:rPr>
            <w:rFonts w:eastAsiaTheme="majorEastAsia" w:cstheme="majorBidi"/>
            <w:noProof/>
          </w:rPr>
          <w:t>7</w:t>
        </w:r>
        <w:r w:rsidRPr="00C10CA9">
          <w:rPr>
            <w:rFonts w:eastAsiaTheme="majorEastAsia" w:cstheme="majorBidi"/>
          </w:rPr>
          <w:fldChar w:fldCharType="end"/>
        </w:r>
      </w:p>
    </w:sdtContent>
  </w:sdt>
  <w:p w14:paraId="2C01BB0A" w14:textId="77777777" w:rsidR="005D55FB" w:rsidRPr="00B16A1F" w:rsidRDefault="005D55FB" w:rsidP="0033158A">
    <w:pPr>
      <w:pStyle w:val="Footer"/>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41DBD" w14:textId="76F9A34A" w:rsidR="005D55FB" w:rsidRPr="00B24439" w:rsidRDefault="005D55FB" w:rsidP="0033158A">
    <w:pPr>
      <w:pStyle w:val="Footer"/>
    </w:pPr>
    <w:r w:rsidRPr="00B24439">
      <w:t xml:space="preserve">© </w:t>
    </w:r>
    <w:r w:rsidRPr="00B35115">
      <w:t xml:space="preserve">ACOSS </w:t>
    </w:r>
    <w:r w:rsidR="00E03221" w:rsidRPr="00B35115">
      <w:t>2021</w:t>
    </w:r>
    <w:r w:rsidRPr="00B35115">
      <w:t>, Locked Bag 4777 Strawberry Hills NSW 2012</w:t>
    </w:r>
    <w:r w:rsidRPr="00B35115">
      <w:br/>
      <w:t xml:space="preserve">Ph (02) 9310 6200 E: </w:t>
    </w:r>
    <w:hyperlink r:id="rId1" w:history="1">
      <w:r w:rsidRPr="00B35115">
        <w:rPr>
          <w:rStyle w:val="Hyperlink"/>
          <w:b/>
          <w:sz w:val="20"/>
          <w:szCs w:val="20"/>
        </w:rPr>
        <w:t>info@acoss.org.au</w:t>
      </w:r>
    </w:hyperlink>
    <w:r w:rsidRPr="00B35115">
      <w:br/>
    </w:r>
    <w:hyperlink r:id="rId2" w:history="1">
      <w:r w:rsidRPr="00B35115">
        <w:rPr>
          <w:rStyle w:val="Hyperlink"/>
          <w:b/>
          <w:sz w:val="20"/>
          <w:szCs w:val="20"/>
        </w:rPr>
        <w:t>www.acoss.org.au</w:t>
      </w:r>
    </w:hyperlink>
  </w:p>
  <w:p w14:paraId="4B55DAF7" w14:textId="77777777" w:rsidR="005D55FB" w:rsidRPr="001A479C" w:rsidRDefault="005D55FB" w:rsidP="003315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B7B6F0" w14:textId="77777777" w:rsidR="00BB3BB2" w:rsidRDefault="00BB3BB2" w:rsidP="0033158A">
      <w:r>
        <w:separator/>
      </w:r>
    </w:p>
  </w:footnote>
  <w:footnote w:type="continuationSeparator" w:id="0">
    <w:p w14:paraId="0811E730" w14:textId="77777777" w:rsidR="00BB3BB2" w:rsidRDefault="00BB3BB2" w:rsidP="0033158A">
      <w:r>
        <w:continuationSeparator/>
      </w:r>
    </w:p>
  </w:footnote>
  <w:footnote w:type="continuationNotice" w:id="1">
    <w:p w14:paraId="4C4B30A3" w14:textId="77777777" w:rsidR="00BB3BB2" w:rsidRDefault="00BB3BB2" w:rsidP="0033158A"/>
  </w:footnote>
  <w:footnote w:id="2">
    <w:p w14:paraId="2C3B8A3B" w14:textId="77777777" w:rsidR="007F40F5" w:rsidRPr="00CA3E15" w:rsidRDefault="007F40F5" w:rsidP="007F40F5">
      <w:pPr>
        <w:pStyle w:val="FootnoteText"/>
        <w:spacing w:before="0" w:line="240" w:lineRule="auto"/>
        <w:rPr>
          <w:sz w:val="17"/>
          <w:szCs w:val="17"/>
        </w:rPr>
      </w:pPr>
      <w:r w:rsidRPr="00CA3E15">
        <w:rPr>
          <w:rStyle w:val="FootnoteReference"/>
          <w:sz w:val="17"/>
          <w:szCs w:val="17"/>
        </w:rPr>
        <w:footnoteRef/>
      </w:r>
      <w:r w:rsidRPr="00CA3E15">
        <w:rPr>
          <w:sz w:val="17"/>
          <w:szCs w:val="17"/>
        </w:rPr>
        <w:t xml:space="preserve"> </w:t>
      </w:r>
      <w:r w:rsidRPr="00CA3E15">
        <w:rPr>
          <w:rStyle w:val="normaltextrun"/>
          <w:rFonts w:cs="Calibri"/>
          <w:color w:val="000000"/>
          <w:sz w:val="17"/>
          <w:szCs w:val="17"/>
          <w:shd w:val="clear" w:color="auto" w:fill="FFFFFF"/>
          <w:lang w:val="en-GB"/>
        </w:rPr>
        <w:t>AER (2023) State of the Energy Market 2023 </w:t>
      </w:r>
      <w:hyperlink r:id="rId1" w:tgtFrame="_blank" w:history="1">
        <w:r w:rsidRPr="00CA3E15">
          <w:rPr>
            <w:rStyle w:val="normaltextrun"/>
            <w:rFonts w:cs="Calibri"/>
            <w:color w:val="0563C1"/>
            <w:sz w:val="17"/>
            <w:szCs w:val="17"/>
            <w:u w:val="single"/>
            <w:shd w:val="clear" w:color="auto" w:fill="FFFFFF"/>
            <w:lang w:val="en-GB"/>
          </w:rPr>
          <w:t>https://www.aer.gov.au/system/files/State%20of%20the%20energy%20market%202023%20-%20Full%20report.pdf</w:t>
        </w:r>
      </w:hyperlink>
      <w:r w:rsidRPr="00CA3E15">
        <w:rPr>
          <w:rStyle w:val="eop"/>
          <w:rFonts w:cs="Calibri"/>
          <w:color w:val="000000"/>
          <w:sz w:val="17"/>
          <w:szCs w:val="17"/>
          <w:shd w:val="clear" w:color="auto" w:fill="FFFFFF"/>
        </w:rPr>
        <w:t> </w:t>
      </w:r>
    </w:p>
  </w:footnote>
  <w:footnote w:id="3">
    <w:p w14:paraId="4E1686B5" w14:textId="77777777" w:rsidR="00447D3C" w:rsidRPr="00CA3E15" w:rsidRDefault="00447D3C" w:rsidP="00447D3C">
      <w:pPr>
        <w:pStyle w:val="NoSpacing"/>
        <w:rPr>
          <w:sz w:val="17"/>
          <w:szCs w:val="17"/>
        </w:rPr>
      </w:pPr>
      <w:r w:rsidRPr="00CA3E15">
        <w:rPr>
          <w:sz w:val="17"/>
          <w:szCs w:val="17"/>
          <w:vertAlign w:val="superscript"/>
        </w:rPr>
        <w:footnoteRef/>
      </w:r>
      <w:r w:rsidRPr="00CA3E15">
        <w:rPr>
          <w:sz w:val="17"/>
          <w:szCs w:val="17"/>
        </w:rPr>
        <w:t xml:space="preserve"> </w:t>
      </w:r>
      <w:hyperlink r:id="rId2">
        <w:r w:rsidRPr="00CA3E15">
          <w:rPr>
            <w:color w:val="1155CC"/>
            <w:sz w:val="17"/>
            <w:szCs w:val="17"/>
            <w:u w:val="single"/>
          </w:rPr>
          <w:t>https://www.healthyhomes.org.au/news/community-sector-blueprint</w:t>
        </w:r>
      </w:hyperlink>
      <w:r w:rsidRPr="00CA3E15">
        <w:rPr>
          <w:sz w:val="17"/>
          <w:szCs w:val="17"/>
        </w:rPr>
        <w:t xml:space="preserve"> </w:t>
      </w:r>
    </w:p>
  </w:footnote>
  <w:footnote w:id="4">
    <w:p w14:paraId="696721EE" w14:textId="77777777" w:rsidR="00701A83" w:rsidRPr="00CA3E15" w:rsidRDefault="00701A83" w:rsidP="00CA3E15">
      <w:pPr>
        <w:pStyle w:val="FootnoteText"/>
        <w:spacing w:before="0" w:line="240" w:lineRule="auto"/>
        <w:rPr>
          <w:sz w:val="17"/>
          <w:szCs w:val="17"/>
        </w:rPr>
      </w:pPr>
      <w:r w:rsidRPr="00CA3E15">
        <w:rPr>
          <w:rStyle w:val="FootnoteReference"/>
          <w:sz w:val="17"/>
          <w:szCs w:val="17"/>
        </w:rPr>
        <w:footnoteRef/>
      </w:r>
      <w:r w:rsidRPr="00CA3E15">
        <w:rPr>
          <w:sz w:val="17"/>
          <w:szCs w:val="17"/>
        </w:rPr>
        <w:t xml:space="preserve"> </w:t>
      </w:r>
      <w:r w:rsidRPr="00CA3E15">
        <w:rPr>
          <w:rStyle w:val="normaltextrun"/>
          <w:rFonts w:cs="Calibri"/>
          <w:color w:val="000000"/>
          <w:sz w:val="17"/>
          <w:szCs w:val="17"/>
          <w:shd w:val="clear" w:color="auto" w:fill="FFFFFF"/>
          <w:lang w:val="en-GB"/>
        </w:rPr>
        <w:t>ACOSS (2023) Energy and Cost of living snapshot </w:t>
      </w:r>
      <w:hyperlink r:id="rId3" w:tgtFrame="_blank" w:history="1">
        <w:r w:rsidRPr="00CA3E15">
          <w:rPr>
            <w:rStyle w:val="normaltextrun"/>
            <w:rFonts w:cs="Calibri"/>
            <w:color w:val="0563C1"/>
            <w:sz w:val="17"/>
            <w:szCs w:val="17"/>
            <w:u w:val="single"/>
            <w:shd w:val="clear" w:color="auto" w:fill="FFFFFF"/>
            <w:lang w:val="en-GB"/>
          </w:rPr>
          <w:t>https://www.acoss.org.au/wp-content/uploads/2023/10/ACOSS-Energy-Cost-of-Living-Snapshot-October-2023.pdf</w:t>
        </w:r>
      </w:hyperlink>
      <w:r w:rsidRPr="00CA3E15">
        <w:rPr>
          <w:rStyle w:val="normaltextrun"/>
          <w:rFonts w:cs="Calibri"/>
          <w:color w:val="000000"/>
          <w:sz w:val="17"/>
          <w:szCs w:val="17"/>
          <w:shd w:val="clear" w:color="auto" w:fill="FFFFFF"/>
          <w:lang w:val="en-GB"/>
        </w:rPr>
        <w:t> </w:t>
      </w:r>
    </w:p>
  </w:footnote>
  <w:footnote w:id="5">
    <w:p w14:paraId="5E963E3C" w14:textId="77777777" w:rsidR="005F0649" w:rsidRPr="00CA3E15" w:rsidRDefault="005F0649" w:rsidP="00CA3E15">
      <w:pPr>
        <w:pStyle w:val="FootnoteText"/>
        <w:spacing w:before="0" w:line="240" w:lineRule="auto"/>
        <w:rPr>
          <w:rFonts w:asciiTheme="majorHAnsi" w:hAnsiTheme="majorHAnsi" w:cstheme="majorHAnsi"/>
          <w:sz w:val="17"/>
          <w:szCs w:val="17"/>
        </w:rPr>
      </w:pPr>
      <w:r w:rsidRPr="00CA3E15">
        <w:rPr>
          <w:rStyle w:val="FootnoteReference"/>
          <w:sz w:val="17"/>
          <w:szCs w:val="17"/>
        </w:rPr>
        <w:footnoteRef/>
      </w:r>
      <w:r w:rsidRPr="00CA3E15">
        <w:rPr>
          <w:sz w:val="17"/>
          <w:szCs w:val="17"/>
        </w:rPr>
        <w:t xml:space="preserve"> </w:t>
      </w:r>
      <w:r w:rsidRPr="00CA3E15">
        <w:rPr>
          <w:rFonts w:cstheme="minorHAnsi"/>
          <w:sz w:val="17"/>
          <w:szCs w:val="17"/>
        </w:rPr>
        <w:t xml:space="preserve">Financial Counselling Australia (2021) </w:t>
      </w:r>
      <w:hyperlink r:id="rId4" w:history="1">
        <w:r w:rsidRPr="00CA3E15">
          <w:rPr>
            <w:rStyle w:val="Hyperlink"/>
            <w:rFonts w:cstheme="minorHAnsi"/>
            <w:i/>
            <w:iCs/>
            <w:sz w:val="17"/>
            <w:szCs w:val="17"/>
          </w:rPr>
          <w:t>It’s credit, it’s causing harm and it needs better safeguards</w:t>
        </w:r>
      </w:hyperlink>
      <w:r w:rsidRPr="00CA3E15">
        <w:rPr>
          <w:rFonts w:cstheme="minorHAnsi"/>
          <w:sz w:val="17"/>
          <w:szCs w:val="17"/>
        </w:rPr>
        <w:t>, p 5 and p 9; CHOICE Consumer Pulse survey September 2022 found 1 in 4 BNPL users used this credit product to pay for essential products or services.</w:t>
      </w:r>
    </w:p>
  </w:footnote>
  <w:footnote w:id="6">
    <w:p w14:paraId="44DE66ED" w14:textId="77777777" w:rsidR="005F0649" w:rsidRPr="00CA3E15" w:rsidRDefault="005F0649" w:rsidP="00CA3E15">
      <w:pPr>
        <w:pStyle w:val="FootnoteText"/>
        <w:spacing w:before="0" w:line="240" w:lineRule="auto"/>
        <w:rPr>
          <w:sz w:val="17"/>
          <w:szCs w:val="17"/>
        </w:rPr>
      </w:pPr>
      <w:r w:rsidRPr="00CA3E15">
        <w:rPr>
          <w:rStyle w:val="FootnoteReference"/>
          <w:sz w:val="17"/>
          <w:szCs w:val="17"/>
        </w:rPr>
        <w:footnoteRef/>
      </w:r>
      <w:r w:rsidRPr="00CA3E15">
        <w:rPr>
          <w:sz w:val="17"/>
          <w:szCs w:val="17"/>
        </w:rPr>
        <w:t xml:space="preserve"> For example, The Debt Trap Alliance found that over 5 years, 15% of people who take out payday loans fall into a debt spiral (</w:t>
      </w:r>
      <w:hyperlink r:id="rId5" w:history="1">
        <w:r w:rsidRPr="00CA3E15">
          <w:rPr>
            <w:rStyle w:val="Hyperlink"/>
            <w:i/>
            <w:iCs/>
            <w:sz w:val="17"/>
            <w:szCs w:val="17"/>
          </w:rPr>
          <w:t>The Debt Trap: How Payday lending is costing Australians</w:t>
        </w:r>
      </w:hyperlink>
      <w:r w:rsidRPr="00CA3E15">
        <w:rPr>
          <w:sz w:val="17"/>
          <w:szCs w:val="17"/>
        </w:rPr>
        <w:t xml:space="preserve"> (2019) p 6); CHOICE Consumer Pulse surveys from June to September 2022 found:</w:t>
      </w:r>
    </w:p>
    <w:p w14:paraId="231F77DA" w14:textId="77777777" w:rsidR="005F0649" w:rsidRPr="00CA3E15" w:rsidRDefault="005F0649" w:rsidP="00CA3E15">
      <w:pPr>
        <w:pStyle w:val="FootnoteText"/>
        <w:numPr>
          <w:ilvl w:val="0"/>
          <w:numId w:val="19"/>
        </w:numPr>
        <w:spacing w:before="0" w:line="240" w:lineRule="auto"/>
        <w:rPr>
          <w:sz w:val="17"/>
          <w:szCs w:val="17"/>
        </w:rPr>
      </w:pPr>
      <w:r w:rsidRPr="00CA3E15">
        <w:rPr>
          <w:sz w:val="17"/>
          <w:szCs w:val="17"/>
        </w:rPr>
        <w:t>1 in 7 BNPL users were sold more than 20 BNPL loans in the past year.</w:t>
      </w:r>
    </w:p>
    <w:p w14:paraId="0945B34D" w14:textId="77777777" w:rsidR="005F0649" w:rsidRPr="00CA3E15" w:rsidRDefault="005F0649" w:rsidP="00CA3E15">
      <w:pPr>
        <w:pStyle w:val="FootnoteText"/>
        <w:numPr>
          <w:ilvl w:val="0"/>
          <w:numId w:val="19"/>
        </w:numPr>
        <w:spacing w:before="0" w:line="240" w:lineRule="auto"/>
        <w:rPr>
          <w:sz w:val="17"/>
          <w:szCs w:val="17"/>
        </w:rPr>
      </w:pPr>
      <w:r w:rsidRPr="00CA3E15">
        <w:rPr>
          <w:sz w:val="17"/>
          <w:szCs w:val="17"/>
        </w:rPr>
        <w:t>1 in 5 BNPL users missed or had been late with a payment for a BNPL service.</w:t>
      </w:r>
    </w:p>
    <w:p w14:paraId="51FC40ED" w14:textId="77777777" w:rsidR="005F0649" w:rsidRPr="00CA3E15" w:rsidRDefault="005F0649" w:rsidP="00CA3E15">
      <w:pPr>
        <w:pStyle w:val="FootnoteText"/>
        <w:spacing w:before="0" w:line="240" w:lineRule="auto"/>
        <w:rPr>
          <w:sz w:val="17"/>
          <w:szCs w:val="17"/>
        </w:rPr>
      </w:pPr>
      <w:r w:rsidRPr="00CA3E15">
        <w:rPr>
          <w:sz w:val="17"/>
          <w:szCs w:val="17"/>
        </w:rPr>
        <w:t>Of those users with late payments, 2 in 5 have taken out another loan to pay for BNPL fees or debts.</w:t>
      </w:r>
    </w:p>
  </w:footnote>
  <w:footnote w:id="7">
    <w:p w14:paraId="348D8C3E" w14:textId="77777777" w:rsidR="00701A83" w:rsidRPr="00CA3E15" w:rsidRDefault="00701A83" w:rsidP="00CA3E15">
      <w:pPr>
        <w:pStyle w:val="FootnoteText"/>
        <w:spacing w:before="0" w:line="240" w:lineRule="auto"/>
        <w:rPr>
          <w:sz w:val="17"/>
          <w:szCs w:val="17"/>
        </w:rPr>
      </w:pPr>
      <w:r w:rsidRPr="00CA3E15">
        <w:rPr>
          <w:rStyle w:val="FootnoteReference"/>
          <w:sz w:val="17"/>
          <w:szCs w:val="17"/>
        </w:rPr>
        <w:footnoteRef/>
      </w:r>
      <w:r w:rsidRPr="00CA3E15">
        <w:rPr>
          <w:sz w:val="17"/>
          <w:szCs w:val="17"/>
        </w:rPr>
        <w:t xml:space="preserve"> </w:t>
      </w:r>
      <w:r w:rsidRPr="00CA3E15">
        <w:rPr>
          <w:rStyle w:val="normaltextrun"/>
          <w:rFonts w:cs="Calibri"/>
          <w:color w:val="000000"/>
          <w:sz w:val="17"/>
          <w:szCs w:val="17"/>
          <w:shd w:val="clear" w:color="auto" w:fill="FFFFFF"/>
          <w:lang w:val="en-GB"/>
        </w:rPr>
        <w:t> </w:t>
      </w:r>
      <w:hyperlink r:id="rId6" w:tgtFrame="_blank" w:history="1">
        <w:r w:rsidRPr="00CA3E15">
          <w:rPr>
            <w:rStyle w:val="normaltextrun"/>
            <w:rFonts w:cs="Calibri"/>
            <w:color w:val="0563C1"/>
            <w:sz w:val="17"/>
            <w:szCs w:val="17"/>
            <w:u w:val="single"/>
            <w:shd w:val="clear" w:color="auto" w:fill="FFFFFF"/>
            <w:lang w:val="en-GB"/>
          </w:rPr>
          <w:t>https://www.acoss.org.au/wp-content/uploads/2023/02/ACOSS-Plus-Submission-to-National-Energy-Performance-Strategy-Consultation-paper-07022023.pdf</w:t>
        </w:r>
      </w:hyperlink>
      <w:r w:rsidRPr="00CA3E15">
        <w:rPr>
          <w:rStyle w:val="normaltextrun"/>
          <w:rFonts w:cs="Calibri"/>
          <w:color w:val="000000"/>
          <w:sz w:val="17"/>
          <w:szCs w:val="17"/>
          <w:shd w:val="clear" w:color="auto" w:fill="FFFFFF"/>
          <w:lang w:val="en-GB"/>
        </w:rPr>
        <w:t> </w:t>
      </w:r>
    </w:p>
  </w:footnote>
  <w:footnote w:id="8">
    <w:p w14:paraId="3CB12BE2" w14:textId="77777777" w:rsidR="00701A83" w:rsidRPr="00CA3E15" w:rsidRDefault="00701A83" w:rsidP="00CA3E15">
      <w:pPr>
        <w:pStyle w:val="FootnoteText"/>
        <w:spacing w:before="0" w:line="240" w:lineRule="auto"/>
        <w:rPr>
          <w:sz w:val="17"/>
          <w:szCs w:val="17"/>
        </w:rPr>
      </w:pPr>
      <w:r w:rsidRPr="00CA3E15">
        <w:rPr>
          <w:rStyle w:val="FootnoteReference"/>
          <w:sz w:val="17"/>
          <w:szCs w:val="17"/>
        </w:rPr>
        <w:footnoteRef/>
      </w:r>
      <w:r w:rsidRPr="00CA3E15">
        <w:rPr>
          <w:sz w:val="17"/>
          <w:szCs w:val="17"/>
        </w:rPr>
        <w:t xml:space="preserve"> ACOSS and BSL (2018) </w:t>
      </w:r>
      <w:hyperlink r:id="rId7" w:history="1">
        <w:r w:rsidRPr="00CA3E15">
          <w:rPr>
            <w:color w:val="0563C1" w:themeColor="hyperlink"/>
            <w:sz w:val="17"/>
            <w:szCs w:val="17"/>
            <w:u w:val="single"/>
          </w:rPr>
          <w:t>Energy Stressed in Australia</w:t>
        </w:r>
      </w:hyperlink>
    </w:p>
  </w:footnote>
  <w:footnote w:id="9">
    <w:p w14:paraId="3549E5C4" w14:textId="77777777" w:rsidR="00701A83" w:rsidRPr="00CA3E15" w:rsidRDefault="00701A83" w:rsidP="00CA3E15">
      <w:pPr>
        <w:pStyle w:val="FootnoteText"/>
        <w:spacing w:before="0" w:line="240" w:lineRule="auto"/>
        <w:rPr>
          <w:sz w:val="17"/>
          <w:szCs w:val="17"/>
        </w:rPr>
      </w:pPr>
      <w:r w:rsidRPr="00CA3E15">
        <w:rPr>
          <w:rStyle w:val="FootnoteReference"/>
          <w:sz w:val="17"/>
          <w:szCs w:val="17"/>
        </w:rPr>
        <w:footnoteRef/>
      </w:r>
      <w:r w:rsidRPr="00CA3E15">
        <w:rPr>
          <w:sz w:val="17"/>
          <w:szCs w:val="17"/>
        </w:rPr>
        <w:t xml:space="preserve"> </w:t>
      </w:r>
      <w:r w:rsidRPr="00CA3E15">
        <w:rPr>
          <w:rStyle w:val="normaltextrun"/>
          <w:rFonts w:cs="Calibri"/>
          <w:color w:val="000000"/>
          <w:sz w:val="17"/>
          <w:szCs w:val="17"/>
          <w:shd w:val="clear" w:color="auto" w:fill="FFFFFF"/>
          <w:lang w:val="en-GB"/>
        </w:rPr>
        <w:t>AER (2023) State of the Energy Market 2023 </w:t>
      </w:r>
      <w:hyperlink r:id="rId8" w:tgtFrame="_blank" w:history="1">
        <w:r w:rsidRPr="00CA3E15">
          <w:rPr>
            <w:rStyle w:val="normaltextrun"/>
            <w:rFonts w:cs="Calibri"/>
            <w:color w:val="0563C1"/>
            <w:sz w:val="17"/>
            <w:szCs w:val="17"/>
            <w:u w:val="single"/>
            <w:shd w:val="clear" w:color="auto" w:fill="FFFFFF"/>
            <w:lang w:val="en-GB"/>
          </w:rPr>
          <w:t>https://www.aer.gov.au/system/files/State%20of%20the%20energy%20market%202023%20-%20Full%20report.pdf</w:t>
        </w:r>
      </w:hyperlink>
      <w:r w:rsidRPr="00CA3E15">
        <w:rPr>
          <w:rStyle w:val="eop"/>
          <w:rFonts w:cs="Calibri"/>
          <w:color w:val="000000"/>
          <w:sz w:val="17"/>
          <w:szCs w:val="17"/>
          <w:shd w:val="clear" w:color="auto" w:fill="FFFFFF"/>
        </w:rPr>
        <w:t> </w:t>
      </w:r>
    </w:p>
  </w:footnote>
  <w:footnote w:id="10">
    <w:p w14:paraId="6EE3851C" w14:textId="77777777" w:rsidR="00DF084B" w:rsidRPr="00CA3E15" w:rsidRDefault="00DF084B" w:rsidP="00CA3E15">
      <w:pPr>
        <w:pStyle w:val="FootnoteText"/>
        <w:spacing w:before="0" w:line="240" w:lineRule="auto"/>
        <w:rPr>
          <w:sz w:val="17"/>
          <w:szCs w:val="17"/>
        </w:rPr>
      </w:pPr>
      <w:r w:rsidRPr="00CA3E15">
        <w:rPr>
          <w:rStyle w:val="FootnoteReference"/>
          <w:sz w:val="17"/>
          <w:szCs w:val="17"/>
        </w:rPr>
        <w:footnoteRef/>
      </w:r>
      <w:r w:rsidRPr="00CA3E15">
        <w:rPr>
          <w:sz w:val="17"/>
          <w:szCs w:val="17"/>
        </w:rPr>
        <w:t xml:space="preserve"> Ibid.</w:t>
      </w:r>
    </w:p>
  </w:footnote>
  <w:footnote w:id="11">
    <w:p w14:paraId="6F004F5D" w14:textId="77777777" w:rsidR="00CC5370" w:rsidRPr="005E15DF" w:rsidRDefault="00CC5370" w:rsidP="00CA3E15">
      <w:pPr>
        <w:pStyle w:val="FootnoteText"/>
        <w:spacing w:before="0" w:line="240" w:lineRule="auto"/>
        <w:rPr>
          <w:sz w:val="21"/>
          <w:szCs w:val="21"/>
        </w:rPr>
      </w:pPr>
      <w:r w:rsidRPr="00CA3E15">
        <w:rPr>
          <w:rStyle w:val="FootnoteReference"/>
          <w:sz w:val="17"/>
          <w:szCs w:val="17"/>
        </w:rPr>
        <w:footnoteRef/>
      </w:r>
      <w:r w:rsidRPr="00CA3E15">
        <w:rPr>
          <w:sz w:val="17"/>
          <w:szCs w:val="17"/>
        </w:rPr>
        <w:t xml:space="preserve"> </w:t>
      </w:r>
      <w:hyperlink r:id="rId9" w:history="1">
        <w:r w:rsidRPr="00CA3E15">
          <w:rPr>
            <w:rStyle w:val="Hyperlink"/>
            <w:sz w:val="17"/>
            <w:szCs w:val="17"/>
          </w:rPr>
          <w:t>https://www.smh.com.au/politics/federal/cost-of-living-crisis-drives-slump-in-support-for-urgent-climate-action-20230816-p5dwx7.html</w:t>
        </w:r>
      </w:hyperlink>
    </w:p>
  </w:footnote>
  <w:footnote w:id="12">
    <w:p w14:paraId="18A1021C" w14:textId="76AF6B46" w:rsidR="00FD7936" w:rsidRPr="00CA3E15" w:rsidRDefault="008466B5" w:rsidP="0009061E">
      <w:pPr>
        <w:spacing w:before="0" w:line="240" w:lineRule="auto"/>
        <w:rPr>
          <w:sz w:val="17"/>
          <w:szCs w:val="17"/>
        </w:rPr>
      </w:pPr>
      <w:r w:rsidRPr="00CA3E15">
        <w:rPr>
          <w:sz w:val="17"/>
          <w:szCs w:val="17"/>
          <w:vertAlign w:val="superscript"/>
        </w:rPr>
        <w:footnoteRef/>
      </w:r>
      <w:r w:rsidRPr="00CA3E15">
        <w:rPr>
          <w:sz w:val="17"/>
          <w:szCs w:val="17"/>
        </w:rPr>
        <w:t xml:space="preserve"> </w:t>
      </w:r>
      <w:hyperlink r:id="rId10" w:history="1">
        <w:r w:rsidR="00FD7936" w:rsidRPr="00CA3E15">
          <w:rPr>
            <w:rStyle w:val="Hyperlink"/>
            <w:sz w:val="17"/>
            <w:szCs w:val="17"/>
          </w:rPr>
          <w:t>https://www.ipcc.ch/sr15/chapter/spm/</w:t>
        </w:r>
      </w:hyperlink>
    </w:p>
  </w:footnote>
  <w:footnote w:id="13">
    <w:p w14:paraId="1B2DE69E" w14:textId="432D9CC8" w:rsidR="00FD7936" w:rsidRPr="00CA3E15" w:rsidRDefault="008466B5" w:rsidP="0009061E">
      <w:pPr>
        <w:spacing w:before="0" w:line="240" w:lineRule="auto"/>
        <w:rPr>
          <w:sz w:val="17"/>
          <w:szCs w:val="17"/>
        </w:rPr>
      </w:pPr>
      <w:r w:rsidRPr="00CA3E15">
        <w:rPr>
          <w:sz w:val="17"/>
          <w:szCs w:val="17"/>
          <w:vertAlign w:val="superscript"/>
        </w:rPr>
        <w:footnoteRef/>
      </w:r>
      <w:r w:rsidRPr="00CA3E15">
        <w:rPr>
          <w:sz w:val="17"/>
          <w:szCs w:val="17"/>
        </w:rPr>
        <w:t xml:space="preserve"> </w:t>
      </w:r>
      <w:hyperlink r:id="rId11" w:history="1">
        <w:r w:rsidR="00FD7936" w:rsidRPr="00CA3E15">
          <w:rPr>
            <w:rStyle w:val="Hyperlink"/>
            <w:sz w:val="17"/>
            <w:szCs w:val="17"/>
          </w:rPr>
          <w:t>https://www.climatecouncil.org.au/resources/hitting-home-compounding-costs-climate-inaction/</w:t>
        </w:r>
      </w:hyperlink>
    </w:p>
  </w:footnote>
  <w:footnote w:id="14">
    <w:p w14:paraId="088E346F" w14:textId="10F21B5C" w:rsidR="008466B5" w:rsidRPr="00CA3E15" w:rsidRDefault="008466B5" w:rsidP="0009061E">
      <w:pPr>
        <w:spacing w:before="0" w:line="240" w:lineRule="auto"/>
        <w:rPr>
          <w:sz w:val="17"/>
          <w:szCs w:val="17"/>
        </w:rPr>
      </w:pPr>
      <w:r w:rsidRPr="00CA3E15">
        <w:rPr>
          <w:sz w:val="17"/>
          <w:szCs w:val="17"/>
          <w:vertAlign w:val="superscript"/>
        </w:rPr>
        <w:footnoteRef/>
      </w:r>
      <w:r w:rsidRPr="00CA3E15">
        <w:rPr>
          <w:sz w:val="17"/>
          <w:szCs w:val="17"/>
        </w:rPr>
        <w:t xml:space="preserve"> Deloitte has found that if action is taken in line with a target of net zero emissions by 2050, 250,000 jobs will be created and $680 billion added to the econom</w:t>
      </w:r>
      <w:r w:rsidR="008A6E30" w:rsidRPr="00CA3E15">
        <w:rPr>
          <w:sz w:val="17"/>
          <w:szCs w:val="17"/>
        </w:rPr>
        <w:t xml:space="preserve">y. </w:t>
      </w:r>
    </w:p>
  </w:footnote>
  <w:footnote w:id="15">
    <w:p w14:paraId="527E456A" w14:textId="78B1728B" w:rsidR="008466B5" w:rsidRPr="00CA3E15" w:rsidRDefault="008466B5" w:rsidP="0009061E">
      <w:pPr>
        <w:spacing w:before="0" w:line="240" w:lineRule="auto"/>
        <w:rPr>
          <w:sz w:val="17"/>
          <w:szCs w:val="17"/>
        </w:rPr>
      </w:pPr>
      <w:r w:rsidRPr="00CA3E15">
        <w:rPr>
          <w:sz w:val="17"/>
          <w:szCs w:val="17"/>
          <w:vertAlign w:val="superscript"/>
        </w:rPr>
        <w:footnoteRef/>
      </w:r>
      <w:r w:rsidRPr="00CA3E15">
        <w:rPr>
          <w:sz w:val="17"/>
          <w:szCs w:val="17"/>
        </w:rPr>
        <w:t xml:space="preserve"> </w:t>
      </w:r>
      <w:hyperlink r:id="rId12" w:history="1">
        <w:r w:rsidR="0009061E" w:rsidRPr="00CA3E15">
          <w:rPr>
            <w:rStyle w:val="Hyperlink"/>
            <w:sz w:val="17"/>
            <w:szCs w:val="17"/>
          </w:rPr>
          <w:t>https://www.airclim.org/acidnews/ipcc-warns-delaying-action-implies-higher-costs</w:t>
        </w:r>
      </w:hyperlink>
    </w:p>
  </w:footnote>
  <w:footnote w:id="16">
    <w:p w14:paraId="5139CB19" w14:textId="259EADCC" w:rsidR="008466B5" w:rsidRPr="00CA3E15" w:rsidRDefault="008466B5" w:rsidP="0009061E">
      <w:pPr>
        <w:spacing w:before="0" w:line="240" w:lineRule="auto"/>
        <w:rPr>
          <w:sz w:val="17"/>
          <w:szCs w:val="17"/>
        </w:rPr>
      </w:pPr>
      <w:r w:rsidRPr="00CA3E15">
        <w:rPr>
          <w:sz w:val="17"/>
          <w:szCs w:val="17"/>
          <w:vertAlign w:val="superscript"/>
        </w:rPr>
        <w:footnoteRef/>
      </w:r>
      <w:r w:rsidR="0009061E" w:rsidRPr="00CA3E15">
        <w:rPr>
          <w:sz w:val="17"/>
          <w:szCs w:val="17"/>
        </w:rPr>
        <w:t xml:space="preserve"> </w:t>
      </w:r>
      <w:hyperlink r:id="rId13" w:history="1">
        <w:r w:rsidR="0009061E" w:rsidRPr="00CA3E15">
          <w:rPr>
            <w:rStyle w:val="Hyperlink"/>
            <w:sz w:val="17"/>
            <w:szCs w:val="17"/>
          </w:rPr>
          <w:t>https://www.lse.ac.uk/granthaminstitute/news/researchers-warn-of-big-increase-in-economic-costs-if-cuts-in-greenhouse-gas-emissions-are-delayed/</w:t>
        </w:r>
      </w:hyperlink>
      <w:r w:rsidRPr="00CA3E15">
        <w:rPr>
          <w:sz w:val="17"/>
          <w:szCs w:val="17"/>
        </w:rPr>
        <w:t xml:space="preserve"> </w:t>
      </w:r>
    </w:p>
  </w:footnote>
  <w:footnote w:id="17">
    <w:p w14:paraId="313164E3" w14:textId="1FBBC2A3" w:rsidR="008466B5" w:rsidRPr="00CA3E15" w:rsidRDefault="008466B5" w:rsidP="0009061E">
      <w:pPr>
        <w:spacing w:before="0" w:line="240" w:lineRule="auto"/>
        <w:rPr>
          <w:sz w:val="17"/>
          <w:szCs w:val="17"/>
        </w:rPr>
      </w:pPr>
      <w:r w:rsidRPr="00CA3E15">
        <w:rPr>
          <w:sz w:val="17"/>
          <w:szCs w:val="17"/>
          <w:vertAlign w:val="superscript"/>
        </w:rPr>
        <w:footnoteRef/>
      </w:r>
      <w:r w:rsidR="0009061E" w:rsidRPr="00CA3E15">
        <w:rPr>
          <w:sz w:val="17"/>
          <w:szCs w:val="17"/>
        </w:rPr>
        <w:t xml:space="preserve"> </w:t>
      </w:r>
      <w:hyperlink r:id="rId14" w:history="1">
        <w:r w:rsidR="0009061E" w:rsidRPr="00CA3E15">
          <w:rPr>
            <w:rStyle w:val="Hyperlink"/>
            <w:sz w:val="17"/>
            <w:szCs w:val="17"/>
          </w:rPr>
          <w:t>https://www.wwf.org.au/ArticleDocuments/353/pub-delaying-climate-action-would-be-costly-for-australia-and-the-world-25may15.pdf.aspx?Embed=Y</w:t>
        </w:r>
      </w:hyperlink>
      <w:r w:rsidRPr="00CA3E15">
        <w:rPr>
          <w:sz w:val="17"/>
          <w:szCs w:val="17"/>
        </w:rPr>
        <w:t xml:space="preserve"> </w:t>
      </w:r>
    </w:p>
  </w:footnote>
  <w:footnote w:id="18">
    <w:p w14:paraId="6490C0ED" w14:textId="6543C287" w:rsidR="008B2110" w:rsidRPr="00CA3E15" w:rsidRDefault="008B2110" w:rsidP="005C5C85">
      <w:pPr>
        <w:spacing w:before="0" w:line="240" w:lineRule="auto"/>
        <w:rPr>
          <w:sz w:val="17"/>
          <w:szCs w:val="17"/>
        </w:rPr>
      </w:pPr>
      <w:r w:rsidRPr="00CA3E15">
        <w:rPr>
          <w:rStyle w:val="FootnoteReference"/>
          <w:sz w:val="17"/>
          <w:szCs w:val="17"/>
        </w:rPr>
        <w:footnoteRef/>
      </w:r>
      <w:hyperlink r:id="rId15" w:history="1">
        <w:r w:rsidR="0009061E" w:rsidRPr="00CA3E15">
          <w:rPr>
            <w:rStyle w:val="Hyperlink"/>
            <w:sz w:val="17"/>
            <w:szCs w:val="17"/>
          </w:rPr>
          <w:t>https://www.climatecollege.unimelb.edu.au/files/site1/docs/%5Bmi7%3Ami7uid%5D/ClimateTargetsPanelReport.pdf</w:t>
        </w:r>
      </w:hyperlink>
      <w:r w:rsidR="00020751" w:rsidRPr="00CA3E15">
        <w:rPr>
          <w:sz w:val="17"/>
          <w:szCs w:val="17"/>
        </w:rPr>
        <w:t xml:space="preserve"> </w:t>
      </w:r>
      <w:r w:rsidRPr="00CA3E15">
        <w:rPr>
          <w:sz w:val="17"/>
          <w:szCs w:val="17"/>
        </w:rPr>
        <w:t xml:space="preserve"> </w:t>
      </w:r>
    </w:p>
  </w:footnote>
  <w:footnote w:id="19">
    <w:p w14:paraId="2D641079" w14:textId="73885CDB" w:rsidR="00531394" w:rsidRPr="00CA3E15" w:rsidRDefault="00531394" w:rsidP="005C5C85">
      <w:pPr>
        <w:spacing w:before="0" w:line="240" w:lineRule="auto"/>
        <w:rPr>
          <w:sz w:val="17"/>
          <w:szCs w:val="17"/>
        </w:rPr>
      </w:pPr>
      <w:r w:rsidRPr="00CA3E15">
        <w:rPr>
          <w:rStyle w:val="FootnoteReference"/>
          <w:sz w:val="17"/>
          <w:szCs w:val="17"/>
        </w:rPr>
        <w:footnoteRef/>
      </w:r>
      <w:r w:rsidRPr="00CA3E15">
        <w:rPr>
          <w:sz w:val="17"/>
          <w:szCs w:val="17"/>
          <w:vertAlign w:val="superscript"/>
        </w:rPr>
        <w:t xml:space="preserve"> </w:t>
      </w:r>
      <w:hyperlink r:id="rId16" w:history="1">
        <w:r w:rsidR="0009061E" w:rsidRPr="00CA3E15">
          <w:rPr>
            <w:rStyle w:val="Hyperlink"/>
            <w:sz w:val="17"/>
            <w:szCs w:val="17"/>
          </w:rPr>
          <w:t>https://www.climatecouncil.org.au/wp-content/uploads/2021/04/aim-high-go-fast-why-emissions-must-plummet-climate-council-report-210421.pdf</w:t>
        </w:r>
      </w:hyperlink>
    </w:p>
  </w:footnote>
  <w:footnote w:id="20">
    <w:p w14:paraId="71E8A49D" w14:textId="605505FD" w:rsidR="00E860F4" w:rsidRPr="00CA3E15" w:rsidRDefault="00E860F4" w:rsidP="005C5C85">
      <w:pPr>
        <w:spacing w:before="0" w:line="240" w:lineRule="auto"/>
        <w:rPr>
          <w:sz w:val="17"/>
          <w:szCs w:val="17"/>
        </w:rPr>
      </w:pPr>
      <w:r w:rsidRPr="00CA3E15">
        <w:rPr>
          <w:rStyle w:val="FootnoteReference"/>
          <w:sz w:val="17"/>
          <w:szCs w:val="17"/>
        </w:rPr>
        <w:footnoteRef/>
      </w:r>
      <w:r w:rsidR="0009061E" w:rsidRPr="00CA3E15">
        <w:rPr>
          <w:sz w:val="17"/>
          <w:szCs w:val="17"/>
        </w:rPr>
        <w:t xml:space="preserve"> </w:t>
      </w:r>
      <w:hyperlink r:id="rId17" w:history="1">
        <w:r w:rsidR="0009061E" w:rsidRPr="00CA3E15">
          <w:rPr>
            <w:rStyle w:val="Hyperlink"/>
            <w:sz w:val="17"/>
            <w:szCs w:val="17"/>
          </w:rPr>
          <w:t>https://www.carbonbrief.org/iea-renewables-should-overtake-coal-within-five-years-to-secure-1-5c-goal/</w:t>
        </w:r>
      </w:hyperlink>
      <w:r w:rsidR="00D9162D" w:rsidRPr="00CA3E15">
        <w:rPr>
          <w:sz w:val="17"/>
          <w:szCs w:val="17"/>
        </w:rPr>
        <w:t xml:space="preserve"> </w:t>
      </w:r>
    </w:p>
  </w:footnote>
  <w:footnote w:id="21">
    <w:p w14:paraId="35C356EF" w14:textId="47FF4A52" w:rsidR="005C5C85" w:rsidRPr="00FD7936" w:rsidRDefault="00217057" w:rsidP="005C5C85">
      <w:pPr>
        <w:spacing w:before="0" w:line="240" w:lineRule="auto"/>
        <w:rPr>
          <w:sz w:val="16"/>
          <w:szCs w:val="16"/>
        </w:rPr>
      </w:pPr>
      <w:r w:rsidRPr="00CA3E15">
        <w:rPr>
          <w:rStyle w:val="FootnoteReference"/>
          <w:sz w:val="17"/>
          <w:szCs w:val="17"/>
        </w:rPr>
        <w:footnoteRef/>
      </w:r>
      <w:r w:rsidRPr="00CA3E15">
        <w:rPr>
          <w:sz w:val="17"/>
          <w:szCs w:val="17"/>
          <w:vertAlign w:val="superscript"/>
        </w:rPr>
        <w:t xml:space="preserve"> </w:t>
      </w:r>
      <w:hyperlink r:id="rId18" w:history="1">
        <w:r w:rsidR="005C5C85" w:rsidRPr="00CA3E15">
          <w:rPr>
            <w:rStyle w:val="Hyperlink"/>
            <w:sz w:val="17"/>
            <w:szCs w:val="17"/>
          </w:rPr>
          <w:t>https://www.climateworkscentre.org/resource/decarbonisation-futures-solutions-actions-and-benchmarks-for-a-net-zero-emissions-australia</w:t>
        </w:r>
        <w:r w:rsidR="005C5C85" w:rsidRPr="00CA3E15">
          <w:rPr>
            <w:rStyle w:val="Hyperlink"/>
            <w:sz w:val="17"/>
            <w:szCs w:val="17"/>
          </w:rPr>
          <w:t>/</w:t>
        </w:r>
      </w:hyperlink>
    </w:p>
  </w:footnote>
  <w:footnote w:id="22">
    <w:p w14:paraId="3F970AF4" w14:textId="1B41C635" w:rsidR="007920B8" w:rsidRPr="00CA3E15" w:rsidRDefault="007920B8" w:rsidP="005C5C85">
      <w:pPr>
        <w:spacing w:before="0" w:line="240" w:lineRule="auto"/>
        <w:rPr>
          <w:sz w:val="17"/>
          <w:szCs w:val="17"/>
        </w:rPr>
      </w:pPr>
      <w:r w:rsidRPr="00CA3E15">
        <w:rPr>
          <w:sz w:val="17"/>
          <w:szCs w:val="17"/>
          <w:vertAlign w:val="superscript"/>
        </w:rPr>
        <w:footnoteRef/>
      </w:r>
      <w:r w:rsidRPr="00CA3E15">
        <w:rPr>
          <w:sz w:val="17"/>
          <w:szCs w:val="17"/>
        </w:rPr>
        <w:t xml:space="preserve"> </w:t>
      </w:r>
      <w:hyperlink r:id="rId19">
        <w:r w:rsidRPr="00CA3E15">
          <w:rPr>
            <w:color w:val="0563C1"/>
            <w:sz w:val="17"/>
            <w:szCs w:val="17"/>
            <w:u w:val="single"/>
          </w:rPr>
          <w:t>https://www.carbonbrief.org/iea-renewables-should-overtake-coal-within-five-years-to-secure-1-5c-goal/</w:t>
        </w:r>
      </w:hyperlink>
      <w:r w:rsidR="005C5C85" w:rsidRPr="00CA3E15">
        <w:rPr>
          <w:color w:val="0563C1"/>
          <w:sz w:val="17"/>
          <w:szCs w:val="17"/>
          <w:u w:val="single"/>
        </w:rPr>
        <w:t xml:space="preserve"> </w:t>
      </w:r>
    </w:p>
  </w:footnote>
  <w:footnote w:id="23">
    <w:p w14:paraId="041E2FD5" w14:textId="67229C22" w:rsidR="00C11407" w:rsidRPr="00CA3E15" w:rsidRDefault="00C11407" w:rsidP="0033158A">
      <w:pPr>
        <w:pStyle w:val="FootnoteText"/>
        <w:rPr>
          <w:sz w:val="17"/>
          <w:szCs w:val="17"/>
        </w:rPr>
      </w:pPr>
      <w:r w:rsidRPr="00CA3E15">
        <w:rPr>
          <w:rStyle w:val="FootnoteReference"/>
          <w:sz w:val="17"/>
          <w:szCs w:val="17"/>
        </w:rPr>
        <w:footnoteRef/>
      </w:r>
      <w:r w:rsidRPr="00CA3E15">
        <w:rPr>
          <w:sz w:val="17"/>
          <w:szCs w:val="17"/>
        </w:rPr>
        <w:t xml:space="preserve"> </w:t>
      </w:r>
      <w:hyperlink r:id="rId20" w:history="1">
        <w:r w:rsidRPr="00CA3E15">
          <w:rPr>
            <w:rStyle w:val="Hyperlink"/>
            <w:sz w:val="17"/>
            <w:szCs w:val="17"/>
          </w:rPr>
          <w:t>https://www.fairfastclimateaction.org.au/climate_change_act</w:t>
        </w:r>
      </w:hyperlink>
      <w:r w:rsidRPr="00CA3E15">
        <w:rPr>
          <w:sz w:val="17"/>
          <w:szCs w:val="17"/>
        </w:rPr>
        <w:t xml:space="preserve"> </w:t>
      </w:r>
    </w:p>
  </w:footnote>
  <w:footnote w:id="24">
    <w:p w14:paraId="17F1F995" w14:textId="0401F099" w:rsidR="00D60436" w:rsidRPr="00CA3E15" w:rsidRDefault="00D60436" w:rsidP="0033158A">
      <w:pPr>
        <w:pStyle w:val="Footnotes"/>
      </w:pPr>
      <w:r w:rsidRPr="00CA3E15">
        <w:rPr>
          <w:rStyle w:val="FootnoteReference"/>
        </w:rPr>
        <w:footnoteRef/>
      </w:r>
      <w:r w:rsidRPr="00CA3E15">
        <w:t xml:space="preserve"> International Renewable Energy Agency (IRENA) 2022, </w:t>
      </w:r>
      <w:hyperlink r:id="rId21" w:history="1">
        <w:r w:rsidRPr="00CA3E15">
          <w:rPr>
            <w:rStyle w:val="Hyperlink"/>
          </w:rPr>
          <w:t>World Energy Transition Outlook 2022</w:t>
        </w:r>
      </w:hyperlink>
    </w:p>
  </w:footnote>
  <w:footnote w:id="25">
    <w:p w14:paraId="325297EA" w14:textId="6B1AF8BD" w:rsidR="00E2230B" w:rsidRPr="00CA3E15" w:rsidRDefault="00E2230B" w:rsidP="0033158A">
      <w:pPr>
        <w:pStyle w:val="Footnotes"/>
      </w:pPr>
      <w:r w:rsidRPr="00CA3E15">
        <w:rPr>
          <w:rStyle w:val="FootnoteReference"/>
        </w:rPr>
        <w:footnoteRef/>
      </w:r>
      <w:r w:rsidRPr="00CA3E15">
        <w:t xml:space="preserve"> </w:t>
      </w:r>
      <w:proofErr w:type="spellStart"/>
      <w:r w:rsidRPr="00CA3E15">
        <w:t>Northmore</w:t>
      </w:r>
      <w:proofErr w:type="spellEnd"/>
      <w:r w:rsidRPr="00CA3E15">
        <w:t xml:space="preserve"> Gordon 2023, </w:t>
      </w:r>
      <w:hyperlink r:id="rId22" w:history="1">
        <w:r w:rsidRPr="00CA3E15">
          <w:rPr>
            <w:rStyle w:val="Hyperlink"/>
          </w:rPr>
          <w:t>Energy efficiency scenario modelling</w:t>
        </w:r>
      </w:hyperlink>
    </w:p>
  </w:footnote>
  <w:footnote w:id="26">
    <w:p w14:paraId="244C8B4D" w14:textId="6E4360CE" w:rsidR="002C5049" w:rsidRPr="00CA3E15" w:rsidRDefault="002C5049" w:rsidP="00CA3E15">
      <w:pPr>
        <w:pStyle w:val="Default"/>
        <w:spacing w:before="0" w:line="240" w:lineRule="auto"/>
        <w:rPr>
          <w:rFonts w:ascii="Verdana" w:hAnsi="Verdana" w:cs="Verdana"/>
          <w:sz w:val="17"/>
          <w:szCs w:val="17"/>
        </w:rPr>
      </w:pPr>
      <w:r w:rsidRPr="00CA3E15">
        <w:rPr>
          <w:rStyle w:val="FootnoteReference"/>
          <w:rFonts w:ascii="Verdana" w:hAnsi="Verdana"/>
          <w:sz w:val="17"/>
          <w:szCs w:val="17"/>
        </w:rPr>
        <w:footnoteRef/>
      </w:r>
      <w:r w:rsidRPr="00CA3E15">
        <w:rPr>
          <w:rFonts w:ascii="Verdana" w:hAnsi="Verdana"/>
          <w:sz w:val="17"/>
          <w:szCs w:val="17"/>
        </w:rPr>
        <w:t xml:space="preserve"> </w:t>
      </w:r>
      <w:r w:rsidRPr="00CA3E15">
        <w:rPr>
          <w:rFonts w:ascii="Verdana" w:hAnsi="Verdana" w:cstheme="minorBidi"/>
          <w:sz w:val="17"/>
          <w:szCs w:val="17"/>
        </w:rPr>
        <w:t xml:space="preserve">Boue C (2017), </w:t>
      </w:r>
      <w:r w:rsidRPr="00CA3E15">
        <w:rPr>
          <w:rFonts w:ascii="Verdana" w:hAnsi="Verdana"/>
          <w:i/>
          <w:iCs/>
          <w:sz w:val="17"/>
          <w:szCs w:val="17"/>
        </w:rPr>
        <w:t xml:space="preserve">Upstream petroleum taxation in Australia in comparative perspective. </w:t>
      </w:r>
      <w:r w:rsidRPr="00CA3E15">
        <w:rPr>
          <w:rFonts w:ascii="Verdana" w:hAnsi="Verdana"/>
          <w:sz w:val="17"/>
          <w:szCs w:val="17"/>
        </w:rPr>
        <w:t xml:space="preserve">submission to Senate Inquiry into corporate tax avoidance. Oxford Energy Institute. Taxes and royalties for hydrocarbons contribute over$40 billion a year to public revenue in Qatar and one quarter of public revenue in Norway (Burke P 2023, </w:t>
      </w:r>
      <w:r w:rsidRPr="00CA3E15">
        <w:rPr>
          <w:rFonts w:ascii="Verdana" w:hAnsi="Verdana"/>
          <w:i/>
          <w:iCs/>
          <w:sz w:val="17"/>
          <w:szCs w:val="17"/>
        </w:rPr>
        <w:t>On the way out: Government revenues from fossil fuels in Australia</w:t>
      </w:r>
      <w:r w:rsidRPr="00CA3E15">
        <w:rPr>
          <w:rFonts w:ascii="Verdana" w:hAnsi="Verdana"/>
          <w:sz w:val="17"/>
          <w:szCs w:val="17"/>
        </w:rPr>
        <w:t xml:space="preserve">, TTPI Working Paper 16/2022 December 2022). </w:t>
      </w:r>
      <w:r w:rsidRPr="00CA3E15">
        <w:rPr>
          <w:rFonts w:ascii="Verdana" w:hAnsi="Verdana" w:cstheme="minorBidi"/>
          <w:sz w:val="17"/>
          <w:szCs w:val="17"/>
        </w:rPr>
        <w:t xml:space="preserve"> </w:t>
      </w:r>
    </w:p>
  </w:footnote>
  <w:footnote w:id="27">
    <w:p w14:paraId="20620A0B" w14:textId="18138647" w:rsidR="00AF5B01" w:rsidRPr="00FF2C6C" w:rsidRDefault="00AF5B01" w:rsidP="0033158A">
      <w:pPr>
        <w:pStyle w:val="Footnotes"/>
        <w:rPr>
          <w:szCs w:val="16"/>
        </w:rPr>
      </w:pPr>
      <w:r w:rsidRPr="00FF2C6C">
        <w:rPr>
          <w:rStyle w:val="FootnoteReference"/>
          <w:szCs w:val="16"/>
        </w:rPr>
        <w:footnoteRef/>
      </w:r>
      <w:hyperlink r:id="rId23" w:history="1">
        <w:r w:rsidR="00EF1941" w:rsidRPr="008F4CCE">
          <w:rPr>
            <w:rStyle w:val="Hyperlink"/>
            <w:szCs w:val="16"/>
          </w:rPr>
          <w:t>https://www.climatecouncil.org.au/wp-content/uploads/2023/04/CC_MVSA0353-CC-Report-Two-for-One-Home-Energy-Efficiency_V5.2-FA-Screen-Single.pdf</w:t>
        </w:r>
      </w:hyperlink>
      <w:r w:rsidRPr="00FF2C6C">
        <w:rPr>
          <w:szCs w:val="16"/>
        </w:rPr>
        <w:t xml:space="preserve"> </w:t>
      </w:r>
    </w:p>
  </w:footnote>
  <w:footnote w:id="28">
    <w:p w14:paraId="6B708A32" w14:textId="00FC0EA3" w:rsidR="00AF09D5" w:rsidRPr="006119DF" w:rsidRDefault="00AF09D5" w:rsidP="0033158A">
      <w:pPr>
        <w:pStyle w:val="Footnotes"/>
        <w:rPr>
          <w:szCs w:val="16"/>
        </w:rPr>
      </w:pPr>
      <w:r w:rsidRPr="006119DF">
        <w:rPr>
          <w:rStyle w:val="FootnoteReference"/>
          <w:szCs w:val="16"/>
        </w:rPr>
        <w:footnoteRef/>
      </w:r>
      <w:hyperlink r:id="rId24" w:history="1">
        <w:r w:rsidR="00EF1941" w:rsidRPr="008F4CCE">
          <w:rPr>
            <w:rStyle w:val="Hyperlink"/>
            <w:szCs w:val="16"/>
          </w:rPr>
          <w:t>https://www.climatecouncil.org.au/wp-content/uploads/2021/05/Kicking-the-Gas-Habit-How-Gas-is-Harming-our-Health.pdf</w:t>
        </w:r>
      </w:hyperlink>
      <w:r w:rsidRPr="006119DF">
        <w:rPr>
          <w:szCs w:val="16"/>
        </w:rPr>
        <w:t xml:space="preserve"> </w:t>
      </w:r>
    </w:p>
  </w:footnote>
  <w:footnote w:id="29">
    <w:p w14:paraId="25E1FBF5" w14:textId="77777777" w:rsidR="00593B54" w:rsidRDefault="00593B54" w:rsidP="005C5C85">
      <w:pPr>
        <w:pStyle w:val="Footnotes"/>
      </w:pPr>
      <w:r>
        <w:rPr>
          <w:rStyle w:val="FootnoteReference"/>
        </w:rPr>
        <w:footnoteRef/>
      </w:r>
      <w:r>
        <w:t xml:space="preserve"> </w:t>
      </w:r>
      <w:hyperlink r:id="rId25" w:history="1">
        <w:r w:rsidRPr="000119BB">
          <w:rPr>
            <w:rStyle w:val="Hyperlink"/>
          </w:rPr>
          <w:t>https://www.climateworkscentre.org/project/renovation-pathways/</w:t>
        </w:r>
      </w:hyperlink>
      <w:r>
        <w:t xml:space="preserve"> </w:t>
      </w:r>
    </w:p>
  </w:footnote>
  <w:footnote w:id="30">
    <w:p w14:paraId="4B88408F" w14:textId="080BF267" w:rsidR="002F2CBE" w:rsidRDefault="002F2CBE" w:rsidP="005C5C85">
      <w:pPr>
        <w:pStyle w:val="FootnoteText"/>
        <w:spacing w:before="0" w:line="240" w:lineRule="auto"/>
      </w:pPr>
      <w:r>
        <w:rPr>
          <w:rStyle w:val="FootnoteReference"/>
        </w:rPr>
        <w:footnoteRef/>
      </w:r>
      <w:r>
        <w:t xml:space="preserve"> </w:t>
      </w:r>
      <w:hyperlink r:id="rId26" w:history="1">
        <w:r w:rsidRPr="00E22420">
          <w:rPr>
            <w:rStyle w:val="Hyperlink"/>
          </w:rPr>
          <w:t>https://www.acoss.org.au/wp-content/uploads/2024/02/ACOSS-Report-Funding-and-Financing-Low-income-retrofits-January-2024-.pdf</w:t>
        </w:r>
      </w:hyperlink>
      <w:r>
        <w:t xml:space="preserve"> </w:t>
      </w:r>
    </w:p>
  </w:footnote>
  <w:footnote w:id="31">
    <w:p w14:paraId="68971240" w14:textId="77777777" w:rsidR="00554AC4" w:rsidRPr="00CA3E15" w:rsidRDefault="00554AC4" w:rsidP="00554AC4">
      <w:pPr>
        <w:pStyle w:val="NoSpacing"/>
        <w:rPr>
          <w:sz w:val="17"/>
          <w:szCs w:val="17"/>
        </w:rPr>
      </w:pPr>
      <w:r w:rsidRPr="00CA3E15">
        <w:rPr>
          <w:sz w:val="17"/>
          <w:szCs w:val="17"/>
          <w:vertAlign w:val="superscript"/>
        </w:rPr>
        <w:footnoteRef/>
      </w:r>
      <w:r w:rsidRPr="00CA3E15">
        <w:rPr>
          <w:sz w:val="17"/>
          <w:szCs w:val="17"/>
        </w:rPr>
        <w:t xml:space="preserve"> </w:t>
      </w:r>
      <w:hyperlink r:id="rId27">
        <w:r w:rsidRPr="00CA3E15">
          <w:rPr>
            <w:color w:val="1155CC"/>
            <w:sz w:val="17"/>
            <w:szCs w:val="17"/>
            <w:u w:val="single"/>
          </w:rPr>
          <w:t>https://www.healthyhomes.org.au/news/community-sector-blueprint</w:t>
        </w:r>
      </w:hyperlink>
      <w:r w:rsidRPr="00CA3E15">
        <w:rPr>
          <w:sz w:val="17"/>
          <w:szCs w:val="17"/>
        </w:rPr>
        <w:t xml:space="preserve"> </w:t>
      </w:r>
    </w:p>
  </w:footnote>
  <w:footnote w:id="32">
    <w:p w14:paraId="49A04662" w14:textId="77777777" w:rsidR="0051124C" w:rsidRPr="005C5C85" w:rsidRDefault="0051124C" w:rsidP="005C5C85">
      <w:pPr>
        <w:pStyle w:val="FootnoteText"/>
        <w:spacing w:before="0" w:line="240" w:lineRule="auto"/>
        <w:rPr>
          <w:sz w:val="17"/>
          <w:szCs w:val="17"/>
        </w:rPr>
      </w:pPr>
      <w:r w:rsidRPr="005C5C85">
        <w:rPr>
          <w:rStyle w:val="FootnoteReference"/>
          <w:sz w:val="17"/>
          <w:szCs w:val="17"/>
        </w:rPr>
        <w:footnoteRef/>
      </w:r>
      <w:r w:rsidRPr="005C5C85">
        <w:rPr>
          <w:sz w:val="17"/>
          <w:szCs w:val="17"/>
        </w:rPr>
        <w:t xml:space="preserve"> IEEFA (2023) Submission to Future Gas Strategy Consultation.</w:t>
      </w:r>
    </w:p>
  </w:footnote>
  <w:footnote w:id="33">
    <w:p w14:paraId="24B8FFD6" w14:textId="77777777" w:rsidR="0051124C" w:rsidRPr="005C5C85" w:rsidRDefault="0051124C" w:rsidP="005C5C85">
      <w:pPr>
        <w:pStyle w:val="FootnoteText"/>
        <w:spacing w:before="0" w:line="240" w:lineRule="auto"/>
        <w:rPr>
          <w:sz w:val="17"/>
          <w:szCs w:val="17"/>
        </w:rPr>
      </w:pPr>
      <w:r w:rsidRPr="005C5C85">
        <w:rPr>
          <w:rStyle w:val="FootnoteReference"/>
          <w:sz w:val="17"/>
          <w:szCs w:val="17"/>
        </w:rPr>
        <w:footnoteRef/>
      </w:r>
      <w:r w:rsidRPr="005C5C85">
        <w:rPr>
          <w:sz w:val="17"/>
          <w:szCs w:val="17"/>
        </w:rPr>
        <w:t xml:space="preserve"> Australian Hydrogen Centre. Summary report – for renewable hydrogen in existing Victorian and South Australian gas networks. November 2023. Page 18.  </w:t>
      </w:r>
    </w:p>
  </w:footnote>
  <w:footnote w:id="34">
    <w:p w14:paraId="683B6D3C" w14:textId="77777777" w:rsidR="0051124C" w:rsidRPr="005C5C85" w:rsidRDefault="0051124C" w:rsidP="005C5C85">
      <w:pPr>
        <w:pStyle w:val="FootnoteText"/>
        <w:spacing w:before="0" w:line="240" w:lineRule="auto"/>
        <w:rPr>
          <w:sz w:val="17"/>
          <w:szCs w:val="17"/>
        </w:rPr>
      </w:pPr>
      <w:r w:rsidRPr="005C5C85">
        <w:rPr>
          <w:rStyle w:val="FootnoteReference"/>
          <w:sz w:val="17"/>
          <w:szCs w:val="17"/>
        </w:rPr>
        <w:footnoteRef/>
      </w:r>
      <w:r w:rsidRPr="005C5C85">
        <w:rPr>
          <w:sz w:val="17"/>
          <w:szCs w:val="17"/>
        </w:rPr>
        <w:t xml:space="preserve"> https://www.climatecouncil.org.au/resources/biogas-green-gas-renewable-gas/</w:t>
      </w:r>
    </w:p>
  </w:footnote>
  <w:footnote w:id="35">
    <w:p w14:paraId="5CA0691F" w14:textId="77777777" w:rsidR="00463B3E" w:rsidRPr="005C5C85" w:rsidRDefault="00463B3E" w:rsidP="005C5C85">
      <w:pPr>
        <w:pStyle w:val="FootnoteText"/>
        <w:spacing w:before="0" w:line="240" w:lineRule="auto"/>
        <w:rPr>
          <w:sz w:val="17"/>
          <w:szCs w:val="17"/>
        </w:rPr>
      </w:pPr>
      <w:r w:rsidRPr="005C5C85">
        <w:rPr>
          <w:rStyle w:val="FootnoteReference"/>
          <w:sz w:val="17"/>
          <w:szCs w:val="17"/>
        </w:rPr>
        <w:footnoteRef/>
      </w:r>
      <w:r w:rsidRPr="005C5C85">
        <w:rPr>
          <w:sz w:val="17"/>
          <w:szCs w:val="17"/>
        </w:rPr>
        <w:t xml:space="preserve"> </w:t>
      </w:r>
      <w:hyperlink r:id="rId28" w:history="1">
        <w:r w:rsidRPr="005C5C85">
          <w:rPr>
            <w:rStyle w:val="Hyperlink"/>
            <w:sz w:val="17"/>
            <w:szCs w:val="17"/>
          </w:rPr>
          <w:t>https://www.monash.edu/__data/assets/pdf_file/0005/3433550/Switching-On_Benefits-of-household-electrification-in-Australia_report.pdf</w:t>
        </w:r>
      </w:hyperlink>
    </w:p>
  </w:footnote>
  <w:footnote w:id="36">
    <w:p w14:paraId="10EDBF74" w14:textId="0F0C4EDD" w:rsidR="00463B3E" w:rsidRPr="005C5C85" w:rsidRDefault="00463B3E" w:rsidP="005C5C85">
      <w:pPr>
        <w:pStyle w:val="FootnoteText"/>
        <w:spacing w:before="0" w:line="240" w:lineRule="auto"/>
        <w:rPr>
          <w:sz w:val="17"/>
          <w:szCs w:val="17"/>
        </w:rPr>
      </w:pPr>
      <w:r w:rsidRPr="00CA3E15">
        <w:rPr>
          <w:rStyle w:val="FootnoteReference"/>
          <w:sz w:val="17"/>
          <w:szCs w:val="17"/>
        </w:rPr>
        <w:footnoteRef/>
      </w:r>
      <w:r w:rsidRPr="00CA3E15">
        <w:rPr>
          <w:sz w:val="17"/>
          <w:szCs w:val="17"/>
        </w:rPr>
        <w:t xml:space="preserve"> </w:t>
      </w:r>
      <w:hyperlink r:id="rId29" w:history="1">
        <w:r w:rsidR="00CA3E15" w:rsidRPr="00CA3E15">
          <w:rPr>
            <w:rStyle w:val="Hyperlink"/>
            <w:sz w:val="17"/>
            <w:szCs w:val="17"/>
          </w:rPr>
          <w:t>https://energyconsumersaustralia.com.au/wp-content/uploads/Stepping-Up-Report-Final.pdf</w:t>
        </w:r>
      </w:hyperlink>
      <w:r w:rsidR="00CA3E15">
        <w:rPr>
          <w:sz w:val="17"/>
          <w:szCs w:val="17"/>
        </w:rPr>
        <w:t xml:space="preserve"> </w:t>
      </w:r>
    </w:p>
  </w:footnote>
  <w:footnote w:id="37">
    <w:p w14:paraId="631A3910" w14:textId="77777777" w:rsidR="00E21FE6" w:rsidRPr="005C5C85" w:rsidRDefault="00E21FE6" w:rsidP="005C5C85">
      <w:pPr>
        <w:pStyle w:val="FootnoteText"/>
        <w:spacing w:before="0" w:line="240" w:lineRule="auto"/>
        <w:rPr>
          <w:sz w:val="17"/>
          <w:szCs w:val="17"/>
        </w:rPr>
      </w:pPr>
      <w:r w:rsidRPr="005C5C85">
        <w:rPr>
          <w:rStyle w:val="FootnoteReference"/>
          <w:sz w:val="17"/>
          <w:szCs w:val="17"/>
        </w:rPr>
        <w:footnoteRef/>
      </w:r>
      <w:r w:rsidRPr="005C5C85">
        <w:rPr>
          <w:sz w:val="17"/>
          <w:szCs w:val="17"/>
        </w:rPr>
        <w:t xml:space="preserve"> CSIRO. Consumer impacts of the energy transition: modelling report. July 2023. Page 19.  </w:t>
      </w:r>
    </w:p>
  </w:footnote>
  <w:footnote w:id="38">
    <w:p w14:paraId="2EF0A1A0" w14:textId="77777777" w:rsidR="000051B7" w:rsidRPr="00CA3E15" w:rsidRDefault="000051B7" w:rsidP="00403949">
      <w:pPr>
        <w:pStyle w:val="FootnoteText"/>
        <w:spacing w:before="0" w:line="240" w:lineRule="auto"/>
        <w:rPr>
          <w:sz w:val="17"/>
          <w:szCs w:val="17"/>
        </w:rPr>
      </w:pPr>
      <w:r w:rsidRPr="00CA3E15">
        <w:rPr>
          <w:rStyle w:val="FootnoteReference"/>
          <w:sz w:val="17"/>
          <w:szCs w:val="17"/>
        </w:rPr>
        <w:footnoteRef/>
      </w:r>
      <w:r w:rsidRPr="00CA3E15">
        <w:rPr>
          <w:sz w:val="17"/>
          <w:szCs w:val="17"/>
        </w:rPr>
        <w:t xml:space="preserve"> ACCC (2018) Restoring Electricity Affordability and Australia’s Competitive Advantage, Retail Electricity Pricing Enquiry, Final Report.</w:t>
      </w:r>
    </w:p>
  </w:footnote>
  <w:footnote w:id="39">
    <w:p w14:paraId="60753A7C" w14:textId="77777777" w:rsidR="000051B7" w:rsidRPr="00CA3E15" w:rsidRDefault="000051B7" w:rsidP="00403949">
      <w:pPr>
        <w:spacing w:before="0" w:line="240" w:lineRule="auto"/>
        <w:rPr>
          <w:sz w:val="17"/>
          <w:szCs w:val="17"/>
        </w:rPr>
      </w:pPr>
      <w:r w:rsidRPr="00CA3E15">
        <w:rPr>
          <w:rStyle w:val="FootnoteReference"/>
          <w:sz w:val="17"/>
          <w:szCs w:val="17"/>
        </w:rPr>
        <w:footnoteRef/>
      </w:r>
      <w:r w:rsidRPr="00CA3E15">
        <w:rPr>
          <w:sz w:val="17"/>
          <w:szCs w:val="17"/>
        </w:rPr>
        <w:t xml:space="preserve"> </w:t>
      </w:r>
      <w:hyperlink r:id="rId30">
        <w:r w:rsidRPr="00CA3E15">
          <w:rPr>
            <w:rStyle w:val="Hyperlink"/>
            <w:rFonts w:eastAsia="Calibri" w:cs="Calibri"/>
            <w:sz w:val="17"/>
            <w:szCs w:val="17"/>
          </w:rPr>
          <w:t>https://www.aemc.gov.au/sites/default/files/content/006ad951-7c42-4058-9724-51fe114cabb6/2017-AEMC-Retail-Energy-Competition-Review-FINAL.pdf</w:t>
        </w:r>
      </w:hyperlink>
    </w:p>
  </w:footnote>
  <w:footnote w:id="40">
    <w:p w14:paraId="0C518C34" w14:textId="77777777" w:rsidR="000051B7" w:rsidRPr="00CA3E15" w:rsidRDefault="000051B7" w:rsidP="00403949">
      <w:pPr>
        <w:pStyle w:val="FootnoteText"/>
        <w:spacing w:before="0" w:line="240" w:lineRule="auto"/>
        <w:rPr>
          <w:sz w:val="17"/>
          <w:szCs w:val="17"/>
        </w:rPr>
      </w:pPr>
      <w:r w:rsidRPr="00CA3E15">
        <w:rPr>
          <w:rStyle w:val="FootnoteReference"/>
          <w:sz w:val="17"/>
          <w:szCs w:val="17"/>
        </w:rPr>
        <w:footnoteRef/>
      </w:r>
      <w:r w:rsidRPr="00CA3E15">
        <w:rPr>
          <w:sz w:val="17"/>
          <w:szCs w:val="17"/>
        </w:rPr>
        <w:t xml:space="preserve"> See community sector 2022 report Reforming Electricity Concessions to Better Meet Need </w:t>
      </w:r>
      <w:hyperlink r:id="rId31">
        <w:r w:rsidRPr="00CA3E15">
          <w:rPr>
            <w:rStyle w:val="Hyperlink"/>
            <w:sz w:val="17"/>
            <w:szCs w:val="17"/>
          </w:rPr>
          <w:t>https://www.acoss.org.au/wp-content/uploads/2023/09/Reforming-electricity-concessions-to-better-meet-need-Summary-Report-Final.pdf</w:t>
        </w:r>
      </w:hyperlink>
      <w:r w:rsidRPr="00CA3E15">
        <w:rPr>
          <w:sz w:val="17"/>
          <w:szCs w:val="17"/>
        </w:rPr>
        <w:t xml:space="preserve"> </w:t>
      </w:r>
    </w:p>
  </w:footnote>
  <w:footnote w:id="41">
    <w:p w14:paraId="2F7C629C" w14:textId="77777777" w:rsidR="000051B7" w:rsidRPr="00CA3E15" w:rsidRDefault="000051B7" w:rsidP="00403949">
      <w:pPr>
        <w:pStyle w:val="FootnoteText"/>
        <w:spacing w:before="0" w:line="240" w:lineRule="auto"/>
        <w:rPr>
          <w:sz w:val="17"/>
          <w:szCs w:val="17"/>
        </w:rPr>
      </w:pPr>
      <w:r w:rsidRPr="00CA3E15">
        <w:rPr>
          <w:rStyle w:val="FootnoteReference"/>
          <w:sz w:val="17"/>
          <w:szCs w:val="17"/>
        </w:rPr>
        <w:footnoteRef/>
      </w:r>
      <w:r w:rsidRPr="00CA3E15">
        <w:rPr>
          <w:sz w:val="17"/>
          <w:szCs w:val="17"/>
        </w:rPr>
        <w:t xml:space="preserve"> CPRC (2022) </w:t>
      </w:r>
      <w:hyperlink r:id="rId32">
        <w:r w:rsidRPr="00CA3E15">
          <w:rPr>
            <w:rStyle w:val="Hyperlink"/>
            <w:sz w:val="17"/>
            <w:szCs w:val="17"/>
          </w:rPr>
          <w:t>Mind the Gap: identifying the gap between energy concessions eligibility and concessions received.</w:t>
        </w:r>
      </w:hyperlink>
      <w:r w:rsidRPr="00CA3E15">
        <w:rPr>
          <w:sz w:val="17"/>
          <w:szCs w:val="17"/>
        </w:rPr>
        <w:t xml:space="preserve"> Estimate between 7 and 38% of people, depending on jurisdiction, are eligible by not getting an energy concession.</w:t>
      </w:r>
    </w:p>
  </w:footnote>
  <w:footnote w:id="42">
    <w:p w14:paraId="51DFCB98" w14:textId="77777777" w:rsidR="000051B7" w:rsidRPr="00CA3E15" w:rsidRDefault="000051B7" w:rsidP="00403949">
      <w:pPr>
        <w:pStyle w:val="FootnoteText"/>
        <w:spacing w:before="0" w:line="240" w:lineRule="auto"/>
        <w:rPr>
          <w:sz w:val="17"/>
          <w:szCs w:val="17"/>
        </w:rPr>
      </w:pPr>
      <w:r w:rsidRPr="00CA3E15">
        <w:rPr>
          <w:rStyle w:val="FootnoteReference"/>
          <w:sz w:val="17"/>
          <w:szCs w:val="17"/>
        </w:rPr>
        <w:footnoteRef/>
      </w:r>
      <w:r w:rsidRPr="00CA3E15">
        <w:rPr>
          <w:sz w:val="17"/>
          <w:szCs w:val="17"/>
        </w:rPr>
        <w:t xml:space="preserve"> For example, First Nations people on jobseeker in the Northern Territory are not eligible for energy concessions.</w:t>
      </w:r>
    </w:p>
  </w:footnote>
  <w:footnote w:id="43">
    <w:p w14:paraId="119266A8" w14:textId="77777777" w:rsidR="000051B7" w:rsidRPr="00CA3E15" w:rsidRDefault="000051B7" w:rsidP="00403949">
      <w:pPr>
        <w:pStyle w:val="FootnoteText"/>
        <w:spacing w:before="0" w:line="240" w:lineRule="auto"/>
        <w:rPr>
          <w:sz w:val="17"/>
          <w:szCs w:val="17"/>
        </w:rPr>
      </w:pPr>
      <w:r w:rsidRPr="00CA3E15">
        <w:rPr>
          <w:rStyle w:val="FootnoteReference"/>
          <w:sz w:val="17"/>
          <w:szCs w:val="17"/>
        </w:rPr>
        <w:footnoteRef/>
      </w:r>
      <w:r w:rsidRPr="00CA3E15">
        <w:rPr>
          <w:sz w:val="17"/>
          <w:szCs w:val="17"/>
        </w:rPr>
        <w:t xml:space="preserve"> Ibid.</w:t>
      </w:r>
    </w:p>
  </w:footnote>
  <w:footnote w:id="44">
    <w:p w14:paraId="3878E5BE" w14:textId="77777777" w:rsidR="000051B7" w:rsidRPr="00CA3E15" w:rsidRDefault="000051B7" w:rsidP="00403949">
      <w:pPr>
        <w:pStyle w:val="FootnoteText"/>
        <w:spacing w:before="0" w:line="240" w:lineRule="auto"/>
        <w:rPr>
          <w:sz w:val="17"/>
          <w:szCs w:val="17"/>
        </w:rPr>
      </w:pPr>
      <w:r w:rsidRPr="00CA3E15">
        <w:rPr>
          <w:rStyle w:val="FootnoteReference"/>
          <w:sz w:val="17"/>
          <w:szCs w:val="17"/>
        </w:rPr>
        <w:footnoteRef/>
      </w:r>
      <w:r w:rsidRPr="00CA3E15">
        <w:rPr>
          <w:sz w:val="17"/>
          <w:szCs w:val="17"/>
        </w:rPr>
        <w:t xml:space="preserve"> ACCC (2018) Restoring Electricity Affordability and Australia’s Competitive Advantage, Retail Electricity Pricing Enquiry, Final Report.</w:t>
      </w:r>
    </w:p>
  </w:footnote>
  <w:footnote w:id="45">
    <w:p w14:paraId="11127208" w14:textId="77777777" w:rsidR="000051B7" w:rsidRPr="00CA3E15" w:rsidRDefault="000051B7" w:rsidP="00CA3E15">
      <w:pPr>
        <w:pStyle w:val="FootnoteText"/>
        <w:spacing w:before="0" w:line="240" w:lineRule="auto"/>
        <w:rPr>
          <w:sz w:val="17"/>
          <w:szCs w:val="17"/>
        </w:rPr>
      </w:pPr>
      <w:r w:rsidRPr="00CA3E15">
        <w:rPr>
          <w:rStyle w:val="FootnoteReference"/>
          <w:sz w:val="17"/>
          <w:szCs w:val="17"/>
        </w:rPr>
        <w:footnoteRef/>
      </w:r>
      <w:r w:rsidRPr="00CA3E15">
        <w:rPr>
          <w:sz w:val="17"/>
          <w:szCs w:val="17"/>
        </w:rPr>
        <w:t xml:space="preserve"> </w:t>
      </w:r>
      <w:hyperlink r:id="rId33">
        <w:r w:rsidRPr="00CA3E15">
          <w:rPr>
            <w:rStyle w:val="Hyperlink"/>
            <w:sz w:val="17"/>
            <w:szCs w:val="17"/>
          </w:rPr>
          <w:t>https://piac.asn.au/wp-content/uploads/2022/11/22-30-11-Submission-to-AER-DMO-issues-paper-2023-24.pdf</w:t>
        </w:r>
      </w:hyperlink>
      <w:r w:rsidRPr="00CA3E15">
        <w:rPr>
          <w:sz w:val="17"/>
          <w:szCs w:val="17"/>
        </w:rPr>
        <w:t xml:space="preserve"> </w:t>
      </w:r>
    </w:p>
  </w:footnote>
  <w:footnote w:id="46">
    <w:p w14:paraId="0BAD65BD" w14:textId="77777777" w:rsidR="000051B7" w:rsidRPr="00CA3E15" w:rsidRDefault="000051B7" w:rsidP="0033158A">
      <w:pPr>
        <w:pStyle w:val="FootnoteText"/>
        <w:rPr>
          <w:sz w:val="17"/>
          <w:szCs w:val="17"/>
        </w:rPr>
      </w:pPr>
      <w:r w:rsidRPr="00CA3E15">
        <w:rPr>
          <w:rStyle w:val="FootnoteReference"/>
          <w:sz w:val="17"/>
          <w:szCs w:val="17"/>
        </w:rPr>
        <w:footnoteRef/>
      </w:r>
      <w:r w:rsidRPr="00CA3E15">
        <w:rPr>
          <w:sz w:val="17"/>
          <w:szCs w:val="17"/>
        </w:rPr>
        <w:t xml:space="preserve"> </w:t>
      </w:r>
      <w:hyperlink r:id="rId34">
        <w:r w:rsidRPr="00CA3E15">
          <w:rPr>
            <w:rStyle w:val="Hyperlink"/>
            <w:sz w:val="17"/>
            <w:szCs w:val="17"/>
          </w:rPr>
          <w:t>https://www.aer.gov.au/system/files/State%20of%20the%20energy%20market%202023%20-%20Full%20report.pdf</w:t>
        </w:r>
      </w:hyperlink>
    </w:p>
  </w:footnote>
  <w:footnote w:id="47">
    <w:p w14:paraId="79F02411" w14:textId="61F30D53" w:rsidR="00337DF5" w:rsidRPr="00CA3E15" w:rsidRDefault="00337DF5" w:rsidP="00CA3E15">
      <w:pPr>
        <w:autoSpaceDE w:val="0"/>
        <w:autoSpaceDN w:val="0"/>
        <w:adjustRightInd w:val="0"/>
        <w:spacing w:before="0" w:line="240" w:lineRule="auto"/>
        <w:rPr>
          <w:rFonts w:eastAsiaTheme="minorHAnsi" w:cstheme="minorBidi"/>
          <w:sz w:val="17"/>
          <w:szCs w:val="17"/>
          <w:lang w:eastAsia="en-US"/>
        </w:rPr>
      </w:pPr>
      <w:r w:rsidRPr="00CA3E15">
        <w:rPr>
          <w:rStyle w:val="FootnoteReference"/>
          <w:sz w:val="17"/>
          <w:szCs w:val="17"/>
        </w:rPr>
        <w:footnoteRef/>
      </w:r>
      <w:r w:rsidRPr="00CA3E15">
        <w:rPr>
          <w:sz w:val="17"/>
          <w:szCs w:val="17"/>
        </w:rPr>
        <w:t xml:space="preserve"> </w:t>
      </w:r>
      <w:r w:rsidRPr="00CA3E15">
        <w:rPr>
          <w:rFonts w:eastAsiaTheme="minorHAnsi" w:cstheme="minorBidi"/>
          <w:color w:val="000000"/>
          <w:sz w:val="17"/>
          <w:szCs w:val="17"/>
          <w:lang w:eastAsia="en-US"/>
        </w:rPr>
        <w:t xml:space="preserve">14 Best. R, </w:t>
      </w:r>
      <w:proofErr w:type="spellStart"/>
      <w:r w:rsidRPr="00CA3E15">
        <w:rPr>
          <w:rFonts w:eastAsiaTheme="minorHAnsi" w:cstheme="minorBidi"/>
          <w:color w:val="000000"/>
          <w:sz w:val="17"/>
          <w:szCs w:val="17"/>
          <w:lang w:eastAsia="en-US"/>
        </w:rPr>
        <w:t>Chareunsy</w:t>
      </w:r>
      <w:proofErr w:type="spellEnd"/>
      <w:r w:rsidRPr="00CA3E15">
        <w:rPr>
          <w:rFonts w:eastAsiaTheme="minorHAnsi" w:cstheme="minorBidi"/>
          <w:color w:val="000000"/>
          <w:sz w:val="17"/>
          <w:szCs w:val="17"/>
          <w:lang w:eastAsia="en-US"/>
        </w:rPr>
        <w:t xml:space="preserve">. A, and Li. H, (2021), “Equity and effectiveness of Australian small-scale solar schemes”, </w:t>
      </w:r>
      <w:r w:rsidRPr="00CA3E15">
        <w:rPr>
          <w:rFonts w:eastAsiaTheme="minorHAnsi"/>
          <w:color w:val="0562C1"/>
          <w:sz w:val="17"/>
          <w:szCs w:val="17"/>
          <w:lang w:eastAsia="en-US"/>
        </w:rPr>
        <w:t xml:space="preserve">http://tinyurl.com/57nz56fw </w:t>
      </w:r>
    </w:p>
  </w:footnote>
  <w:footnote w:id="48">
    <w:p w14:paraId="0E48C574" w14:textId="3A9175A3" w:rsidR="008D2F9F" w:rsidRPr="00CA3E15" w:rsidRDefault="008D2F9F" w:rsidP="00CA3E15">
      <w:pPr>
        <w:spacing w:before="0" w:line="240" w:lineRule="auto"/>
        <w:rPr>
          <w:sz w:val="17"/>
          <w:szCs w:val="17"/>
        </w:rPr>
      </w:pPr>
      <w:r w:rsidRPr="00CA3E15">
        <w:rPr>
          <w:rStyle w:val="FootnoteReference"/>
          <w:sz w:val="17"/>
          <w:szCs w:val="17"/>
        </w:rPr>
        <w:footnoteRef/>
      </w:r>
      <w:r w:rsidRPr="00CA3E15">
        <w:rPr>
          <w:sz w:val="17"/>
          <w:szCs w:val="17"/>
        </w:rPr>
        <w:t xml:space="preserve"> </w:t>
      </w:r>
      <w:r w:rsidR="00F17A08" w:rsidRPr="00CA3E15">
        <w:rPr>
          <w:sz w:val="17"/>
          <w:szCs w:val="17"/>
        </w:rPr>
        <w:t xml:space="preserve">Australian Consumer and Competition Commission (2018), Restoring electricity affordability and Australia’s competitive advantage Australian Government, Canberra. Recommendation 24. Available: </w:t>
      </w:r>
      <w:hyperlink r:id="rId35" w:history="1">
        <w:r w:rsidR="00F17A08" w:rsidRPr="00CA3E15">
          <w:rPr>
            <w:rStyle w:val="Hyperlink"/>
            <w:sz w:val="17"/>
            <w:szCs w:val="17"/>
          </w:rPr>
          <w:t>http://tinyurl.com/29udfa7e</w:t>
        </w:r>
      </w:hyperlink>
      <w:r w:rsidR="00F17A08" w:rsidRPr="00CA3E15">
        <w:rPr>
          <w:sz w:val="17"/>
          <w:szCs w:val="17"/>
        </w:rPr>
        <w:t xml:space="preserve"> </w:t>
      </w:r>
    </w:p>
  </w:footnote>
  <w:footnote w:id="49">
    <w:p w14:paraId="5B03CCF4" w14:textId="2E7DC154" w:rsidR="005430AF" w:rsidRPr="00CA3E15" w:rsidRDefault="005430AF" w:rsidP="00CA3E15">
      <w:pPr>
        <w:pStyle w:val="FootnoteText"/>
        <w:spacing w:before="0" w:line="240" w:lineRule="auto"/>
        <w:rPr>
          <w:sz w:val="17"/>
          <w:szCs w:val="17"/>
        </w:rPr>
      </w:pPr>
      <w:r w:rsidRPr="00CA3E15">
        <w:rPr>
          <w:rStyle w:val="FootnoteReference"/>
          <w:sz w:val="17"/>
          <w:szCs w:val="17"/>
        </w:rPr>
        <w:footnoteRef/>
      </w:r>
      <w:r w:rsidRPr="00CA3E15">
        <w:rPr>
          <w:sz w:val="17"/>
          <w:szCs w:val="17"/>
        </w:rPr>
        <w:t xml:space="preserve"> </w:t>
      </w:r>
      <w:hyperlink r:id="rId36" w:history="1">
        <w:r w:rsidR="00ED6664" w:rsidRPr="00CA3E15">
          <w:rPr>
            <w:rStyle w:val="Hyperlink"/>
            <w:sz w:val="17"/>
            <w:szCs w:val="17"/>
          </w:rPr>
          <w:t>https://www.theenergycharter.com.au/covid-19-consumer-research/</w:t>
        </w:r>
      </w:hyperlink>
      <w:r w:rsidR="00ED6664" w:rsidRPr="00CA3E15">
        <w:rPr>
          <w:sz w:val="17"/>
          <w:szCs w:val="17"/>
        </w:rPr>
        <w:t xml:space="preserve"> </w:t>
      </w:r>
    </w:p>
  </w:footnote>
  <w:footnote w:id="50">
    <w:p w14:paraId="593D9845" w14:textId="77777777" w:rsidR="00E922C0" w:rsidRPr="00CA3E15" w:rsidRDefault="00E922C0" w:rsidP="00CA3E15">
      <w:pPr>
        <w:pBdr>
          <w:top w:val="nil"/>
          <w:left w:val="nil"/>
          <w:bottom w:val="nil"/>
          <w:right w:val="nil"/>
          <w:between w:val="nil"/>
        </w:pBdr>
        <w:spacing w:before="0" w:line="240" w:lineRule="auto"/>
        <w:rPr>
          <w:color w:val="000000"/>
          <w:sz w:val="17"/>
          <w:szCs w:val="17"/>
        </w:rPr>
      </w:pPr>
      <w:r w:rsidRPr="00CA3E15">
        <w:rPr>
          <w:sz w:val="17"/>
          <w:szCs w:val="17"/>
          <w:vertAlign w:val="superscript"/>
        </w:rPr>
        <w:footnoteRef/>
      </w:r>
      <w:r w:rsidRPr="00CA3E15">
        <w:rPr>
          <w:color w:val="000000"/>
          <w:sz w:val="17"/>
          <w:szCs w:val="17"/>
        </w:rPr>
        <w:t xml:space="preserve"> ACOSS </w:t>
      </w:r>
      <w:hyperlink r:id="rId37">
        <w:r w:rsidRPr="00CA3E15">
          <w:rPr>
            <w:color w:val="0563C1"/>
            <w:sz w:val="17"/>
            <w:szCs w:val="17"/>
            <w:u w:val="single"/>
          </w:rPr>
          <w:t>Raise the Rate for Good</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38B51" w14:textId="77777777" w:rsidR="005D55FB" w:rsidRDefault="005D55FB" w:rsidP="0033158A">
    <w:pPr>
      <w:pStyle w:val="Header"/>
    </w:pPr>
    <w:r>
      <w:rPr>
        <w:noProof/>
      </w:rPr>
      <w:drawing>
        <wp:anchor distT="0" distB="0" distL="114300" distR="114300" simplePos="0" relativeHeight="251658240" behindDoc="1" locked="0" layoutInCell="1" allowOverlap="1" wp14:anchorId="3C78D660" wp14:editId="02C4F0E7">
          <wp:simplePos x="0" y="0"/>
          <wp:positionH relativeFrom="rightMargin">
            <wp:align>left</wp:align>
          </wp:positionH>
          <wp:positionV relativeFrom="page">
            <wp:align>top</wp:align>
          </wp:positionV>
          <wp:extent cx="908343" cy="908343"/>
          <wp:effectExtent l="0" t="0" r="0" b="0"/>
          <wp:wrapNone/>
          <wp:docPr id="2" name="Picture 2" descr="Decorative Logo in Heading&#10;" title="ACOSS Head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Communications\Design\DesignElements\Logo\png\ACOSS_Logo-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8343" cy="908343"/>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9113F" w14:textId="6F8755DB" w:rsidR="00307A22" w:rsidRDefault="00307A22" w:rsidP="0033158A">
    <w:pPr>
      <w:pStyle w:val="Header"/>
    </w:pPr>
    <w:r>
      <w:rPr>
        <w:noProof/>
      </w:rPr>
      <w:drawing>
        <wp:anchor distT="0" distB="0" distL="114300" distR="114300" simplePos="0" relativeHeight="251658241" behindDoc="0" locked="0" layoutInCell="1" allowOverlap="1" wp14:anchorId="35F5A6B3" wp14:editId="6256FA60">
          <wp:simplePos x="0" y="0"/>
          <wp:positionH relativeFrom="column">
            <wp:posOffset>1219200</wp:posOffset>
          </wp:positionH>
          <wp:positionV relativeFrom="paragraph">
            <wp:posOffset>-64135</wp:posOffset>
          </wp:positionV>
          <wp:extent cx="3194050" cy="798513"/>
          <wp:effectExtent l="0" t="0" r="0" b="0"/>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hort Document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94050" cy="798513"/>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CAFA6F70"/>
    <w:lvl w:ilvl="0">
      <w:start w:val="1"/>
      <w:numFmt w:val="decimal"/>
      <w:pStyle w:val="ListNumber"/>
      <w:lvlText w:val="%1."/>
      <w:lvlJc w:val="left"/>
      <w:pPr>
        <w:tabs>
          <w:tab w:val="num" w:pos="502"/>
        </w:tabs>
        <w:ind w:left="502" w:hanging="360"/>
      </w:pPr>
    </w:lvl>
  </w:abstractNum>
  <w:abstractNum w:abstractNumId="1" w15:restartNumberingAfterBreak="0">
    <w:nsid w:val="FFFFFF89"/>
    <w:multiLevelType w:val="singleLevel"/>
    <w:tmpl w:val="97A2CDA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6E3073"/>
    <w:multiLevelType w:val="hybridMultilevel"/>
    <w:tmpl w:val="B32885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6EA79E0"/>
    <w:multiLevelType w:val="hybridMultilevel"/>
    <w:tmpl w:val="03CE57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2D64700"/>
    <w:multiLevelType w:val="hybridMultilevel"/>
    <w:tmpl w:val="0D665D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E823E0"/>
    <w:multiLevelType w:val="hybridMultilevel"/>
    <w:tmpl w:val="F25E86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D655F2E"/>
    <w:multiLevelType w:val="hybridMultilevel"/>
    <w:tmpl w:val="75A498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10873AD"/>
    <w:multiLevelType w:val="hybridMultilevel"/>
    <w:tmpl w:val="FCDC45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8086277"/>
    <w:multiLevelType w:val="hybridMultilevel"/>
    <w:tmpl w:val="9B42C4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930561C"/>
    <w:multiLevelType w:val="hybridMultilevel"/>
    <w:tmpl w:val="C0D644E4"/>
    <w:lvl w:ilvl="0" w:tplc="9D08DEB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7A83AA"/>
    <w:multiLevelType w:val="hybridMultilevel"/>
    <w:tmpl w:val="3EDCF63C"/>
    <w:lvl w:ilvl="0" w:tplc="004A5BE2">
      <w:start w:val="1"/>
      <w:numFmt w:val="bullet"/>
      <w:lvlText w:val=""/>
      <w:lvlJc w:val="left"/>
      <w:pPr>
        <w:ind w:left="360" w:hanging="360"/>
      </w:pPr>
      <w:rPr>
        <w:rFonts w:ascii="Symbol" w:hAnsi="Symbol" w:hint="default"/>
      </w:rPr>
    </w:lvl>
    <w:lvl w:ilvl="1" w:tplc="6D2A653A">
      <w:start w:val="1"/>
      <w:numFmt w:val="bullet"/>
      <w:lvlText w:val="o"/>
      <w:lvlJc w:val="left"/>
      <w:pPr>
        <w:ind w:left="1080" w:hanging="360"/>
      </w:pPr>
      <w:rPr>
        <w:rFonts w:ascii="Courier New" w:hAnsi="Courier New" w:hint="default"/>
      </w:rPr>
    </w:lvl>
    <w:lvl w:ilvl="2" w:tplc="ED7C68E8">
      <w:start w:val="1"/>
      <w:numFmt w:val="bullet"/>
      <w:lvlText w:val=""/>
      <w:lvlJc w:val="left"/>
      <w:pPr>
        <w:ind w:left="1800" w:hanging="360"/>
      </w:pPr>
      <w:rPr>
        <w:rFonts w:ascii="Wingdings" w:hAnsi="Wingdings" w:hint="default"/>
      </w:rPr>
    </w:lvl>
    <w:lvl w:ilvl="3" w:tplc="F2E618CA">
      <w:start w:val="1"/>
      <w:numFmt w:val="bullet"/>
      <w:lvlText w:val=""/>
      <w:lvlJc w:val="left"/>
      <w:pPr>
        <w:ind w:left="2520" w:hanging="360"/>
      </w:pPr>
      <w:rPr>
        <w:rFonts w:ascii="Symbol" w:hAnsi="Symbol" w:hint="default"/>
      </w:rPr>
    </w:lvl>
    <w:lvl w:ilvl="4" w:tplc="6F164210">
      <w:start w:val="1"/>
      <w:numFmt w:val="bullet"/>
      <w:lvlText w:val="o"/>
      <w:lvlJc w:val="left"/>
      <w:pPr>
        <w:ind w:left="3240" w:hanging="360"/>
      </w:pPr>
      <w:rPr>
        <w:rFonts w:ascii="Courier New" w:hAnsi="Courier New" w:hint="default"/>
      </w:rPr>
    </w:lvl>
    <w:lvl w:ilvl="5" w:tplc="D2C42722">
      <w:start w:val="1"/>
      <w:numFmt w:val="bullet"/>
      <w:lvlText w:val=""/>
      <w:lvlJc w:val="left"/>
      <w:pPr>
        <w:ind w:left="3960" w:hanging="360"/>
      </w:pPr>
      <w:rPr>
        <w:rFonts w:ascii="Wingdings" w:hAnsi="Wingdings" w:hint="default"/>
      </w:rPr>
    </w:lvl>
    <w:lvl w:ilvl="6" w:tplc="8A4AC028">
      <w:start w:val="1"/>
      <w:numFmt w:val="bullet"/>
      <w:lvlText w:val=""/>
      <w:lvlJc w:val="left"/>
      <w:pPr>
        <w:ind w:left="4680" w:hanging="360"/>
      </w:pPr>
      <w:rPr>
        <w:rFonts w:ascii="Symbol" w:hAnsi="Symbol" w:hint="default"/>
      </w:rPr>
    </w:lvl>
    <w:lvl w:ilvl="7" w:tplc="42A41B42">
      <w:start w:val="1"/>
      <w:numFmt w:val="bullet"/>
      <w:lvlText w:val="o"/>
      <w:lvlJc w:val="left"/>
      <w:pPr>
        <w:ind w:left="5400" w:hanging="360"/>
      </w:pPr>
      <w:rPr>
        <w:rFonts w:ascii="Courier New" w:hAnsi="Courier New" w:hint="default"/>
      </w:rPr>
    </w:lvl>
    <w:lvl w:ilvl="8" w:tplc="3BE4F3C8">
      <w:start w:val="1"/>
      <w:numFmt w:val="bullet"/>
      <w:lvlText w:val=""/>
      <w:lvlJc w:val="left"/>
      <w:pPr>
        <w:ind w:left="6120" w:hanging="360"/>
      </w:pPr>
      <w:rPr>
        <w:rFonts w:ascii="Wingdings" w:hAnsi="Wingdings" w:hint="default"/>
      </w:rPr>
    </w:lvl>
  </w:abstractNum>
  <w:abstractNum w:abstractNumId="11" w15:restartNumberingAfterBreak="0">
    <w:nsid w:val="29B2597E"/>
    <w:multiLevelType w:val="hybridMultilevel"/>
    <w:tmpl w:val="0AEEB22E"/>
    <w:lvl w:ilvl="0" w:tplc="175A25EE">
      <w:start w:val="1"/>
      <w:numFmt w:val="decimal"/>
      <w:pStyle w:val="Heading3"/>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6A216A6"/>
    <w:multiLevelType w:val="hybridMultilevel"/>
    <w:tmpl w:val="036A3A74"/>
    <w:lvl w:ilvl="0" w:tplc="0C090001">
      <w:start w:val="1"/>
      <w:numFmt w:val="bullet"/>
      <w:lvlText w:val=""/>
      <w:lvlJc w:val="left"/>
      <w:pPr>
        <w:ind w:left="890" w:hanging="360"/>
      </w:pPr>
      <w:rPr>
        <w:rFonts w:ascii="Symbol" w:hAnsi="Symbol" w:hint="default"/>
      </w:rPr>
    </w:lvl>
    <w:lvl w:ilvl="1" w:tplc="0C090003" w:tentative="1">
      <w:start w:val="1"/>
      <w:numFmt w:val="bullet"/>
      <w:lvlText w:val="o"/>
      <w:lvlJc w:val="left"/>
      <w:pPr>
        <w:ind w:left="1610" w:hanging="360"/>
      </w:pPr>
      <w:rPr>
        <w:rFonts w:ascii="Courier New" w:hAnsi="Courier New" w:cs="Courier New" w:hint="default"/>
      </w:rPr>
    </w:lvl>
    <w:lvl w:ilvl="2" w:tplc="0C090005" w:tentative="1">
      <w:start w:val="1"/>
      <w:numFmt w:val="bullet"/>
      <w:lvlText w:val=""/>
      <w:lvlJc w:val="left"/>
      <w:pPr>
        <w:ind w:left="2330" w:hanging="360"/>
      </w:pPr>
      <w:rPr>
        <w:rFonts w:ascii="Wingdings" w:hAnsi="Wingdings" w:hint="default"/>
      </w:rPr>
    </w:lvl>
    <w:lvl w:ilvl="3" w:tplc="0C090001" w:tentative="1">
      <w:start w:val="1"/>
      <w:numFmt w:val="bullet"/>
      <w:lvlText w:val=""/>
      <w:lvlJc w:val="left"/>
      <w:pPr>
        <w:ind w:left="3050" w:hanging="360"/>
      </w:pPr>
      <w:rPr>
        <w:rFonts w:ascii="Symbol" w:hAnsi="Symbol" w:hint="default"/>
      </w:rPr>
    </w:lvl>
    <w:lvl w:ilvl="4" w:tplc="0C090003" w:tentative="1">
      <w:start w:val="1"/>
      <w:numFmt w:val="bullet"/>
      <w:lvlText w:val="o"/>
      <w:lvlJc w:val="left"/>
      <w:pPr>
        <w:ind w:left="3770" w:hanging="360"/>
      </w:pPr>
      <w:rPr>
        <w:rFonts w:ascii="Courier New" w:hAnsi="Courier New" w:cs="Courier New" w:hint="default"/>
      </w:rPr>
    </w:lvl>
    <w:lvl w:ilvl="5" w:tplc="0C090005" w:tentative="1">
      <w:start w:val="1"/>
      <w:numFmt w:val="bullet"/>
      <w:lvlText w:val=""/>
      <w:lvlJc w:val="left"/>
      <w:pPr>
        <w:ind w:left="4490" w:hanging="360"/>
      </w:pPr>
      <w:rPr>
        <w:rFonts w:ascii="Wingdings" w:hAnsi="Wingdings" w:hint="default"/>
      </w:rPr>
    </w:lvl>
    <w:lvl w:ilvl="6" w:tplc="0C090001" w:tentative="1">
      <w:start w:val="1"/>
      <w:numFmt w:val="bullet"/>
      <w:lvlText w:val=""/>
      <w:lvlJc w:val="left"/>
      <w:pPr>
        <w:ind w:left="5210" w:hanging="360"/>
      </w:pPr>
      <w:rPr>
        <w:rFonts w:ascii="Symbol" w:hAnsi="Symbol" w:hint="default"/>
      </w:rPr>
    </w:lvl>
    <w:lvl w:ilvl="7" w:tplc="0C090003" w:tentative="1">
      <w:start w:val="1"/>
      <w:numFmt w:val="bullet"/>
      <w:lvlText w:val="o"/>
      <w:lvlJc w:val="left"/>
      <w:pPr>
        <w:ind w:left="5930" w:hanging="360"/>
      </w:pPr>
      <w:rPr>
        <w:rFonts w:ascii="Courier New" w:hAnsi="Courier New" w:cs="Courier New" w:hint="default"/>
      </w:rPr>
    </w:lvl>
    <w:lvl w:ilvl="8" w:tplc="0C090005" w:tentative="1">
      <w:start w:val="1"/>
      <w:numFmt w:val="bullet"/>
      <w:lvlText w:val=""/>
      <w:lvlJc w:val="left"/>
      <w:pPr>
        <w:ind w:left="6650" w:hanging="360"/>
      </w:pPr>
      <w:rPr>
        <w:rFonts w:ascii="Wingdings" w:hAnsi="Wingdings" w:hint="default"/>
      </w:rPr>
    </w:lvl>
  </w:abstractNum>
  <w:abstractNum w:abstractNumId="13" w15:restartNumberingAfterBreak="0">
    <w:nsid w:val="3A726A68"/>
    <w:multiLevelType w:val="hybridMultilevel"/>
    <w:tmpl w:val="EBB4E84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4A4C1683"/>
    <w:multiLevelType w:val="hybridMultilevel"/>
    <w:tmpl w:val="91C604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CDE2E1E"/>
    <w:multiLevelType w:val="hybridMultilevel"/>
    <w:tmpl w:val="E5220F2A"/>
    <w:lvl w:ilvl="0" w:tplc="06D20D6E">
      <w:start w:val="1"/>
      <w:numFmt w:val="bullet"/>
      <w:pStyle w:val="ListParagrap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03954EA"/>
    <w:multiLevelType w:val="hybridMultilevel"/>
    <w:tmpl w:val="B5B8F5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59FE2738"/>
    <w:multiLevelType w:val="hybridMultilevel"/>
    <w:tmpl w:val="83D4E424"/>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602F3808"/>
    <w:multiLevelType w:val="hybridMultilevel"/>
    <w:tmpl w:val="A6D85F5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6D5D4CD5"/>
    <w:multiLevelType w:val="hybridMultilevel"/>
    <w:tmpl w:val="4532E258"/>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2586AA6"/>
    <w:multiLevelType w:val="hybridMultilevel"/>
    <w:tmpl w:val="74DC8F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3EC75BA"/>
    <w:multiLevelType w:val="hybridMultilevel"/>
    <w:tmpl w:val="D908BB10"/>
    <w:lvl w:ilvl="0" w:tplc="FFFFFFFF">
      <w:start w:val="1"/>
      <w:numFmt w:val="bullet"/>
      <w:lvlText w:val=""/>
      <w:lvlJc w:val="left"/>
      <w:pPr>
        <w:ind w:left="0" w:hanging="360"/>
      </w:pPr>
      <w:rPr>
        <w:rFonts w:ascii="Symbol" w:hAnsi="Symbol" w:hint="default"/>
      </w:rPr>
    </w:lvl>
    <w:lvl w:ilvl="1" w:tplc="0C090001">
      <w:start w:val="1"/>
      <w:numFmt w:val="bullet"/>
      <w:lvlText w:val=""/>
      <w:lvlJc w:val="left"/>
      <w:pPr>
        <w:ind w:left="360" w:hanging="360"/>
      </w:pPr>
      <w:rPr>
        <w:rFonts w:ascii="Symbol" w:hAnsi="Symbol" w:hint="default"/>
      </w:rPr>
    </w:lvl>
    <w:lvl w:ilvl="2" w:tplc="FFFFFFFF">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22" w15:restartNumberingAfterBreak="0">
    <w:nsid w:val="7D882FA7"/>
    <w:multiLevelType w:val="hybridMultilevel"/>
    <w:tmpl w:val="8F2637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42218473">
    <w:abstractNumId w:val="0"/>
  </w:num>
  <w:num w:numId="2" w16cid:durableId="1949971053">
    <w:abstractNumId w:val="1"/>
  </w:num>
  <w:num w:numId="3" w16cid:durableId="1509326603">
    <w:abstractNumId w:val="19"/>
  </w:num>
  <w:num w:numId="4" w16cid:durableId="1413357213">
    <w:abstractNumId w:val="5"/>
  </w:num>
  <w:num w:numId="5" w16cid:durableId="1429690400">
    <w:abstractNumId w:val="11"/>
  </w:num>
  <w:num w:numId="6" w16cid:durableId="875653932">
    <w:abstractNumId w:val="16"/>
  </w:num>
  <w:num w:numId="7" w16cid:durableId="537011194">
    <w:abstractNumId w:val="12"/>
  </w:num>
  <w:num w:numId="8" w16cid:durableId="1993673574">
    <w:abstractNumId w:val="20"/>
  </w:num>
  <w:num w:numId="9" w16cid:durableId="1052735743">
    <w:abstractNumId w:val="7"/>
  </w:num>
  <w:num w:numId="10" w16cid:durableId="335965285">
    <w:abstractNumId w:val="8"/>
  </w:num>
  <w:num w:numId="11" w16cid:durableId="933711861">
    <w:abstractNumId w:val="6"/>
  </w:num>
  <w:num w:numId="12" w16cid:durableId="1444182500">
    <w:abstractNumId w:val="22"/>
  </w:num>
  <w:num w:numId="13" w16cid:durableId="1378892119">
    <w:abstractNumId w:val="2"/>
  </w:num>
  <w:num w:numId="14" w16cid:durableId="679283822">
    <w:abstractNumId w:val="3"/>
  </w:num>
  <w:num w:numId="15" w16cid:durableId="2010522234">
    <w:abstractNumId w:val="14"/>
  </w:num>
  <w:num w:numId="16" w16cid:durableId="442699810">
    <w:abstractNumId w:val="4"/>
  </w:num>
  <w:num w:numId="17" w16cid:durableId="189536596">
    <w:abstractNumId w:val="17"/>
  </w:num>
  <w:num w:numId="18" w16cid:durableId="1541085491">
    <w:abstractNumId w:val="18"/>
  </w:num>
  <w:num w:numId="19" w16cid:durableId="1080247912">
    <w:abstractNumId w:val="9"/>
  </w:num>
  <w:num w:numId="20" w16cid:durableId="1927566180">
    <w:abstractNumId w:val="10"/>
  </w:num>
  <w:num w:numId="21" w16cid:durableId="666635569">
    <w:abstractNumId w:val="13"/>
  </w:num>
  <w:num w:numId="22" w16cid:durableId="645086824">
    <w:abstractNumId w:val="21"/>
  </w:num>
  <w:num w:numId="23" w16cid:durableId="1210148091">
    <w:abstractNumId w:val="1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3"/>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B9F"/>
    <w:rsid w:val="00000DFA"/>
    <w:rsid w:val="00001181"/>
    <w:rsid w:val="00001FA0"/>
    <w:rsid w:val="00002DDE"/>
    <w:rsid w:val="00004263"/>
    <w:rsid w:val="000051B7"/>
    <w:rsid w:val="00007D95"/>
    <w:rsid w:val="00007F64"/>
    <w:rsid w:val="0001297D"/>
    <w:rsid w:val="000129FC"/>
    <w:rsid w:val="000142D3"/>
    <w:rsid w:val="000147FC"/>
    <w:rsid w:val="000163A6"/>
    <w:rsid w:val="000201C7"/>
    <w:rsid w:val="0002029D"/>
    <w:rsid w:val="000204E3"/>
    <w:rsid w:val="0002061A"/>
    <w:rsid w:val="00020751"/>
    <w:rsid w:val="00020CB7"/>
    <w:rsid w:val="000223BD"/>
    <w:rsid w:val="00022E8B"/>
    <w:rsid w:val="00024BF7"/>
    <w:rsid w:val="00026B16"/>
    <w:rsid w:val="00027DD7"/>
    <w:rsid w:val="0003208D"/>
    <w:rsid w:val="0003267E"/>
    <w:rsid w:val="00032AD4"/>
    <w:rsid w:val="00036E4B"/>
    <w:rsid w:val="0004089D"/>
    <w:rsid w:val="00040EA9"/>
    <w:rsid w:val="0004141A"/>
    <w:rsid w:val="000415A7"/>
    <w:rsid w:val="00041C34"/>
    <w:rsid w:val="000435F1"/>
    <w:rsid w:val="000450C1"/>
    <w:rsid w:val="00045515"/>
    <w:rsid w:val="0004643A"/>
    <w:rsid w:val="000468A6"/>
    <w:rsid w:val="00047405"/>
    <w:rsid w:val="00047640"/>
    <w:rsid w:val="00050924"/>
    <w:rsid w:val="00050E26"/>
    <w:rsid w:val="00050F40"/>
    <w:rsid w:val="0005336F"/>
    <w:rsid w:val="00054C23"/>
    <w:rsid w:val="00056B6D"/>
    <w:rsid w:val="00057DFE"/>
    <w:rsid w:val="000616A3"/>
    <w:rsid w:val="0006218E"/>
    <w:rsid w:val="00062B49"/>
    <w:rsid w:val="00065336"/>
    <w:rsid w:val="00066A42"/>
    <w:rsid w:val="00070ACF"/>
    <w:rsid w:val="00071DD7"/>
    <w:rsid w:val="0007270B"/>
    <w:rsid w:val="00073881"/>
    <w:rsid w:val="00074374"/>
    <w:rsid w:val="00074609"/>
    <w:rsid w:val="0007535D"/>
    <w:rsid w:val="00075A51"/>
    <w:rsid w:val="000760E2"/>
    <w:rsid w:val="00080E6B"/>
    <w:rsid w:val="00081A43"/>
    <w:rsid w:val="00085B15"/>
    <w:rsid w:val="00085BC6"/>
    <w:rsid w:val="000867F3"/>
    <w:rsid w:val="0009061E"/>
    <w:rsid w:val="00090A62"/>
    <w:rsid w:val="00094A20"/>
    <w:rsid w:val="000A246D"/>
    <w:rsid w:val="000A4084"/>
    <w:rsid w:val="000A47EC"/>
    <w:rsid w:val="000A4B8E"/>
    <w:rsid w:val="000A4FDB"/>
    <w:rsid w:val="000A5206"/>
    <w:rsid w:val="000A6D8D"/>
    <w:rsid w:val="000B4DFA"/>
    <w:rsid w:val="000B6082"/>
    <w:rsid w:val="000B770E"/>
    <w:rsid w:val="000B7733"/>
    <w:rsid w:val="000C11E1"/>
    <w:rsid w:val="000C1C2D"/>
    <w:rsid w:val="000C21F9"/>
    <w:rsid w:val="000C28AC"/>
    <w:rsid w:val="000C332D"/>
    <w:rsid w:val="000C40F2"/>
    <w:rsid w:val="000C4840"/>
    <w:rsid w:val="000C6233"/>
    <w:rsid w:val="000C705E"/>
    <w:rsid w:val="000C7D96"/>
    <w:rsid w:val="000D147F"/>
    <w:rsid w:val="000D14E8"/>
    <w:rsid w:val="000D18AA"/>
    <w:rsid w:val="000D2001"/>
    <w:rsid w:val="000D2A21"/>
    <w:rsid w:val="000D3A17"/>
    <w:rsid w:val="000D5D30"/>
    <w:rsid w:val="000D7112"/>
    <w:rsid w:val="000E0CF9"/>
    <w:rsid w:val="000E2BCD"/>
    <w:rsid w:val="000E2DB1"/>
    <w:rsid w:val="000E4110"/>
    <w:rsid w:val="000E6EF0"/>
    <w:rsid w:val="000E711A"/>
    <w:rsid w:val="000F3282"/>
    <w:rsid w:val="000F5FBB"/>
    <w:rsid w:val="0010120A"/>
    <w:rsid w:val="00102514"/>
    <w:rsid w:val="001027C1"/>
    <w:rsid w:val="0010368F"/>
    <w:rsid w:val="00103A8F"/>
    <w:rsid w:val="001040C8"/>
    <w:rsid w:val="00104227"/>
    <w:rsid w:val="00106F67"/>
    <w:rsid w:val="00111255"/>
    <w:rsid w:val="00114C33"/>
    <w:rsid w:val="001158B5"/>
    <w:rsid w:val="00116A0B"/>
    <w:rsid w:val="00120F48"/>
    <w:rsid w:val="00121727"/>
    <w:rsid w:val="001240A1"/>
    <w:rsid w:val="001266C0"/>
    <w:rsid w:val="00126B0C"/>
    <w:rsid w:val="00133F16"/>
    <w:rsid w:val="00135F87"/>
    <w:rsid w:val="00137312"/>
    <w:rsid w:val="001401B4"/>
    <w:rsid w:val="00140400"/>
    <w:rsid w:val="00142427"/>
    <w:rsid w:val="0014517C"/>
    <w:rsid w:val="001479AF"/>
    <w:rsid w:val="001504C0"/>
    <w:rsid w:val="00150AB6"/>
    <w:rsid w:val="00150BC0"/>
    <w:rsid w:val="00150C96"/>
    <w:rsid w:val="001517CE"/>
    <w:rsid w:val="001547BF"/>
    <w:rsid w:val="00157A4F"/>
    <w:rsid w:val="00160784"/>
    <w:rsid w:val="00160FFF"/>
    <w:rsid w:val="001625A3"/>
    <w:rsid w:val="00162B20"/>
    <w:rsid w:val="00164E10"/>
    <w:rsid w:val="001651E7"/>
    <w:rsid w:val="001659B2"/>
    <w:rsid w:val="00166A84"/>
    <w:rsid w:val="00166FAD"/>
    <w:rsid w:val="00167171"/>
    <w:rsid w:val="001729A2"/>
    <w:rsid w:val="00172FF4"/>
    <w:rsid w:val="0017350E"/>
    <w:rsid w:val="00177733"/>
    <w:rsid w:val="00177E19"/>
    <w:rsid w:val="00180475"/>
    <w:rsid w:val="001804FE"/>
    <w:rsid w:val="00186A18"/>
    <w:rsid w:val="00187233"/>
    <w:rsid w:val="00190711"/>
    <w:rsid w:val="00193B91"/>
    <w:rsid w:val="00194B42"/>
    <w:rsid w:val="00197C77"/>
    <w:rsid w:val="001A0C42"/>
    <w:rsid w:val="001A19AE"/>
    <w:rsid w:val="001A1C73"/>
    <w:rsid w:val="001A1CEE"/>
    <w:rsid w:val="001A227F"/>
    <w:rsid w:val="001A44D2"/>
    <w:rsid w:val="001A479C"/>
    <w:rsid w:val="001A5386"/>
    <w:rsid w:val="001A68BB"/>
    <w:rsid w:val="001A70A5"/>
    <w:rsid w:val="001A7D37"/>
    <w:rsid w:val="001B03A3"/>
    <w:rsid w:val="001B0EA0"/>
    <w:rsid w:val="001B2512"/>
    <w:rsid w:val="001B3979"/>
    <w:rsid w:val="001B3D8C"/>
    <w:rsid w:val="001B52CC"/>
    <w:rsid w:val="001B59B1"/>
    <w:rsid w:val="001B6527"/>
    <w:rsid w:val="001B783F"/>
    <w:rsid w:val="001C0DD5"/>
    <w:rsid w:val="001C1F5F"/>
    <w:rsid w:val="001C2EE3"/>
    <w:rsid w:val="001C3CC8"/>
    <w:rsid w:val="001C49DB"/>
    <w:rsid w:val="001C5A88"/>
    <w:rsid w:val="001C5B2D"/>
    <w:rsid w:val="001C600C"/>
    <w:rsid w:val="001D28BB"/>
    <w:rsid w:val="001D4EDA"/>
    <w:rsid w:val="001D5FC1"/>
    <w:rsid w:val="001E1120"/>
    <w:rsid w:val="001E1F86"/>
    <w:rsid w:val="001E25D8"/>
    <w:rsid w:val="001E2D2B"/>
    <w:rsid w:val="001E4277"/>
    <w:rsid w:val="001E4B14"/>
    <w:rsid w:val="001E599C"/>
    <w:rsid w:val="001E6A61"/>
    <w:rsid w:val="001F2E96"/>
    <w:rsid w:val="001F3BF0"/>
    <w:rsid w:val="001F445F"/>
    <w:rsid w:val="001F505D"/>
    <w:rsid w:val="00202983"/>
    <w:rsid w:val="00203065"/>
    <w:rsid w:val="002043E0"/>
    <w:rsid w:val="002058B7"/>
    <w:rsid w:val="002100C4"/>
    <w:rsid w:val="002108E1"/>
    <w:rsid w:val="00210CDA"/>
    <w:rsid w:val="0021209E"/>
    <w:rsid w:val="0021444D"/>
    <w:rsid w:val="00214A6A"/>
    <w:rsid w:val="00217057"/>
    <w:rsid w:val="00221DC0"/>
    <w:rsid w:val="00222544"/>
    <w:rsid w:val="002228D7"/>
    <w:rsid w:val="00223366"/>
    <w:rsid w:val="00223FCE"/>
    <w:rsid w:val="0022435C"/>
    <w:rsid w:val="002249DA"/>
    <w:rsid w:val="00224DB7"/>
    <w:rsid w:val="00226047"/>
    <w:rsid w:val="002260E9"/>
    <w:rsid w:val="00227553"/>
    <w:rsid w:val="00230882"/>
    <w:rsid w:val="00232664"/>
    <w:rsid w:val="0023546D"/>
    <w:rsid w:val="00235DBF"/>
    <w:rsid w:val="00235E04"/>
    <w:rsid w:val="0023702C"/>
    <w:rsid w:val="002373FD"/>
    <w:rsid w:val="00242B93"/>
    <w:rsid w:val="00244CE0"/>
    <w:rsid w:val="002453B7"/>
    <w:rsid w:val="00245CED"/>
    <w:rsid w:val="002464BA"/>
    <w:rsid w:val="00246866"/>
    <w:rsid w:val="00246D3D"/>
    <w:rsid w:val="00246D5C"/>
    <w:rsid w:val="0024705C"/>
    <w:rsid w:val="0025113D"/>
    <w:rsid w:val="00251526"/>
    <w:rsid w:val="00251B78"/>
    <w:rsid w:val="00257C84"/>
    <w:rsid w:val="00257E06"/>
    <w:rsid w:val="0026141E"/>
    <w:rsid w:val="00261645"/>
    <w:rsid w:val="00261C91"/>
    <w:rsid w:val="00261F53"/>
    <w:rsid w:val="002638A1"/>
    <w:rsid w:val="00263BF8"/>
    <w:rsid w:val="00266283"/>
    <w:rsid w:val="002664C1"/>
    <w:rsid w:val="0026753C"/>
    <w:rsid w:val="00267AB5"/>
    <w:rsid w:val="00270A59"/>
    <w:rsid w:val="00270C1D"/>
    <w:rsid w:val="00271431"/>
    <w:rsid w:val="002735CC"/>
    <w:rsid w:val="00273FB1"/>
    <w:rsid w:val="0027464D"/>
    <w:rsid w:val="00276978"/>
    <w:rsid w:val="0027698B"/>
    <w:rsid w:val="00277516"/>
    <w:rsid w:val="00277A0F"/>
    <w:rsid w:val="00280473"/>
    <w:rsid w:val="002813A6"/>
    <w:rsid w:val="00281521"/>
    <w:rsid w:val="00281868"/>
    <w:rsid w:val="00282ADF"/>
    <w:rsid w:val="00283FDF"/>
    <w:rsid w:val="00291F97"/>
    <w:rsid w:val="00293817"/>
    <w:rsid w:val="00293BCF"/>
    <w:rsid w:val="00296674"/>
    <w:rsid w:val="00296D0F"/>
    <w:rsid w:val="002971C2"/>
    <w:rsid w:val="002A0145"/>
    <w:rsid w:val="002A0581"/>
    <w:rsid w:val="002A34F4"/>
    <w:rsid w:val="002A35E1"/>
    <w:rsid w:val="002A3C07"/>
    <w:rsid w:val="002A5238"/>
    <w:rsid w:val="002A52BF"/>
    <w:rsid w:val="002A7366"/>
    <w:rsid w:val="002A78EF"/>
    <w:rsid w:val="002A7E61"/>
    <w:rsid w:val="002B1462"/>
    <w:rsid w:val="002B2336"/>
    <w:rsid w:val="002B2778"/>
    <w:rsid w:val="002B2880"/>
    <w:rsid w:val="002B291D"/>
    <w:rsid w:val="002B3AB6"/>
    <w:rsid w:val="002B3C5B"/>
    <w:rsid w:val="002B5E42"/>
    <w:rsid w:val="002B61D2"/>
    <w:rsid w:val="002C0AC8"/>
    <w:rsid w:val="002C1C0B"/>
    <w:rsid w:val="002C390D"/>
    <w:rsid w:val="002C502A"/>
    <w:rsid w:val="002C5049"/>
    <w:rsid w:val="002C687B"/>
    <w:rsid w:val="002D0B1A"/>
    <w:rsid w:val="002D25A8"/>
    <w:rsid w:val="002D41E1"/>
    <w:rsid w:val="002E4E4B"/>
    <w:rsid w:val="002E6156"/>
    <w:rsid w:val="002F02A1"/>
    <w:rsid w:val="002F1524"/>
    <w:rsid w:val="002F2296"/>
    <w:rsid w:val="002F26C0"/>
    <w:rsid w:val="002F2CBE"/>
    <w:rsid w:val="002F34A0"/>
    <w:rsid w:val="002F35F2"/>
    <w:rsid w:val="002F6E54"/>
    <w:rsid w:val="002F7157"/>
    <w:rsid w:val="002F77C5"/>
    <w:rsid w:val="0030196D"/>
    <w:rsid w:val="0030414A"/>
    <w:rsid w:val="00304840"/>
    <w:rsid w:val="003048EF"/>
    <w:rsid w:val="00307A22"/>
    <w:rsid w:val="00312DF9"/>
    <w:rsid w:val="003138CF"/>
    <w:rsid w:val="003152CC"/>
    <w:rsid w:val="00315740"/>
    <w:rsid w:val="003218F1"/>
    <w:rsid w:val="00321D8B"/>
    <w:rsid w:val="00322162"/>
    <w:rsid w:val="0032282C"/>
    <w:rsid w:val="00324496"/>
    <w:rsid w:val="00324544"/>
    <w:rsid w:val="0032735B"/>
    <w:rsid w:val="003311DE"/>
    <w:rsid w:val="0033158A"/>
    <w:rsid w:val="003342B8"/>
    <w:rsid w:val="0033430F"/>
    <w:rsid w:val="00334678"/>
    <w:rsid w:val="003363D2"/>
    <w:rsid w:val="00336A0E"/>
    <w:rsid w:val="00337DF5"/>
    <w:rsid w:val="0034304B"/>
    <w:rsid w:val="003433EB"/>
    <w:rsid w:val="00343FA8"/>
    <w:rsid w:val="003443AC"/>
    <w:rsid w:val="00346E68"/>
    <w:rsid w:val="003524B3"/>
    <w:rsid w:val="00352801"/>
    <w:rsid w:val="00355959"/>
    <w:rsid w:val="00361003"/>
    <w:rsid w:val="0036195F"/>
    <w:rsid w:val="00362BF0"/>
    <w:rsid w:val="00362E87"/>
    <w:rsid w:val="00363AD4"/>
    <w:rsid w:val="003649FC"/>
    <w:rsid w:val="003670E9"/>
    <w:rsid w:val="00370811"/>
    <w:rsid w:val="00372B90"/>
    <w:rsid w:val="00372C95"/>
    <w:rsid w:val="00372E5B"/>
    <w:rsid w:val="003742BB"/>
    <w:rsid w:val="00374682"/>
    <w:rsid w:val="00374B93"/>
    <w:rsid w:val="00374EC2"/>
    <w:rsid w:val="00374F6A"/>
    <w:rsid w:val="00377356"/>
    <w:rsid w:val="003779A6"/>
    <w:rsid w:val="00381AA0"/>
    <w:rsid w:val="003820E2"/>
    <w:rsid w:val="00382239"/>
    <w:rsid w:val="0039021B"/>
    <w:rsid w:val="003904E5"/>
    <w:rsid w:val="0039122B"/>
    <w:rsid w:val="003919D4"/>
    <w:rsid w:val="0039339C"/>
    <w:rsid w:val="00395B41"/>
    <w:rsid w:val="00395FAC"/>
    <w:rsid w:val="003970CD"/>
    <w:rsid w:val="00397789"/>
    <w:rsid w:val="00397DBD"/>
    <w:rsid w:val="003A0FB3"/>
    <w:rsid w:val="003A12B9"/>
    <w:rsid w:val="003A39EA"/>
    <w:rsid w:val="003A430C"/>
    <w:rsid w:val="003A7F09"/>
    <w:rsid w:val="003B0E18"/>
    <w:rsid w:val="003B191E"/>
    <w:rsid w:val="003B2F32"/>
    <w:rsid w:val="003B34B2"/>
    <w:rsid w:val="003B36CF"/>
    <w:rsid w:val="003B3BDF"/>
    <w:rsid w:val="003B51E0"/>
    <w:rsid w:val="003B740B"/>
    <w:rsid w:val="003C18EE"/>
    <w:rsid w:val="003C2452"/>
    <w:rsid w:val="003C36AF"/>
    <w:rsid w:val="003C50F6"/>
    <w:rsid w:val="003C5EAD"/>
    <w:rsid w:val="003D09B0"/>
    <w:rsid w:val="003D11BB"/>
    <w:rsid w:val="003D452A"/>
    <w:rsid w:val="003D552C"/>
    <w:rsid w:val="003E0303"/>
    <w:rsid w:val="003E0601"/>
    <w:rsid w:val="003E1CA4"/>
    <w:rsid w:val="003E2295"/>
    <w:rsid w:val="003E2BB1"/>
    <w:rsid w:val="003E30E7"/>
    <w:rsid w:val="003E40E7"/>
    <w:rsid w:val="003E5105"/>
    <w:rsid w:val="003E7358"/>
    <w:rsid w:val="003F04F5"/>
    <w:rsid w:val="003F0A2A"/>
    <w:rsid w:val="003F1A1B"/>
    <w:rsid w:val="003F3431"/>
    <w:rsid w:val="004032F1"/>
    <w:rsid w:val="0040381A"/>
    <w:rsid w:val="00403949"/>
    <w:rsid w:val="004045C6"/>
    <w:rsid w:val="00406077"/>
    <w:rsid w:val="00406173"/>
    <w:rsid w:val="00406C69"/>
    <w:rsid w:val="00407FA6"/>
    <w:rsid w:val="0041028C"/>
    <w:rsid w:val="0041227B"/>
    <w:rsid w:val="004143F0"/>
    <w:rsid w:val="004151EB"/>
    <w:rsid w:val="00415B34"/>
    <w:rsid w:val="00415C31"/>
    <w:rsid w:val="0041606B"/>
    <w:rsid w:val="004165F4"/>
    <w:rsid w:val="00416C14"/>
    <w:rsid w:val="00421BE1"/>
    <w:rsid w:val="00422587"/>
    <w:rsid w:val="00425A72"/>
    <w:rsid w:val="004262B5"/>
    <w:rsid w:val="004310E0"/>
    <w:rsid w:val="004318AF"/>
    <w:rsid w:val="00432DB7"/>
    <w:rsid w:val="0043328B"/>
    <w:rsid w:val="004335DD"/>
    <w:rsid w:val="004356DF"/>
    <w:rsid w:val="0043599F"/>
    <w:rsid w:val="004409B2"/>
    <w:rsid w:val="0044146B"/>
    <w:rsid w:val="00444E77"/>
    <w:rsid w:val="0044773C"/>
    <w:rsid w:val="00447D3C"/>
    <w:rsid w:val="00453D7B"/>
    <w:rsid w:val="00454145"/>
    <w:rsid w:val="004546C4"/>
    <w:rsid w:val="00454C44"/>
    <w:rsid w:val="0045592C"/>
    <w:rsid w:val="00456013"/>
    <w:rsid w:val="004561E7"/>
    <w:rsid w:val="004578CC"/>
    <w:rsid w:val="0046097D"/>
    <w:rsid w:val="00462613"/>
    <w:rsid w:val="00463B3E"/>
    <w:rsid w:val="00463FC0"/>
    <w:rsid w:val="0046429E"/>
    <w:rsid w:val="00466443"/>
    <w:rsid w:val="004725CE"/>
    <w:rsid w:val="00481E61"/>
    <w:rsid w:val="00484B15"/>
    <w:rsid w:val="00485398"/>
    <w:rsid w:val="00490B06"/>
    <w:rsid w:val="00490DB8"/>
    <w:rsid w:val="004940D9"/>
    <w:rsid w:val="00494BDB"/>
    <w:rsid w:val="004955E2"/>
    <w:rsid w:val="00495D21"/>
    <w:rsid w:val="004A0C70"/>
    <w:rsid w:val="004A16EC"/>
    <w:rsid w:val="004A27FC"/>
    <w:rsid w:val="004A3864"/>
    <w:rsid w:val="004A5187"/>
    <w:rsid w:val="004A59FC"/>
    <w:rsid w:val="004A61BA"/>
    <w:rsid w:val="004A6BEF"/>
    <w:rsid w:val="004B1274"/>
    <w:rsid w:val="004B2358"/>
    <w:rsid w:val="004C22D4"/>
    <w:rsid w:val="004C7327"/>
    <w:rsid w:val="004C7EE4"/>
    <w:rsid w:val="004D1EAB"/>
    <w:rsid w:val="004D2D49"/>
    <w:rsid w:val="004D3906"/>
    <w:rsid w:val="004D392B"/>
    <w:rsid w:val="004D40E1"/>
    <w:rsid w:val="004D4E32"/>
    <w:rsid w:val="004D54E8"/>
    <w:rsid w:val="004E31EA"/>
    <w:rsid w:val="004E46F8"/>
    <w:rsid w:val="004EA5B7"/>
    <w:rsid w:val="004F00EA"/>
    <w:rsid w:val="004F05CD"/>
    <w:rsid w:val="004F090B"/>
    <w:rsid w:val="004F0F71"/>
    <w:rsid w:val="004F28C2"/>
    <w:rsid w:val="004F2DDE"/>
    <w:rsid w:val="004F2F62"/>
    <w:rsid w:val="004F3A18"/>
    <w:rsid w:val="004F55B4"/>
    <w:rsid w:val="004F5CC6"/>
    <w:rsid w:val="004F5D64"/>
    <w:rsid w:val="004F7523"/>
    <w:rsid w:val="0050124F"/>
    <w:rsid w:val="005012DD"/>
    <w:rsid w:val="00501565"/>
    <w:rsid w:val="00502205"/>
    <w:rsid w:val="0050387C"/>
    <w:rsid w:val="00503E16"/>
    <w:rsid w:val="005040D5"/>
    <w:rsid w:val="00505032"/>
    <w:rsid w:val="0051124C"/>
    <w:rsid w:val="005154A0"/>
    <w:rsid w:val="00516156"/>
    <w:rsid w:val="005221E9"/>
    <w:rsid w:val="0052221F"/>
    <w:rsid w:val="005247F2"/>
    <w:rsid w:val="0052513A"/>
    <w:rsid w:val="00531312"/>
    <w:rsid w:val="00531394"/>
    <w:rsid w:val="00532D3D"/>
    <w:rsid w:val="00533B12"/>
    <w:rsid w:val="005358A0"/>
    <w:rsid w:val="00535AF8"/>
    <w:rsid w:val="00537255"/>
    <w:rsid w:val="00537862"/>
    <w:rsid w:val="00537B3E"/>
    <w:rsid w:val="005415FE"/>
    <w:rsid w:val="0054216D"/>
    <w:rsid w:val="00542C20"/>
    <w:rsid w:val="00542C5B"/>
    <w:rsid w:val="005430AF"/>
    <w:rsid w:val="00546A82"/>
    <w:rsid w:val="005503C8"/>
    <w:rsid w:val="00552303"/>
    <w:rsid w:val="0055249F"/>
    <w:rsid w:val="00553414"/>
    <w:rsid w:val="005538B3"/>
    <w:rsid w:val="00554243"/>
    <w:rsid w:val="00554AC4"/>
    <w:rsid w:val="005553D6"/>
    <w:rsid w:val="00562F21"/>
    <w:rsid w:val="00562F3F"/>
    <w:rsid w:val="005635E4"/>
    <w:rsid w:val="00564796"/>
    <w:rsid w:val="00564EAE"/>
    <w:rsid w:val="00565838"/>
    <w:rsid w:val="00565F46"/>
    <w:rsid w:val="00567817"/>
    <w:rsid w:val="0057004E"/>
    <w:rsid w:val="005700E1"/>
    <w:rsid w:val="00571A7E"/>
    <w:rsid w:val="00572782"/>
    <w:rsid w:val="00576A7E"/>
    <w:rsid w:val="0058068C"/>
    <w:rsid w:val="00580ADA"/>
    <w:rsid w:val="005837EF"/>
    <w:rsid w:val="00584CEF"/>
    <w:rsid w:val="00584DDE"/>
    <w:rsid w:val="00584F70"/>
    <w:rsid w:val="00586116"/>
    <w:rsid w:val="00586D97"/>
    <w:rsid w:val="005870ED"/>
    <w:rsid w:val="0059276B"/>
    <w:rsid w:val="00593B54"/>
    <w:rsid w:val="0059432B"/>
    <w:rsid w:val="00594FE2"/>
    <w:rsid w:val="005973FE"/>
    <w:rsid w:val="005A15E0"/>
    <w:rsid w:val="005A20B7"/>
    <w:rsid w:val="005A2263"/>
    <w:rsid w:val="005A4138"/>
    <w:rsid w:val="005A422A"/>
    <w:rsid w:val="005A55A0"/>
    <w:rsid w:val="005A6CE8"/>
    <w:rsid w:val="005A6EF4"/>
    <w:rsid w:val="005A7974"/>
    <w:rsid w:val="005B1202"/>
    <w:rsid w:val="005B32C9"/>
    <w:rsid w:val="005B4894"/>
    <w:rsid w:val="005B4CD7"/>
    <w:rsid w:val="005B4CDD"/>
    <w:rsid w:val="005B5CEC"/>
    <w:rsid w:val="005B76BF"/>
    <w:rsid w:val="005C27C3"/>
    <w:rsid w:val="005C3062"/>
    <w:rsid w:val="005C316C"/>
    <w:rsid w:val="005C388C"/>
    <w:rsid w:val="005C3F6D"/>
    <w:rsid w:val="005C3FA7"/>
    <w:rsid w:val="005C4BF5"/>
    <w:rsid w:val="005C5C85"/>
    <w:rsid w:val="005C5F45"/>
    <w:rsid w:val="005C62DE"/>
    <w:rsid w:val="005C66CA"/>
    <w:rsid w:val="005C6D20"/>
    <w:rsid w:val="005C78B6"/>
    <w:rsid w:val="005D06FB"/>
    <w:rsid w:val="005D18C0"/>
    <w:rsid w:val="005D1943"/>
    <w:rsid w:val="005D1F27"/>
    <w:rsid w:val="005D20E5"/>
    <w:rsid w:val="005D55FB"/>
    <w:rsid w:val="005D5D36"/>
    <w:rsid w:val="005D5DEE"/>
    <w:rsid w:val="005D75B6"/>
    <w:rsid w:val="005E0702"/>
    <w:rsid w:val="005E40FE"/>
    <w:rsid w:val="005E431D"/>
    <w:rsid w:val="005F0649"/>
    <w:rsid w:val="005F0B4C"/>
    <w:rsid w:val="005F0E3D"/>
    <w:rsid w:val="005F252C"/>
    <w:rsid w:val="005F3D11"/>
    <w:rsid w:val="005F3E65"/>
    <w:rsid w:val="005F5A04"/>
    <w:rsid w:val="005F6680"/>
    <w:rsid w:val="005F6F03"/>
    <w:rsid w:val="005F77A7"/>
    <w:rsid w:val="00603C89"/>
    <w:rsid w:val="0060496C"/>
    <w:rsid w:val="006059C1"/>
    <w:rsid w:val="00605FF8"/>
    <w:rsid w:val="006061D1"/>
    <w:rsid w:val="00606E50"/>
    <w:rsid w:val="006128CE"/>
    <w:rsid w:val="006137FD"/>
    <w:rsid w:val="00615FC4"/>
    <w:rsid w:val="0061601E"/>
    <w:rsid w:val="0061748B"/>
    <w:rsid w:val="00617B54"/>
    <w:rsid w:val="00620742"/>
    <w:rsid w:val="006252E1"/>
    <w:rsid w:val="006254A2"/>
    <w:rsid w:val="00632E25"/>
    <w:rsid w:val="006336CD"/>
    <w:rsid w:val="00634218"/>
    <w:rsid w:val="0063426E"/>
    <w:rsid w:val="006347D0"/>
    <w:rsid w:val="00634A28"/>
    <w:rsid w:val="006362E8"/>
    <w:rsid w:val="00640771"/>
    <w:rsid w:val="00640AF3"/>
    <w:rsid w:val="00640D43"/>
    <w:rsid w:val="00641676"/>
    <w:rsid w:val="00642292"/>
    <w:rsid w:val="00645A04"/>
    <w:rsid w:val="006466FB"/>
    <w:rsid w:val="006525F6"/>
    <w:rsid w:val="00652646"/>
    <w:rsid w:val="00653A94"/>
    <w:rsid w:val="00653DED"/>
    <w:rsid w:val="0065639C"/>
    <w:rsid w:val="0065639D"/>
    <w:rsid w:val="0065701C"/>
    <w:rsid w:val="0065740D"/>
    <w:rsid w:val="0066119C"/>
    <w:rsid w:val="00664E1E"/>
    <w:rsid w:val="00665B13"/>
    <w:rsid w:val="00667449"/>
    <w:rsid w:val="0066774D"/>
    <w:rsid w:val="006726A0"/>
    <w:rsid w:val="00673641"/>
    <w:rsid w:val="00673AE2"/>
    <w:rsid w:val="00681FB8"/>
    <w:rsid w:val="00682330"/>
    <w:rsid w:val="00683106"/>
    <w:rsid w:val="00685AA3"/>
    <w:rsid w:val="006860A4"/>
    <w:rsid w:val="0068649E"/>
    <w:rsid w:val="00686A69"/>
    <w:rsid w:val="00687E3E"/>
    <w:rsid w:val="00691795"/>
    <w:rsid w:val="00691AC3"/>
    <w:rsid w:val="00692B54"/>
    <w:rsid w:val="00693175"/>
    <w:rsid w:val="00693322"/>
    <w:rsid w:val="00694997"/>
    <w:rsid w:val="00696649"/>
    <w:rsid w:val="00696783"/>
    <w:rsid w:val="006A0D9E"/>
    <w:rsid w:val="006A3434"/>
    <w:rsid w:val="006A376B"/>
    <w:rsid w:val="006A4C0D"/>
    <w:rsid w:val="006A527B"/>
    <w:rsid w:val="006A65B1"/>
    <w:rsid w:val="006A6F64"/>
    <w:rsid w:val="006B0C5F"/>
    <w:rsid w:val="006B49EF"/>
    <w:rsid w:val="006B7517"/>
    <w:rsid w:val="006C35C9"/>
    <w:rsid w:val="006C3ECC"/>
    <w:rsid w:val="006C4830"/>
    <w:rsid w:val="006C57D6"/>
    <w:rsid w:val="006D2CBB"/>
    <w:rsid w:val="006D5051"/>
    <w:rsid w:val="006E0266"/>
    <w:rsid w:val="006E6985"/>
    <w:rsid w:val="006F0643"/>
    <w:rsid w:val="006F207D"/>
    <w:rsid w:val="006F41C4"/>
    <w:rsid w:val="006F671E"/>
    <w:rsid w:val="006F6F9C"/>
    <w:rsid w:val="006F7094"/>
    <w:rsid w:val="006F7588"/>
    <w:rsid w:val="00700F5F"/>
    <w:rsid w:val="00701A83"/>
    <w:rsid w:val="00701B44"/>
    <w:rsid w:val="00704069"/>
    <w:rsid w:val="0071061D"/>
    <w:rsid w:val="0071237F"/>
    <w:rsid w:val="0071C263"/>
    <w:rsid w:val="0072102B"/>
    <w:rsid w:val="00724CD8"/>
    <w:rsid w:val="0072746D"/>
    <w:rsid w:val="007300AC"/>
    <w:rsid w:val="00730925"/>
    <w:rsid w:val="0073140B"/>
    <w:rsid w:val="00732151"/>
    <w:rsid w:val="00733B15"/>
    <w:rsid w:val="007348DE"/>
    <w:rsid w:val="00734BB5"/>
    <w:rsid w:val="00740515"/>
    <w:rsid w:val="00741773"/>
    <w:rsid w:val="0074338F"/>
    <w:rsid w:val="007443A9"/>
    <w:rsid w:val="007456F6"/>
    <w:rsid w:val="00745FE6"/>
    <w:rsid w:val="0074679D"/>
    <w:rsid w:val="00746B14"/>
    <w:rsid w:val="00747946"/>
    <w:rsid w:val="00751535"/>
    <w:rsid w:val="00755D43"/>
    <w:rsid w:val="00756FE3"/>
    <w:rsid w:val="00757B38"/>
    <w:rsid w:val="007610E2"/>
    <w:rsid w:val="007623BA"/>
    <w:rsid w:val="00762662"/>
    <w:rsid w:val="007630E2"/>
    <w:rsid w:val="007639EC"/>
    <w:rsid w:val="00763D68"/>
    <w:rsid w:val="007648F3"/>
    <w:rsid w:val="00765DB7"/>
    <w:rsid w:val="00766042"/>
    <w:rsid w:val="0076623A"/>
    <w:rsid w:val="0076797D"/>
    <w:rsid w:val="00774EDA"/>
    <w:rsid w:val="007769FC"/>
    <w:rsid w:val="00784EF2"/>
    <w:rsid w:val="00786550"/>
    <w:rsid w:val="00786E25"/>
    <w:rsid w:val="00790C30"/>
    <w:rsid w:val="007920B8"/>
    <w:rsid w:val="0079265B"/>
    <w:rsid w:val="007932C8"/>
    <w:rsid w:val="00796995"/>
    <w:rsid w:val="007A132E"/>
    <w:rsid w:val="007A58C7"/>
    <w:rsid w:val="007A5A2E"/>
    <w:rsid w:val="007A77BF"/>
    <w:rsid w:val="007B0D82"/>
    <w:rsid w:val="007B2CA6"/>
    <w:rsid w:val="007B3A73"/>
    <w:rsid w:val="007B3DAE"/>
    <w:rsid w:val="007B3ED8"/>
    <w:rsid w:val="007B4BE7"/>
    <w:rsid w:val="007B4E1B"/>
    <w:rsid w:val="007C066D"/>
    <w:rsid w:val="007C16D9"/>
    <w:rsid w:val="007C32B5"/>
    <w:rsid w:val="007C3B3C"/>
    <w:rsid w:val="007C5777"/>
    <w:rsid w:val="007C61BA"/>
    <w:rsid w:val="007D2BC9"/>
    <w:rsid w:val="007D4B40"/>
    <w:rsid w:val="007D4E47"/>
    <w:rsid w:val="007D5012"/>
    <w:rsid w:val="007D5B54"/>
    <w:rsid w:val="007D68AF"/>
    <w:rsid w:val="007D777B"/>
    <w:rsid w:val="007D78E5"/>
    <w:rsid w:val="007D7C25"/>
    <w:rsid w:val="007E07C5"/>
    <w:rsid w:val="007E0C74"/>
    <w:rsid w:val="007E1658"/>
    <w:rsid w:val="007E6976"/>
    <w:rsid w:val="007E7794"/>
    <w:rsid w:val="007F0244"/>
    <w:rsid w:val="007F0F10"/>
    <w:rsid w:val="007F255A"/>
    <w:rsid w:val="007F32E7"/>
    <w:rsid w:val="007F40F5"/>
    <w:rsid w:val="007F5096"/>
    <w:rsid w:val="007F67C3"/>
    <w:rsid w:val="007F7E86"/>
    <w:rsid w:val="00800103"/>
    <w:rsid w:val="00800394"/>
    <w:rsid w:val="00800F56"/>
    <w:rsid w:val="008028C1"/>
    <w:rsid w:val="00804E7B"/>
    <w:rsid w:val="0080539D"/>
    <w:rsid w:val="00805FBB"/>
    <w:rsid w:val="00807644"/>
    <w:rsid w:val="008108E4"/>
    <w:rsid w:val="00810C87"/>
    <w:rsid w:val="00812C2D"/>
    <w:rsid w:val="00813757"/>
    <w:rsid w:val="008141B6"/>
    <w:rsid w:val="008152B7"/>
    <w:rsid w:val="00817E80"/>
    <w:rsid w:val="0082015B"/>
    <w:rsid w:val="00821A84"/>
    <w:rsid w:val="008255B8"/>
    <w:rsid w:val="0082613A"/>
    <w:rsid w:val="00826441"/>
    <w:rsid w:val="008310AD"/>
    <w:rsid w:val="00832208"/>
    <w:rsid w:val="00832B0A"/>
    <w:rsid w:val="00832D32"/>
    <w:rsid w:val="008344ED"/>
    <w:rsid w:val="0083466D"/>
    <w:rsid w:val="00837E31"/>
    <w:rsid w:val="0084057F"/>
    <w:rsid w:val="00840744"/>
    <w:rsid w:val="00842438"/>
    <w:rsid w:val="00843171"/>
    <w:rsid w:val="008432B2"/>
    <w:rsid w:val="008466B5"/>
    <w:rsid w:val="00850133"/>
    <w:rsid w:val="0085054E"/>
    <w:rsid w:val="00850B49"/>
    <w:rsid w:val="00853053"/>
    <w:rsid w:val="00854A66"/>
    <w:rsid w:val="0085691E"/>
    <w:rsid w:val="00856A61"/>
    <w:rsid w:val="00857450"/>
    <w:rsid w:val="008626D4"/>
    <w:rsid w:val="00862E4E"/>
    <w:rsid w:val="008631AC"/>
    <w:rsid w:val="00863F18"/>
    <w:rsid w:val="0087099B"/>
    <w:rsid w:val="00870F40"/>
    <w:rsid w:val="0087403D"/>
    <w:rsid w:val="0087557A"/>
    <w:rsid w:val="00876AAD"/>
    <w:rsid w:val="008771E8"/>
    <w:rsid w:val="0087736F"/>
    <w:rsid w:val="00881565"/>
    <w:rsid w:val="008815AC"/>
    <w:rsid w:val="0088294C"/>
    <w:rsid w:val="0088486A"/>
    <w:rsid w:val="00884F28"/>
    <w:rsid w:val="0089358A"/>
    <w:rsid w:val="00894839"/>
    <w:rsid w:val="00895354"/>
    <w:rsid w:val="0089709B"/>
    <w:rsid w:val="00897A97"/>
    <w:rsid w:val="008A02D9"/>
    <w:rsid w:val="008A3348"/>
    <w:rsid w:val="008A43DD"/>
    <w:rsid w:val="008A45E0"/>
    <w:rsid w:val="008A4AEB"/>
    <w:rsid w:val="008A5FBA"/>
    <w:rsid w:val="008A6E30"/>
    <w:rsid w:val="008B0F44"/>
    <w:rsid w:val="008B1FB9"/>
    <w:rsid w:val="008B2110"/>
    <w:rsid w:val="008B310D"/>
    <w:rsid w:val="008B5A90"/>
    <w:rsid w:val="008B5D8F"/>
    <w:rsid w:val="008C0841"/>
    <w:rsid w:val="008C16DE"/>
    <w:rsid w:val="008C4F61"/>
    <w:rsid w:val="008C6594"/>
    <w:rsid w:val="008C6879"/>
    <w:rsid w:val="008C735C"/>
    <w:rsid w:val="008D02E9"/>
    <w:rsid w:val="008D12CC"/>
    <w:rsid w:val="008D264C"/>
    <w:rsid w:val="008D2F9F"/>
    <w:rsid w:val="008D4502"/>
    <w:rsid w:val="008D4758"/>
    <w:rsid w:val="008D67AF"/>
    <w:rsid w:val="008D7687"/>
    <w:rsid w:val="008E0154"/>
    <w:rsid w:val="008E0682"/>
    <w:rsid w:val="008E1356"/>
    <w:rsid w:val="008E2441"/>
    <w:rsid w:val="008E3BD3"/>
    <w:rsid w:val="008E5733"/>
    <w:rsid w:val="008E5967"/>
    <w:rsid w:val="008F0431"/>
    <w:rsid w:val="008F0C4F"/>
    <w:rsid w:val="008F110A"/>
    <w:rsid w:val="008F133C"/>
    <w:rsid w:val="008F6FED"/>
    <w:rsid w:val="009009EA"/>
    <w:rsid w:val="00901C35"/>
    <w:rsid w:val="0090383B"/>
    <w:rsid w:val="009064BC"/>
    <w:rsid w:val="0090687D"/>
    <w:rsid w:val="00907B76"/>
    <w:rsid w:val="00910155"/>
    <w:rsid w:val="00910E71"/>
    <w:rsid w:val="00911E3E"/>
    <w:rsid w:val="00914D81"/>
    <w:rsid w:val="0091573A"/>
    <w:rsid w:val="00917896"/>
    <w:rsid w:val="0092034E"/>
    <w:rsid w:val="00920D84"/>
    <w:rsid w:val="00922698"/>
    <w:rsid w:val="0092391C"/>
    <w:rsid w:val="00923ED3"/>
    <w:rsid w:val="00926929"/>
    <w:rsid w:val="00926DF3"/>
    <w:rsid w:val="0092789A"/>
    <w:rsid w:val="0092789C"/>
    <w:rsid w:val="00931A78"/>
    <w:rsid w:val="00934738"/>
    <w:rsid w:val="00934FC7"/>
    <w:rsid w:val="00937A7C"/>
    <w:rsid w:val="00941F56"/>
    <w:rsid w:val="0094357C"/>
    <w:rsid w:val="00943E7C"/>
    <w:rsid w:val="00946E54"/>
    <w:rsid w:val="00950927"/>
    <w:rsid w:val="0095171B"/>
    <w:rsid w:val="00952462"/>
    <w:rsid w:val="00953107"/>
    <w:rsid w:val="0095460D"/>
    <w:rsid w:val="0095489C"/>
    <w:rsid w:val="00956717"/>
    <w:rsid w:val="009613D3"/>
    <w:rsid w:val="0096171F"/>
    <w:rsid w:val="009631A4"/>
    <w:rsid w:val="0096496B"/>
    <w:rsid w:val="00964BBA"/>
    <w:rsid w:val="00964E18"/>
    <w:rsid w:val="009656A9"/>
    <w:rsid w:val="009656E2"/>
    <w:rsid w:val="009660AC"/>
    <w:rsid w:val="00966A31"/>
    <w:rsid w:val="00966FD0"/>
    <w:rsid w:val="00970672"/>
    <w:rsid w:val="009710DA"/>
    <w:rsid w:val="00972AF8"/>
    <w:rsid w:val="00972EC3"/>
    <w:rsid w:val="009738A5"/>
    <w:rsid w:val="00974436"/>
    <w:rsid w:val="009756F9"/>
    <w:rsid w:val="00975D52"/>
    <w:rsid w:val="00977046"/>
    <w:rsid w:val="00977540"/>
    <w:rsid w:val="00980AB0"/>
    <w:rsid w:val="00980D35"/>
    <w:rsid w:val="00982041"/>
    <w:rsid w:val="00983573"/>
    <w:rsid w:val="00985B27"/>
    <w:rsid w:val="009868E8"/>
    <w:rsid w:val="009901F2"/>
    <w:rsid w:val="0099144D"/>
    <w:rsid w:val="00991A41"/>
    <w:rsid w:val="00991B3E"/>
    <w:rsid w:val="00991E49"/>
    <w:rsid w:val="009944EF"/>
    <w:rsid w:val="0099790E"/>
    <w:rsid w:val="009A1C89"/>
    <w:rsid w:val="009A547E"/>
    <w:rsid w:val="009A5857"/>
    <w:rsid w:val="009A59A6"/>
    <w:rsid w:val="009A5E0C"/>
    <w:rsid w:val="009A6AAF"/>
    <w:rsid w:val="009A73DF"/>
    <w:rsid w:val="009A7EFB"/>
    <w:rsid w:val="009B0469"/>
    <w:rsid w:val="009B0518"/>
    <w:rsid w:val="009B0BC3"/>
    <w:rsid w:val="009B1C15"/>
    <w:rsid w:val="009B2530"/>
    <w:rsid w:val="009B309B"/>
    <w:rsid w:val="009B47F6"/>
    <w:rsid w:val="009C0ACB"/>
    <w:rsid w:val="009C1EE9"/>
    <w:rsid w:val="009C5339"/>
    <w:rsid w:val="009D051A"/>
    <w:rsid w:val="009D14AE"/>
    <w:rsid w:val="009D1902"/>
    <w:rsid w:val="009D20D0"/>
    <w:rsid w:val="009D633F"/>
    <w:rsid w:val="009E18D1"/>
    <w:rsid w:val="009E1976"/>
    <w:rsid w:val="009E2221"/>
    <w:rsid w:val="009E2637"/>
    <w:rsid w:val="009E26CA"/>
    <w:rsid w:val="009E3296"/>
    <w:rsid w:val="009E3704"/>
    <w:rsid w:val="009E4413"/>
    <w:rsid w:val="009E47EA"/>
    <w:rsid w:val="009E52FD"/>
    <w:rsid w:val="009E6821"/>
    <w:rsid w:val="009E7642"/>
    <w:rsid w:val="009F04D4"/>
    <w:rsid w:val="009F0F26"/>
    <w:rsid w:val="009F11B0"/>
    <w:rsid w:val="009F1BA3"/>
    <w:rsid w:val="009F1DF6"/>
    <w:rsid w:val="009F2205"/>
    <w:rsid w:val="009F2284"/>
    <w:rsid w:val="009F279E"/>
    <w:rsid w:val="009F29A9"/>
    <w:rsid w:val="009F37EB"/>
    <w:rsid w:val="009F42A7"/>
    <w:rsid w:val="009F568B"/>
    <w:rsid w:val="009F69BB"/>
    <w:rsid w:val="009F7875"/>
    <w:rsid w:val="00A00B9B"/>
    <w:rsid w:val="00A01795"/>
    <w:rsid w:val="00A03B7E"/>
    <w:rsid w:val="00A04125"/>
    <w:rsid w:val="00A04ECE"/>
    <w:rsid w:val="00A10BBA"/>
    <w:rsid w:val="00A11EF3"/>
    <w:rsid w:val="00A12A65"/>
    <w:rsid w:val="00A13581"/>
    <w:rsid w:val="00A137D8"/>
    <w:rsid w:val="00A17B9C"/>
    <w:rsid w:val="00A21F89"/>
    <w:rsid w:val="00A241AE"/>
    <w:rsid w:val="00A24A1B"/>
    <w:rsid w:val="00A25ED7"/>
    <w:rsid w:val="00A30A33"/>
    <w:rsid w:val="00A31EE1"/>
    <w:rsid w:val="00A32AAA"/>
    <w:rsid w:val="00A32DAB"/>
    <w:rsid w:val="00A3375D"/>
    <w:rsid w:val="00A3414B"/>
    <w:rsid w:val="00A3426B"/>
    <w:rsid w:val="00A35C6E"/>
    <w:rsid w:val="00A36285"/>
    <w:rsid w:val="00A363A8"/>
    <w:rsid w:val="00A40487"/>
    <w:rsid w:val="00A407E8"/>
    <w:rsid w:val="00A40870"/>
    <w:rsid w:val="00A42665"/>
    <w:rsid w:val="00A43147"/>
    <w:rsid w:val="00A433A6"/>
    <w:rsid w:val="00A43A12"/>
    <w:rsid w:val="00A446D5"/>
    <w:rsid w:val="00A456C5"/>
    <w:rsid w:val="00A4656C"/>
    <w:rsid w:val="00A466D4"/>
    <w:rsid w:val="00A557D0"/>
    <w:rsid w:val="00A575B4"/>
    <w:rsid w:val="00A57F38"/>
    <w:rsid w:val="00A60503"/>
    <w:rsid w:val="00A60F47"/>
    <w:rsid w:val="00A61F0B"/>
    <w:rsid w:val="00A622DD"/>
    <w:rsid w:val="00A64188"/>
    <w:rsid w:val="00A64571"/>
    <w:rsid w:val="00A6568E"/>
    <w:rsid w:val="00A66F69"/>
    <w:rsid w:val="00A7003B"/>
    <w:rsid w:val="00A712C3"/>
    <w:rsid w:val="00A72D4A"/>
    <w:rsid w:val="00A72F8F"/>
    <w:rsid w:val="00A73156"/>
    <w:rsid w:val="00A73AB3"/>
    <w:rsid w:val="00A74C98"/>
    <w:rsid w:val="00A752CE"/>
    <w:rsid w:val="00A76F5B"/>
    <w:rsid w:val="00A77146"/>
    <w:rsid w:val="00A80B3F"/>
    <w:rsid w:val="00A834E9"/>
    <w:rsid w:val="00A84562"/>
    <w:rsid w:val="00A85570"/>
    <w:rsid w:val="00A85ADC"/>
    <w:rsid w:val="00A85B47"/>
    <w:rsid w:val="00A927A1"/>
    <w:rsid w:val="00A92E5F"/>
    <w:rsid w:val="00A95517"/>
    <w:rsid w:val="00A9604E"/>
    <w:rsid w:val="00A96744"/>
    <w:rsid w:val="00A9693E"/>
    <w:rsid w:val="00AA1539"/>
    <w:rsid w:val="00AA3533"/>
    <w:rsid w:val="00AA493A"/>
    <w:rsid w:val="00AA75CF"/>
    <w:rsid w:val="00AB3DD5"/>
    <w:rsid w:val="00AB4EA1"/>
    <w:rsid w:val="00AB4ECA"/>
    <w:rsid w:val="00AB578F"/>
    <w:rsid w:val="00AB6E40"/>
    <w:rsid w:val="00AC04A9"/>
    <w:rsid w:val="00AC1034"/>
    <w:rsid w:val="00AC2EF2"/>
    <w:rsid w:val="00AC349E"/>
    <w:rsid w:val="00AC4000"/>
    <w:rsid w:val="00AC4AB4"/>
    <w:rsid w:val="00AC5079"/>
    <w:rsid w:val="00AC7A3B"/>
    <w:rsid w:val="00AC7DE6"/>
    <w:rsid w:val="00AD147A"/>
    <w:rsid w:val="00AD3BBD"/>
    <w:rsid w:val="00AD5769"/>
    <w:rsid w:val="00AE275A"/>
    <w:rsid w:val="00AE2773"/>
    <w:rsid w:val="00AE457D"/>
    <w:rsid w:val="00AE5B58"/>
    <w:rsid w:val="00AE5EEC"/>
    <w:rsid w:val="00AE603C"/>
    <w:rsid w:val="00AE7E09"/>
    <w:rsid w:val="00AF09D5"/>
    <w:rsid w:val="00AF17D7"/>
    <w:rsid w:val="00AF25E0"/>
    <w:rsid w:val="00AF2FA4"/>
    <w:rsid w:val="00AF34C2"/>
    <w:rsid w:val="00AF36A9"/>
    <w:rsid w:val="00AF3D8A"/>
    <w:rsid w:val="00AF4023"/>
    <w:rsid w:val="00AF4EA4"/>
    <w:rsid w:val="00AF5B01"/>
    <w:rsid w:val="00AF5E5E"/>
    <w:rsid w:val="00AF7A87"/>
    <w:rsid w:val="00AF7E0F"/>
    <w:rsid w:val="00B003FE"/>
    <w:rsid w:val="00B019D8"/>
    <w:rsid w:val="00B02AF1"/>
    <w:rsid w:val="00B030DC"/>
    <w:rsid w:val="00B04082"/>
    <w:rsid w:val="00B04B07"/>
    <w:rsid w:val="00B04EBF"/>
    <w:rsid w:val="00B07C04"/>
    <w:rsid w:val="00B07F6D"/>
    <w:rsid w:val="00B11ED1"/>
    <w:rsid w:val="00B12D1A"/>
    <w:rsid w:val="00B15402"/>
    <w:rsid w:val="00B16A1F"/>
    <w:rsid w:val="00B23C73"/>
    <w:rsid w:val="00B24439"/>
    <w:rsid w:val="00B24ACF"/>
    <w:rsid w:val="00B24EB8"/>
    <w:rsid w:val="00B2591C"/>
    <w:rsid w:val="00B263CD"/>
    <w:rsid w:val="00B27A22"/>
    <w:rsid w:val="00B27F88"/>
    <w:rsid w:val="00B321CF"/>
    <w:rsid w:val="00B33590"/>
    <w:rsid w:val="00B33C0D"/>
    <w:rsid w:val="00B35115"/>
    <w:rsid w:val="00B35EDF"/>
    <w:rsid w:val="00B40C11"/>
    <w:rsid w:val="00B43069"/>
    <w:rsid w:val="00B4399F"/>
    <w:rsid w:val="00B4586F"/>
    <w:rsid w:val="00B45EBB"/>
    <w:rsid w:val="00B51EC1"/>
    <w:rsid w:val="00B52752"/>
    <w:rsid w:val="00B53CE3"/>
    <w:rsid w:val="00B54670"/>
    <w:rsid w:val="00B55012"/>
    <w:rsid w:val="00B6269B"/>
    <w:rsid w:val="00B62D04"/>
    <w:rsid w:val="00B637BD"/>
    <w:rsid w:val="00B63EB2"/>
    <w:rsid w:val="00B644C0"/>
    <w:rsid w:val="00B67046"/>
    <w:rsid w:val="00B67DDE"/>
    <w:rsid w:val="00B702A9"/>
    <w:rsid w:val="00B749D8"/>
    <w:rsid w:val="00B74A65"/>
    <w:rsid w:val="00B7647E"/>
    <w:rsid w:val="00B810D4"/>
    <w:rsid w:val="00B855B3"/>
    <w:rsid w:val="00B85B45"/>
    <w:rsid w:val="00B87D20"/>
    <w:rsid w:val="00B90DD0"/>
    <w:rsid w:val="00B91AED"/>
    <w:rsid w:val="00B9370A"/>
    <w:rsid w:val="00B93DE6"/>
    <w:rsid w:val="00B95DE9"/>
    <w:rsid w:val="00B95E8A"/>
    <w:rsid w:val="00B96A3D"/>
    <w:rsid w:val="00B96E5C"/>
    <w:rsid w:val="00BA15EB"/>
    <w:rsid w:val="00BA2515"/>
    <w:rsid w:val="00BA2E57"/>
    <w:rsid w:val="00BA7027"/>
    <w:rsid w:val="00BA7F33"/>
    <w:rsid w:val="00BB3BB2"/>
    <w:rsid w:val="00BB3D11"/>
    <w:rsid w:val="00BB4BFE"/>
    <w:rsid w:val="00BB581C"/>
    <w:rsid w:val="00BC068D"/>
    <w:rsid w:val="00BC1C41"/>
    <w:rsid w:val="00BC56D1"/>
    <w:rsid w:val="00BC67E3"/>
    <w:rsid w:val="00BC6906"/>
    <w:rsid w:val="00BC6D4B"/>
    <w:rsid w:val="00BD2FF0"/>
    <w:rsid w:val="00BD3210"/>
    <w:rsid w:val="00BD3A39"/>
    <w:rsid w:val="00BD3E71"/>
    <w:rsid w:val="00BE0C8D"/>
    <w:rsid w:val="00BE14EE"/>
    <w:rsid w:val="00BE1682"/>
    <w:rsid w:val="00BE2C8F"/>
    <w:rsid w:val="00BE3370"/>
    <w:rsid w:val="00BE45E1"/>
    <w:rsid w:val="00BE606D"/>
    <w:rsid w:val="00BE626A"/>
    <w:rsid w:val="00BF049A"/>
    <w:rsid w:val="00BF0B37"/>
    <w:rsid w:val="00BF5D0C"/>
    <w:rsid w:val="00BF6697"/>
    <w:rsid w:val="00BF760C"/>
    <w:rsid w:val="00C00150"/>
    <w:rsid w:val="00C01D9D"/>
    <w:rsid w:val="00C05EF5"/>
    <w:rsid w:val="00C0614D"/>
    <w:rsid w:val="00C074DF"/>
    <w:rsid w:val="00C101D6"/>
    <w:rsid w:val="00C10CA9"/>
    <w:rsid w:val="00C11407"/>
    <w:rsid w:val="00C11AC2"/>
    <w:rsid w:val="00C13BFE"/>
    <w:rsid w:val="00C152B3"/>
    <w:rsid w:val="00C237D9"/>
    <w:rsid w:val="00C2418B"/>
    <w:rsid w:val="00C25FEF"/>
    <w:rsid w:val="00C305B4"/>
    <w:rsid w:val="00C309EC"/>
    <w:rsid w:val="00C31F16"/>
    <w:rsid w:val="00C32C25"/>
    <w:rsid w:val="00C33905"/>
    <w:rsid w:val="00C352C3"/>
    <w:rsid w:val="00C3674E"/>
    <w:rsid w:val="00C41259"/>
    <w:rsid w:val="00C41629"/>
    <w:rsid w:val="00C417F2"/>
    <w:rsid w:val="00C418C2"/>
    <w:rsid w:val="00C419B1"/>
    <w:rsid w:val="00C41B49"/>
    <w:rsid w:val="00C41CE7"/>
    <w:rsid w:val="00C45637"/>
    <w:rsid w:val="00C45736"/>
    <w:rsid w:val="00C50680"/>
    <w:rsid w:val="00C5273E"/>
    <w:rsid w:val="00C5335F"/>
    <w:rsid w:val="00C55428"/>
    <w:rsid w:val="00C566A5"/>
    <w:rsid w:val="00C57EA9"/>
    <w:rsid w:val="00C60326"/>
    <w:rsid w:val="00C605D8"/>
    <w:rsid w:val="00C60F08"/>
    <w:rsid w:val="00C61AD2"/>
    <w:rsid w:val="00C662FC"/>
    <w:rsid w:val="00C708D1"/>
    <w:rsid w:val="00C7222D"/>
    <w:rsid w:val="00C74289"/>
    <w:rsid w:val="00C74807"/>
    <w:rsid w:val="00C74AC5"/>
    <w:rsid w:val="00C772CA"/>
    <w:rsid w:val="00C80365"/>
    <w:rsid w:val="00C81B3F"/>
    <w:rsid w:val="00C851BA"/>
    <w:rsid w:val="00C8598A"/>
    <w:rsid w:val="00C86A32"/>
    <w:rsid w:val="00C86C0D"/>
    <w:rsid w:val="00C87179"/>
    <w:rsid w:val="00C87B79"/>
    <w:rsid w:val="00C90B9F"/>
    <w:rsid w:val="00C90DE5"/>
    <w:rsid w:val="00C9463F"/>
    <w:rsid w:val="00C95E83"/>
    <w:rsid w:val="00CA0835"/>
    <w:rsid w:val="00CA12F1"/>
    <w:rsid w:val="00CA3E15"/>
    <w:rsid w:val="00CA48DA"/>
    <w:rsid w:val="00CA5E97"/>
    <w:rsid w:val="00CB1480"/>
    <w:rsid w:val="00CB1855"/>
    <w:rsid w:val="00CB7863"/>
    <w:rsid w:val="00CC0F4A"/>
    <w:rsid w:val="00CC175B"/>
    <w:rsid w:val="00CC4C57"/>
    <w:rsid w:val="00CC5370"/>
    <w:rsid w:val="00CC7B25"/>
    <w:rsid w:val="00CC7DFC"/>
    <w:rsid w:val="00CD0945"/>
    <w:rsid w:val="00CD205D"/>
    <w:rsid w:val="00CD2D26"/>
    <w:rsid w:val="00CD323C"/>
    <w:rsid w:val="00CD3634"/>
    <w:rsid w:val="00CD5AA0"/>
    <w:rsid w:val="00CD5AE3"/>
    <w:rsid w:val="00CE1D3A"/>
    <w:rsid w:val="00CE27EE"/>
    <w:rsid w:val="00CE2B6B"/>
    <w:rsid w:val="00CE3B0A"/>
    <w:rsid w:val="00CE403E"/>
    <w:rsid w:val="00CF1117"/>
    <w:rsid w:val="00CF1A31"/>
    <w:rsid w:val="00CF221A"/>
    <w:rsid w:val="00CF4AEB"/>
    <w:rsid w:val="00CF5840"/>
    <w:rsid w:val="00CF66E4"/>
    <w:rsid w:val="00D005AD"/>
    <w:rsid w:val="00D026C1"/>
    <w:rsid w:val="00D03484"/>
    <w:rsid w:val="00D0401B"/>
    <w:rsid w:val="00D04F0F"/>
    <w:rsid w:val="00D07345"/>
    <w:rsid w:val="00D078A1"/>
    <w:rsid w:val="00D12F2E"/>
    <w:rsid w:val="00D141BE"/>
    <w:rsid w:val="00D14220"/>
    <w:rsid w:val="00D1472D"/>
    <w:rsid w:val="00D1677C"/>
    <w:rsid w:val="00D16944"/>
    <w:rsid w:val="00D20D4C"/>
    <w:rsid w:val="00D21A72"/>
    <w:rsid w:val="00D21AF4"/>
    <w:rsid w:val="00D239AA"/>
    <w:rsid w:val="00D24605"/>
    <w:rsid w:val="00D30A2F"/>
    <w:rsid w:val="00D31CEE"/>
    <w:rsid w:val="00D32A24"/>
    <w:rsid w:val="00D40377"/>
    <w:rsid w:val="00D445EC"/>
    <w:rsid w:val="00D50DEB"/>
    <w:rsid w:val="00D50F96"/>
    <w:rsid w:val="00D51AA2"/>
    <w:rsid w:val="00D53925"/>
    <w:rsid w:val="00D53F5F"/>
    <w:rsid w:val="00D558FE"/>
    <w:rsid w:val="00D55CF4"/>
    <w:rsid w:val="00D56B2A"/>
    <w:rsid w:val="00D571BA"/>
    <w:rsid w:val="00D60436"/>
    <w:rsid w:val="00D6137D"/>
    <w:rsid w:val="00D62B98"/>
    <w:rsid w:val="00D63474"/>
    <w:rsid w:val="00D63A3B"/>
    <w:rsid w:val="00D64078"/>
    <w:rsid w:val="00D64AE1"/>
    <w:rsid w:val="00D65DD0"/>
    <w:rsid w:val="00D67466"/>
    <w:rsid w:val="00D7042E"/>
    <w:rsid w:val="00D707DF"/>
    <w:rsid w:val="00D70A41"/>
    <w:rsid w:val="00D70C63"/>
    <w:rsid w:val="00D70FA6"/>
    <w:rsid w:val="00D71BD5"/>
    <w:rsid w:val="00D724D3"/>
    <w:rsid w:val="00D72A8D"/>
    <w:rsid w:val="00D72E8F"/>
    <w:rsid w:val="00D74A7F"/>
    <w:rsid w:val="00D75389"/>
    <w:rsid w:val="00D7616D"/>
    <w:rsid w:val="00D813FC"/>
    <w:rsid w:val="00D820DC"/>
    <w:rsid w:val="00D83349"/>
    <w:rsid w:val="00D8376D"/>
    <w:rsid w:val="00D86E67"/>
    <w:rsid w:val="00D872FB"/>
    <w:rsid w:val="00D9162D"/>
    <w:rsid w:val="00D92902"/>
    <w:rsid w:val="00D92A1B"/>
    <w:rsid w:val="00D930C4"/>
    <w:rsid w:val="00D94A6B"/>
    <w:rsid w:val="00D94F3C"/>
    <w:rsid w:val="00D95E9F"/>
    <w:rsid w:val="00D965B9"/>
    <w:rsid w:val="00D979AC"/>
    <w:rsid w:val="00D97FE2"/>
    <w:rsid w:val="00DA5E8B"/>
    <w:rsid w:val="00DA64F4"/>
    <w:rsid w:val="00DA74BE"/>
    <w:rsid w:val="00DB01E5"/>
    <w:rsid w:val="00DB0587"/>
    <w:rsid w:val="00DB0D5D"/>
    <w:rsid w:val="00DB1951"/>
    <w:rsid w:val="00DB562D"/>
    <w:rsid w:val="00DB68BB"/>
    <w:rsid w:val="00DB6BA1"/>
    <w:rsid w:val="00DB760D"/>
    <w:rsid w:val="00DC0854"/>
    <w:rsid w:val="00DC13E8"/>
    <w:rsid w:val="00DC1A53"/>
    <w:rsid w:val="00DC51D8"/>
    <w:rsid w:val="00DC726E"/>
    <w:rsid w:val="00DC7601"/>
    <w:rsid w:val="00DD03D7"/>
    <w:rsid w:val="00DD1E3A"/>
    <w:rsid w:val="00DD27C4"/>
    <w:rsid w:val="00DD53C3"/>
    <w:rsid w:val="00DD54EB"/>
    <w:rsid w:val="00DD62A5"/>
    <w:rsid w:val="00DD65BB"/>
    <w:rsid w:val="00DD6D5F"/>
    <w:rsid w:val="00DE0CDF"/>
    <w:rsid w:val="00DE1468"/>
    <w:rsid w:val="00DE2A83"/>
    <w:rsid w:val="00DE3BEA"/>
    <w:rsid w:val="00DE3F95"/>
    <w:rsid w:val="00DE4B4F"/>
    <w:rsid w:val="00DE596D"/>
    <w:rsid w:val="00DF084B"/>
    <w:rsid w:val="00DF0D16"/>
    <w:rsid w:val="00DF0D89"/>
    <w:rsid w:val="00DF1370"/>
    <w:rsid w:val="00DF1E3E"/>
    <w:rsid w:val="00DF239A"/>
    <w:rsid w:val="00DF293F"/>
    <w:rsid w:val="00DF3EFE"/>
    <w:rsid w:val="00DF5B19"/>
    <w:rsid w:val="00E01430"/>
    <w:rsid w:val="00E014CF"/>
    <w:rsid w:val="00E01A0E"/>
    <w:rsid w:val="00E0268D"/>
    <w:rsid w:val="00E02C6A"/>
    <w:rsid w:val="00E03221"/>
    <w:rsid w:val="00E036F9"/>
    <w:rsid w:val="00E05771"/>
    <w:rsid w:val="00E10E0F"/>
    <w:rsid w:val="00E114AD"/>
    <w:rsid w:val="00E15A39"/>
    <w:rsid w:val="00E170A9"/>
    <w:rsid w:val="00E17EDF"/>
    <w:rsid w:val="00E210C0"/>
    <w:rsid w:val="00E21FE6"/>
    <w:rsid w:val="00E2230B"/>
    <w:rsid w:val="00E2244A"/>
    <w:rsid w:val="00E231CE"/>
    <w:rsid w:val="00E249E2"/>
    <w:rsid w:val="00E25111"/>
    <w:rsid w:val="00E26356"/>
    <w:rsid w:val="00E27249"/>
    <w:rsid w:val="00E3053D"/>
    <w:rsid w:val="00E31307"/>
    <w:rsid w:val="00E32343"/>
    <w:rsid w:val="00E32AFE"/>
    <w:rsid w:val="00E36E69"/>
    <w:rsid w:val="00E40F99"/>
    <w:rsid w:val="00E4103B"/>
    <w:rsid w:val="00E414C1"/>
    <w:rsid w:val="00E41F5A"/>
    <w:rsid w:val="00E4396F"/>
    <w:rsid w:val="00E45DD6"/>
    <w:rsid w:val="00E47661"/>
    <w:rsid w:val="00E504A0"/>
    <w:rsid w:val="00E53325"/>
    <w:rsid w:val="00E53A4C"/>
    <w:rsid w:val="00E53C8B"/>
    <w:rsid w:val="00E53FBE"/>
    <w:rsid w:val="00E5407E"/>
    <w:rsid w:val="00E60632"/>
    <w:rsid w:val="00E60C6D"/>
    <w:rsid w:val="00E61471"/>
    <w:rsid w:val="00E618AD"/>
    <w:rsid w:val="00E62859"/>
    <w:rsid w:val="00E63899"/>
    <w:rsid w:val="00E64B2E"/>
    <w:rsid w:val="00E64F4A"/>
    <w:rsid w:val="00E65AB2"/>
    <w:rsid w:val="00E7009A"/>
    <w:rsid w:val="00E70638"/>
    <w:rsid w:val="00E7140F"/>
    <w:rsid w:val="00E714BB"/>
    <w:rsid w:val="00E71A7C"/>
    <w:rsid w:val="00E71CD7"/>
    <w:rsid w:val="00E71E3E"/>
    <w:rsid w:val="00E7309F"/>
    <w:rsid w:val="00E73C18"/>
    <w:rsid w:val="00E74A85"/>
    <w:rsid w:val="00E74AE5"/>
    <w:rsid w:val="00E767CB"/>
    <w:rsid w:val="00E76C6F"/>
    <w:rsid w:val="00E80DD4"/>
    <w:rsid w:val="00E80E12"/>
    <w:rsid w:val="00E84CB8"/>
    <w:rsid w:val="00E851DE"/>
    <w:rsid w:val="00E860F4"/>
    <w:rsid w:val="00E9041B"/>
    <w:rsid w:val="00E920B9"/>
    <w:rsid w:val="00E922C0"/>
    <w:rsid w:val="00E92581"/>
    <w:rsid w:val="00E927AC"/>
    <w:rsid w:val="00E94410"/>
    <w:rsid w:val="00E94E58"/>
    <w:rsid w:val="00E9513F"/>
    <w:rsid w:val="00E9602F"/>
    <w:rsid w:val="00E96F65"/>
    <w:rsid w:val="00EA0B1A"/>
    <w:rsid w:val="00EA2464"/>
    <w:rsid w:val="00EA3092"/>
    <w:rsid w:val="00EA4AFF"/>
    <w:rsid w:val="00EB148D"/>
    <w:rsid w:val="00EB246B"/>
    <w:rsid w:val="00EB2EF8"/>
    <w:rsid w:val="00EB4D28"/>
    <w:rsid w:val="00EB62D1"/>
    <w:rsid w:val="00EC1296"/>
    <w:rsid w:val="00EC1864"/>
    <w:rsid w:val="00EC3A0D"/>
    <w:rsid w:val="00EC41ED"/>
    <w:rsid w:val="00EC462C"/>
    <w:rsid w:val="00EC726C"/>
    <w:rsid w:val="00ED0D4F"/>
    <w:rsid w:val="00ED282F"/>
    <w:rsid w:val="00ED2E0A"/>
    <w:rsid w:val="00ED4854"/>
    <w:rsid w:val="00ED6664"/>
    <w:rsid w:val="00ED7144"/>
    <w:rsid w:val="00ED78E2"/>
    <w:rsid w:val="00EE00DF"/>
    <w:rsid w:val="00EE0633"/>
    <w:rsid w:val="00EE17C1"/>
    <w:rsid w:val="00EE1A1D"/>
    <w:rsid w:val="00EE2EBE"/>
    <w:rsid w:val="00EE4751"/>
    <w:rsid w:val="00EE574E"/>
    <w:rsid w:val="00EE6480"/>
    <w:rsid w:val="00EE6B2A"/>
    <w:rsid w:val="00EE7C1A"/>
    <w:rsid w:val="00EF1941"/>
    <w:rsid w:val="00EF2D98"/>
    <w:rsid w:val="00EF31D6"/>
    <w:rsid w:val="00EF44C7"/>
    <w:rsid w:val="00EF5386"/>
    <w:rsid w:val="00F0473B"/>
    <w:rsid w:val="00F0700F"/>
    <w:rsid w:val="00F100ED"/>
    <w:rsid w:val="00F10458"/>
    <w:rsid w:val="00F105E1"/>
    <w:rsid w:val="00F11232"/>
    <w:rsid w:val="00F137EC"/>
    <w:rsid w:val="00F171FA"/>
    <w:rsid w:val="00F1721E"/>
    <w:rsid w:val="00F17A08"/>
    <w:rsid w:val="00F214CD"/>
    <w:rsid w:val="00F22CB3"/>
    <w:rsid w:val="00F22ED9"/>
    <w:rsid w:val="00F23D73"/>
    <w:rsid w:val="00F252D0"/>
    <w:rsid w:val="00F262D0"/>
    <w:rsid w:val="00F30491"/>
    <w:rsid w:val="00F31FE3"/>
    <w:rsid w:val="00F32B63"/>
    <w:rsid w:val="00F334B1"/>
    <w:rsid w:val="00F35F45"/>
    <w:rsid w:val="00F36AEC"/>
    <w:rsid w:val="00F4020B"/>
    <w:rsid w:val="00F4439F"/>
    <w:rsid w:val="00F443DA"/>
    <w:rsid w:val="00F4455D"/>
    <w:rsid w:val="00F45797"/>
    <w:rsid w:val="00F45DA4"/>
    <w:rsid w:val="00F46618"/>
    <w:rsid w:val="00F46C42"/>
    <w:rsid w:val="00F47B35"/>
    <w:rsid w:val="00F51426"/>
    <w:rsid w:val="00F532BD"/>
    <w:rsid w:val="00F546B5"/>
    <w:rsid w:val="00F54E40"/>
    <w:rsid w:val="00F559ED"/>
    <w:rsid w:val="00F56DC5"/>
    <w:rsid w:val="00F6282E"/>
    <w:rsid w:val="00F63024"/>
    <w:rsid w:val="00F63A64"/>
    <w:rsid w:val="00F63BE1"/>
    <w:rsid w:val="00F70337"/>
    <w:rsid w:val="00F70777"/>
    <w:rsid w:val="00F7307D"/>
    <w:rsid w:val="00F74475"/>
    <w:rsid w:val="00F74E14"/>
    <w:rsid w:val="00F75F68"/>
    <w:rsid w:val="00F77288"/>
    <w:rsid w:val="00F8049C"/>
    <w:rsid w:val="00F80D28"/>
    <w:rsid w:val="00F80F6A"/>
    <w:rsid w:val="00F81D78"/>
    <w:rsid w:val="00F82C7A"/>
    <w:rsid w:val="00F83345"/>
    <w:rsid w:val="00F843A0"/>
    <w:rsid w:val="00F84E6B"/>
    <w:rsid w:val="00F8589A"/>
    <w:rsid w:val="00F86505"/>
    <w:rsid w:val="00F86D4A"/>
    <w:rsid w:val="00F9017A"/>
    <w:rsid w:val="00F90612"/>
    <w:rsid w:val="00F91368"/>
    <w:rsid w:val="00F915FC"/>
    <w:rsid w:val="00F93021"/>
    <w:rsid w:val="00F94AF3"/>
    <w:rsid w:val="00F97AFB"/>
    <w:rsid w:val="00F97CAF"/>
    <w:rsid w:val="00FA0634"/>
    <w:rsid w:val="00FA196F"/>
    <w:rsid w:val="00FA1985"/>
    <w:rsid w:val="00FA298E"/>
    <w:rsid w:val="00FA41FE"/>
    <w:rsid w:val="00FA47F9"/>
    <w:rsid w:val="00FA4C94"/>
    <w:rsid w:val="00FA4D3B"/>
    <w:rsid w:val="00FA5C0A"/>
    <w:rsid w:val="00FA67CC"/>
    <w:rsid w:val="00FB2591"/>
    <w:rsid w:val="00FB4084"/>
    <w:rsid w:val="00FB4EBE"/>
    <w:rsid w:val="00FB78C1"/>
    <w:rsid w:val="00FB7CA6"/>
    <w:rsid w:val="00FC2CD4"/>
    <w:rsid w:val="00FC308A"/>
    <w:rsid w:val="00FC3DEE"/>
    <w:rsid w:val="00FC506F"/>
    <w:rsid w:val="00FC6239"/>
    <w:rsid w:val="00FC67EC"/>
    <w:rsid w:val="00FC770F"/>
    <w:rsid w:val="00FC7AAB"/>
    <w:rsid w:val="00FD05D2"/>
    <w:rsid w:val="00FD1580"/>
    <w:rsid w:val="00FD1848"/>
    <w:rsid w:val="00FD4A03"/>
    <w:rsid w:val="00FD6FA4"/>
    <w:rsid w:val="00FD7936"/>
    <w:rsid w:val="00FD7DBC"/>
    <w:rsid w:val="00FE05BB"/>
    <w:rsid w:val="00FE2D78"/>
    <w:rsid w:val="00FE507A"/>
    <w:rsid w:val="00FE56A6"/>
    <w:rsid w:val="00FF0FD5"/>
    <w:rsid w:val="00FF1C52"/>
    <w:rsid w:val="00FF24E4"/>
    <w:rsid w:val="00FF2B78"/>
    <w:rsid w:val="00FF2C48"/>
    <w:rsid w:val="00FF2F1E"/>
    <w:rsid w:val="00FF37C2"/>
    <w:rsid w:val="00FF47F9"/>
    <w:rsid w:val="00FF61A8"/>
    <w:rsid w:val="00FF6A75"/>
    <w:rsid w:val="00FF7117"/>
    <w:rsid w:val="00FF7A7A"/>
    <w:rsid w:val="02B08476"/>
    <w:rsid w:val="0385EE22"/>
    <w:rsid w:val="03DA18BA"/>
    <w:rsid w:val="03FA6673"/>
    <w:rsid w:val="042584F4"/>
    <w:rsid w:val="0431BB27"/>
    <w:rsid w:val="04A82E9E"/>
    <w:rsid w:val="0510ED5B"/>
    <w:rsid w:val="05BF0378"/>
    <w:rsid w:val="06406892"/>
    <w:rsid w:val="0643FEFF"/>
    <w:rsid w:val="06D2DBF6"/>
    <w:rsid w:val="09122362"/>
    <w:rsid w:val="09780954"/>
    <w:rsid w:val="0A2016C2"/>
    <w:rsid w:val="0BCA8440"/>
    <w:rsid w:val="0D3CD019"/>
    <w:rsid w:val="0D81986A"/>
    <w:rsid w:val="0DAE29C0"/>
    <w:rsid w:val="0DCD6B08"/>
    <w:rsid w:val="0EDDEC58"/>
    <w:rsid w:val="0FD2081C"/>
    <w:rsid w:val="0FE74AD8"/>
    <w:rsid w:val="10DE7DD5"/>
    <w:rsid w:val="115BCD38"/>
    <w:rsid w:val="11B7BB19"/>
    <w:rsid w:val="11ED26BE"/>
    <w:rsid w:val="1271E479"/>
    <w:rsid w:val="12A4CA7B"/>
    <w:rsid w:val="135D34A9"/>
    <w:rsid w:val="1372536B"/>
    <w:rsid w:val="13B537FD"/>
    <w:rsid w:val="149FFCCD"/>
    <w:rsid w:val="1586B93C"/>
    <w:rsid w:val="158E01DC"/>
    <w:rsid w:val="16B11D55"/>
    <w:rsid w:val="16DFED7C"/>
    <w:rsid w:val="17BB16ED"/>
    <w:rsid w:val="19B8CCC0"/>
    <w:rsid w:val="1A8C9C17"/>
    <w:rsid w:val="1A96B403"/>
    <w:rsid w:val="1B29FD7F"/>
    <w:rsid w:val="1B4F636D"/>
    <w:rsid w:val="1BC61359"/>
    <w:rsid w:val="1C1E8E64"/>
    <w:rsid w:val="1CACA583"/>
    <w:rsid w:val="1DD00479"/>
    <w:rsid w:val="1E2C03D4"/>
    <w:rsid w:val="1EE64933"/>
    <w:rsid w:val="1FBC64AE"/>
    <w:rsid w:val="1FC4AFE9"/>
    <w:rsid w:val="20BEBE56"/>
    <w:rsid w:val="21E75176"/>
    <w:rsid w:val="21F5CA2A"/>
    <w:rsid w:val="225D4E50"/>
    <w:rsid w:val="22AFFDB3"/>
    <w:rsid w:val="233C6FB3"/>
    <w:rsid w:val="23919A8B"/>
    <w:rsid w:val="239ED4CB"/>
    <w:rsid w:val="242E7D50"/>
    <w:rsid w:val="24369ADD"/>
    <w:rsid w:val="2492B503"/>
    <w:rsid w:val="24976B1D"/>
    <w:rsid w:val="2556C33A"/>
    <w:rsid w:val="2606CA54"/>
    <w:rsid w:val="277C02F3"/>
    <w:rsid w:val="287FAA59"/>
    <w:rsid w:val="290695D7"/>
    <w:rsid w:val="2958F0D5"/>
    <w:rsid w:val="29C530CB"/>
    <w:rsid w:val="2C6ADB93"/>
    <w:rsid w:val="2C7A555A"/>
    <w:rsid w:val="2DC95FE6"/>
    <w:rsid w:val="2DD21C1A"/>
    <w:rsid w:val="2E7B3162"/>
    <w:rsid w:val="2EA261AD"/>
    <w:rsid w:val="2F308AF7"/>
    <w:rsid w:val="305E6931"/>
    <w:rsid w:val="30D504A5"/>
    <w:rsid w:val="311DB0ED"/>
    <w:rsid w:val="314E8CB9"/>
    <w:rsid w:val="3262E6DC"/>
    <w:rsid w:val="32AD7AC3"/>
    <w:rsid w:val="3372EEEC"/>
    <w:rsid w:val="33B9083C"/>
    <w:rsid w:val="33C5AD70"/>
    <w:rsid w:val="3465C6E5"/>
    <w:rsid w:val="3622F810"/>
    <w:rsid w:val="37444629"/>
    <w:rsid w:val="37611FAD"/>
    <w:rsid w:val="37A10274"/>
    <w:rsid w:val="3921F7D2"/>
    <w:rsid w:val="39478222"/>
    <w:rsid w:val="39E5D23E"/>
    <w:rsid w:val="3A71B478"/>
    <w:rsid w:val="3B5BD7C7"/>
    <w:rsid w:val="3BE9350D"/>
    <w:rsid w:val="3BFDB7BF"/>
    <w:rsid w:val="3C05FE61"/>
    <w:rsid w:val="3C46F5FE"/>
    <w:rsid w:val="3C5DB471"/>
    <w:rsid w:val="3C815F00"/>
    <w:rsid w:val="3D3EED71"/>
    <w:rsid w:val="3D60766D"/>
    <w:rsid w:val="3D7459CC"/>
    <w:rsid w:val="3E38B626"/>
    <w:rsid w:val="3F16A794"/>
    <w:rsid w:val="3F87EEC5"/>
    <w:rsid w:val="40A13C40"/>
    <w:rsid w:val="40FE9972"/>
    <w:rsid w:val="41A6A756"/>
    <w:rsid w:val="41B7F99F"/>
    <w:rsid w:val="422ED29D"/>
    <w:rsid w:val="4320D6AD"/>
    <w:rsid w:val="4422C931"/>
    <w:rsid w:val="448F48E2"/>
    <w:rsid w:val="45A06176"/>
    <w:rsid w:val="4621C78F"/>
    <w:rsid w:val="4626D355"/>
    <w:rsid w:val="46A59C7F"/>
    <w:rsid w:val="47861D4A"/>
    <w:rsid w:val="481056E9"/>
    <w:rsid w:val="4869BCC0"/>
    <w:rsid w:val="48E167DF"/>
    <w:rsid w:val="49CCF5F6"/>
    <w:rsid w:val="4A86FFD6"/>
    <w:rsid w:val="4B1C5DBC"/>
    <w:rsid w:val="4CAF5C8E"/>
    <w:rsid w:val="4CE2E83E"/>
    <w:rsid w:val="4CE53BC5"/>
    <w:rsid w:val="4D3D2DE3"/>
    <w:rsid w:val="4D451B69"/>
    <w:rsid w:val="4DAC14E3"/>
    <w:rsid w:val="4F6D695E"/>
    <w:rsid w:val="4FFBEECD"/>
    <w:rsid w:val="51C28E97"/>
    <w:rsid w:val="53145EA4"/>
    <w:rsid w:val="53D879D4"/>
    <w:rsid w:val="5553286D"/>
    <w:rsid w:val="5613338A"/>
    <w:rsid w:val="56EBFDAF"/>
    <w:rsid w:val="56EF3251"/>
    <w:rsid w:val="5703A2E1"/>
    <w:rsid w:val="57AC5B13"/>
    <w:rsid w:val="57ADA296"/>
    <w:rsid w:val="582D40ED"/>
    <w:rsid w:val="5887CE10"/>
    <w:rsid w:val="5888ACBB"/>
    <w:rsid w:val="59EDDF2B"/>
    <w:rsid w:val="5A239E71"/>
    <w:rsid w:val="5A5217F0"/>
    <w:rsid w:val="5AFAF651"/>
    <w:rsid w:val="5BDC53DF"/>
    <w:rsid w:val="5D5CB255"/>
    <w:rsid w:val="5E21E733"/>
    <w:rsid w:val="5E61F8DA"/>
    <w:rsid w:val="5E99A75B"/>
    <w:rsid w:val="5EC04924"/>
    <w:rsid w:val="5ED986E5"/>
    <w:rsid w:val="603FD915"/>
    <w:rsid w:val="6077434F"/>
    <w:rsid w:val="6079B798"/>
    <w:rsid w:val="611F5C06"/>
    <w:rsid w:val="6199E5B6"/>
    <w:rsid w:val="61E84D14"/>
    <w:rsid w:val="62521045"/>
    <w:rsid w:val="64152C56"/>
    <w:rsid w:val="645A1CAB"/>
    <w:rsid w:val="65FFF4AD"/>
    <w:rsid w:val="66544095"/>
    <w:rsid w:val="66CD6942"/>
    <w:rsid w:val="68501146"/>
    <w:rsid w:val="6BFDCAC1"/>
    <w:rsid w:val="6CEB57B7"/>
    <w:rsid w:val="6D7C3857"/>
    <w:rsid w:val="6DAE6307"/>
    <w:rsid w:val="6EB7B9D8"/>
    <w:rsid w:val="6F2FCE36"/>
    <w:rsid w:val="6F92D681"/>
    <w:rsid w:val="701E3B23"/>
    <w:rsid w:val="708BA5C5"/>
    <w:rsid w:val="70C761FA"/>
    <w:rsid w:val="71483585"/>
    <w:rsid w:val="7185D0EF"/>
    <w:rsid w:val="71B5D172"/>
    <w:rsid w:val="7253E3E8"/>
    <w:rsid w:val="7335CA61"/>
    <w:rsid w:val="73C32BB6"/>
    <w:rsid w:val="74BA6216"/>
    <w:rsid w:val="74D530C2"/>
    <w:rsid w:val="753A1841"/>
    <w:rsid w:val="75869C6C"/>
    <w:rsid w:val="766D6B23"/>
    <w:rsid w:val="77284E08"/>
    <w:rsid w:val="77F2DFD9"/>
    <w:rsid w:val="78E56222"/>
    <w:rsid w:val="7959F803"/>
    <w:rsid w:val="7B58473E"/>
    <w:rsid w:val="7B59DAB6"/>
    <w:rsid w:val="7C1777A6"/>
    <w:rsid w:val="7F3D5076"/>
    <w:rsid w:val="7F5ED13F"/>
    <w:rsid w:val="7F7EF3B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97A87C"/>
  <w15:docId w15:val="{7ED01783-DCEC-41B6-831B-D13FC93FA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158A"/>
    <w:rPr>
      <w:rFonts w:ascii="Verdana" w:eastAsia="Verdana" w:hAnsi="Verdana" w:cs="Verdana"/>
      <w:sz w:val="21"/>
      <w:szCs w:val="21"/>
      <w:lang w:val="en-AU" w:eastAsia="en-AU"/>
    </w:rPr>
  </w:style>
  <w:style w:type="paragraph" w:styleId="Heading1">
    <w:name w:val="heading 1"/>
    <w:basedOn w:val="Normal"/>
    <w:next w:val="Normal"/>
    <w:link w:val="Heading1Char"/>
    <w:uiPriority w:val="9"/>
    <w:qFormat/>
    <w:rsid w:val="00C8598A"/>
    <w:pPr>
      <w:keepNext/>
      <w:keepLines/>
      <w:spacing w:before="240"/>
      <w:outlineLvl w:val="0"/>
    </w:pPr>
    <w:rPr>
      <w:rFonts w:ascii="Palatino Linotype" w:eastAsiaTheme="majorEastAsia" w:hAnsi="Palatino Linotype" w:cstheme="majorBidi"/>
      <w:b/>
      <w:color w:val="143156"/>
      <w:sz w:val="48"/>
      <w:szCs w:val="32"/>
    </w:rPr>
  </w:style>
  <w:style w:type="paragraph" w:styleId="Heading2">
    <w:name w:val="heading 2"/>
    <w:basedOn w:val="Normal"/>
    <w:next w:val="Normal"/>
    <w:link w:val="Heading2Char"/>
    <w:uiPriority w:val="9"/>
    <w:unhideWhenUsed/>
    <w:qFormat/>
    <w:rsid w:val="00A04ECE"/>
    <w:pPr>
      <w:keepNext/>
      <w:keepLines/>
      <w:spacing w:before="240"/>
      <w:outlineLvl w:val="1"/>
    </w:pPr>
    <w:rPr>
      <w:rFonts w:ascii="Palatino Linotype" w:eastAsiaTheme="majorEastAsia" w:hAnsi="Palatino Linotype" w:cstheme="majorBidi"/>
      <w:color w:val="143156"/>
      <w:sz w:val="44"/>
      <w:szCs w:val="26"/>
    </w:rPr>
  </w:style>
  <w:style w:type="paragraph" w:styleId="Heading3">
    <w:name w:val="heading 3"/>
    <w:basedOn w:val="Normal"/>
    <w:next w:val="Normal"/>
    <w:link w:val="Heading3Char"/>
    <w:uiPriority w:val="9"/>
    <w:unhideWhenUsed/>
    <w:qFormat/>
    <w:rsid w:val="00605FF8"/>
    <w:pPr>
      <w:keepNext/>
      <w:keepLines/>
      <w:numPr>
        <w:numId w:val="5"/>
      </w:numPr>
      <w:spacing w:before="240" w:after="240" w:line="240" w:lineRule="auto"/>
      <w:ind w:left="426" w:hanging="426"/>
      <w:outlineLvl w:val="2"/>
    </w:pPr>
    <w:rPr>
      <w:rFonts w:ascii="Palatino Linotype" w:eastAsiaTheme="majorEastAsia" w:hAnsi="Palatino Linotype" w:cstheme="majorBidi"/>
      <w:b/>
      <w:color w:val="143156"/>
      <w:sz w:val="28"/>
      <w:szCs w:val="28"/>
    </w:rPr>
  </w:style>
  <w:style w:type="paragraph" w:styleId="Heading4">
    <w:name w:val="heading 4"/>
    <w:basedOn w:val="Normal"/>
    <w:next w:val="Normal"/>
    <w:link w:val="Heading4Char"/>
    <w:uiPriority w:val="9"/>
    <w:unhideWhenUsed/>
    <w:qFormat/>
    <w:rsid w:val="001B52CC"/>
    <w:pPr>
      <w:keepNext/>
      <w:keepLines/>
      <w:spacing w:before="240"/>
      <w:outlineLvl w:val="3"/>
    </w:pPr>
    <w:rPr>
      <w:rFonts w:ascii="Palatino Linotype" w:eastAsiaTheme="majorEastAsia" w:hAnsi="Palatino Linotype" w:cstheme="majorBidi"/>
      <w:b/>
      <w:i/>
      <w:color w:val="143156"/>
      <w:sz w:val="26"/>
      <w:szCs w:val="26"/>
    </w:rPr>
  </w:style>
  <w:style w:type="paragraph" w:styleId="Heading5">
    <w:name w:val="heading 5"/>
    <w:basedOn w:val="Normal"/>
    <w:next w:val="Normal"/>
    <w:link w:val="Heading5Char"/>
    <w:uiPriority w:val="9"/>
    <w:unhideWhenUsed/>
    <w:qFormat/>
    <w:rsid w:val="00221DC0"/>
    <w:pPr>
      <w:keepNext/>
      <w:keepLines/>
      <w:spacing w:before="40"/>
      <w:outlineLvl w:val="4"/>
    </w:pPr>
    <w:rPr>
      <w:rFonts w:eastAsiaTheme="majorEastAsia" w:cstheme="majorBidi"/>
      <w:b/>
      <w:color w:val="CE20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414A"/>
    <w:pPr>
      <w:tabs>
        <w:tab w:val="center" w:pos="4680"/>
        <w:tab w:val="right" w:pos="9360"/>
      </w:tabs>
    </w:pPr>
  </w:style>
  <w:style w:type="character" w:customStyle="1" w:styleId="HeaderChar">
    <w:name w:val="Header Char"/>
    <w:basedOn w:val="DefaultParagraphFont"/>
    <w:link w:val="Header"/>
    <w:uiPriority w:val="99"/>
    <w:rsid w:val="0030414A"/>
  </w:style>
  <w:style w:type="paragraph" w:styleId="Footer">
    <w:name w:val="footer"/>
    <w:basedOn w:val="Normal"/>
    <w:link w:val="FooterChar"/>
    <w:uiPriority w:val="99"/>
    <w:unhideWhenUsed/>
    <w:rsid w:val="0030414A"/>
    <w:pPr>
      <w:tabs>
        <w:tab w:val="center" w:pos="4680"/>
        <w:tab w:val="right" w:pos="9360"/>
      </w:tabs>
    </w:pPr>
  </w:style>
  <w:style w:type="character" w:customStyle="1" w:styleId="FooterChar">
    <w:name w:val="Footer Char"/>
    <w:basedOn w:val="DefaultParagraphFont"/>
    <w:link w:val="Footer"/>
    <w:uiPriority w:val="99"/>
    <w:rsid w:val="0030414A"/>
  </w:style>
  <w:style w:type="paragraph" w:styleId="Title">
    <w:name w:val="Title"/>
    <w:basedOn w:val="Normal"/>
    <w:next w:val="Normal"/>
    <w:link w:val="TitleChar"/>
    <w:uiPriority w:val="10"/>
    <w:qFormat/>
    <w:rsid w:val="007B0D82"/>
    <w:pPr>
      <w:contextualSpacing/>
    </w:pPr>
    <w:rPr>
      <w:rFonts w:ascii="Palatino Linotype" w:eastAsiaTheme="majorEastAsia" w:hAnsi="Palatino Linotype" w:cstheme="majorBidi"/>
      <w:b/>
      <w:color w:val="143156"/>
      <w:spacing w:val="-10"/>
      <w:kern w:val="28"/>
      <w:sz w:val="56"/>
      <w:szCs w:val="56"/>
    </w:rPr>
  </w:style>
  <w:style w:type="character" w:customStyle="1" w:styleId="TitleChar">
    <w:name w:val="Title Char"/>
    <w:basedOn w:val="DefaultParagraphFont"/>
    <w:link w:val="Title"/>
    <w:uiPriority w:val="10"/>
    <w:rsid w:val="007B0D82"/>
    <w:rPr>
      <w:rFonts w:ascii="Palatino Linotype" w:eastAsiaTheme="majorEastAsia" w:hAnsi="Palatino Linotype" w:cstheme="majorBidi"/>
      <w:b/>
      <w:color w:val="143156"/>
      <w:spacing w:val="-10"/>
      <w:kern w:val="28"/>
      <w:sz w:val="56"/>
      <w:szCs w:val="56"/>
    </w:rPr>
  </w:style>
  <w:style w:type="paragraph" w:styleId="Subtitle">
    <w:name w:val="Subtitle"/>
    <w:basedOn w:val="Normal"/>
    <w:next w:val="Normal"/>
    <w:link w:val="SubtitleChar"/>
    <w:uiPriority w:val="11"/>
    <w:qFormat/>
    <w:rsid w:val="00050924"/>
    <w:pPr>
      <w:numPr>
        <w:ilvl w:val="1"/>
      </w:numPr>
      <w:ind w:left="170"/>
    </w:pPr>
    <w:rPr>
      <w:rFonts w:ascii="Palatino Linotype" w:eastAsiaTheme="minorEastAsia" w:hAnsi="Palatino Linotype"/>
      <w:color w:val="143156"/>
      <w:spacing w:val="15"/>
      <w:sz w:val="40"/>
    </w:rPr>
  </w:style>
  <w:style w:type="character" w:customStyle="1" w:styleId="SubtitleChar">
    <w:name w:val="Subtitle Char"/>
    <w:basedOn w:val="DefaultParagraphFont"/>
    <w:link w:val="Subtitle"/>
    <w:uiPriority w:val="11"/>
    <w:rsid w:val="00050924"/>
    <w:rPr>
      <w:rFonts w:ascii="Palatino Linotype" w:eastAsiaTheme="minorEastAsia" w:hAnsi="Palatino Linotype"/>
      <w:color w:val="143156"/>
      <w:spacing w:val="15"/>
      <w:sz w:val="40"/>
    </w:rPr>
  </w:style>
  <w:style w:type="character" w:customStyle="1" w:styleId="Heading1Char">
    <w:name w:val="Heading 1 Char"/>
    <w:basedOn w:val="DefaultParagraphFont"/>
    <w:link w:val="Heading1"/>
    <w:uiPriority w:val="9"/>
    <w:rsid w:val="00C8598A"/>
    <w:rPr>
      <w:rFonts w:ascii="Palatino Linotype" w:eastAsiaTheme="majorEastAsia" w:hAnsi="Palatino Linotype" w:cstheme="majorBidi"/>
      <w:b/>
      <w:noProof/>
      <w:color w:val="143156"/>
      <w:sz w:val="48"/>
      <w:szCs w:val="32"/>
      <w:lang w:val="en-AU"/>
    </w:rPr>
  </w:style>
  <w:style w:type="character" w:customStyle="1" w:styleId="Heading2Char">
    <w:name w:val="Heading 2 Char"/>
    <w:basedOn w:val="DefaultParagraphFont"/>
    <w:link w:val="Heading2"/>
    <w:uiPriority w:val="9"/>
    <w:rsid w:val="00A04ECE"/>
    <w:rPr>
      <w:rFonts w:ascii="Palatino Linotype" w:eastAsiaTheme="majorEastAsia" w:hAnsi="Palatino Linotype" w:cstheme="majorBidi"/>
      <w:noProof/>
      <w:color w:val="143156"/>
      <w:sz w:val="44"/>
      <w:szCs w:val="26"/>
      <w:lang w:val="en-AU"/>
    </w:rPr>
  </w:style>
  <w:style w:type="character" w:styleId="SubtleEmphasis">
    <w:name w:val="Subtle Emphasis"/>
    <w:basedOn w:val="SubtitleChar"/>
    <w:uiPriority w:val="19"/>
    <w:rsid w:val="00050924"/>
    <w:rPr>
      <w:rFonts w:ascii="Palatino Linotype" w:eastAsiaTheme="minorEastAsia" w:hAnsi="Palatino Linotype"/>
      <w:i w:val="0"/>
      <w:iCs/>
      <w:color w:val="143156"/>
      <w:spacing w:val="15"/>
      <w:sz w:val="36"/>
    </w:rPr>
  </w:style>
  <w:style w:type="paragraph" w:styleId="ListParagraph">
    <w:name w:val="List Paragraph"/>
    <w:aliases w:val="Dot"/>
    <w:basedOn w:val="List"/>
    <w:next w:val="List3"/>
    <w:link w:val="ListParagraphChar"/>
    <w:autoRedefine/>
    <w:uiPriority w:val="34"/>
    <w:qFormat/>
    <w:rsid w:val="00A96744"/>
    <w:pPr>
      <w:numPr>
        <w:numId w:val="23"/>
      </w:numPr>
      <w:spacing w:line="276" w:lineRule="auto"/>
    </w:pPr>
  </w:style>
  <w:style w:type="paragraph" w:styleId="FootnoteText">
    <w:name w:val="footnote text"/>
    <w:basedOn w:val="Normal"/>
    <w:link w:val="FootnoteTextChar"/>
    <w:uiPriority w:val="99"/>
    <w:unhideWhenUsed/>
    <w:qFormat/>
    <w:rsid w:val="009B0BC3"/>
    <w:rPr>
      <w:sz w:val="16"/>
      <w:szCs w:val="20"/>
    </w:rPr>
  </w:style>
  <w:style w:type="character" w:customStyle="1" w:styleId="FootnoteTextChar">
    <w:name w:val="Footnote Text Char"/>
    <w:basedOn w:val="DefaultParagraphFont"/>
    <w:link w:val="FootnoteText"/>
    <w:uiPriority w:val="99"/>
    <w:rsid w:val="009B0BC3"/>
    <w:rPr>
      <w:rFonts w:ascii="Verdana" w:hAnsi="Verdana"/>
      <w:sz w:val="16"/>
      <w:szCs w:val="20"/>
      <w:lang w:val="en-AU"/>
    </w:rPr>
  </w:style>
  <w:style w:type="character" w:styleId="FootnoteReference">
    <w:name w:val="footnote reference"/>
    <w:basedOn w:val="DefaultParagraphFont"/>
    <w:uiPriority w:val="99"/>
    <w:unhideWhenUsed/>
    <w:rsid w:val="00537255"/>
    <w:rPr>
      <w:vertAlign w:val="superscript"/>
    </w:rPr>
  </w:style>
  <w:style w:type="character" w:styleId="Hyperlink">
    <w:name w:val="Hyperlink"/>
    <w:basedOn w:val="DefaultParagraphFont"/>
    <w:uiPriority w:val="99"/>
    <w:unhideWhenUsed/>
    <w:rsid w:val="007C61BA"/>
    <w:rPr>
      <w:color w:val="0563C1"/>
      <w:u w:val="single"/>
    </w:rPr>
  </w:style>
  <w:style w:type="character" w:styleId="Strong">
    <w:name w:val="Strong"/>
    <w:basedOn w:val="DefaultParagraphFont"/>
    <w:uiPriority w:val="22"/>
    <w:qFormat/>
    <w:rsid w:val="00050924"/>
    <w:rPr>
      <w:b/>
      <w:bCs/>
    </w:rPr>
  </w:style>
  <w:style w:type="table" w:styleId="TableGrid">
    <w:name w:val="Table Grid"/>
    <w:basedOn w:val="TableNormal"/>
    <w:uiPriority w:val="39"/>
    <w:rsid w:val="007C61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7C61BA"/>
    <w:rPr>
      <w:szCs w:val="20"/>
    </w:rPr>
  </w:style>
  <w:style w:type="character" w:customStyle="1" w:styleId="CommentTextChar">
    <w:name w:val="Comment Text Char"/>
    <w:basedOn w:val="DefaultParagraphFont"/>
    <w:link w:val="CommentText"/>
    <w:uiPriority w:val="99"/>
    <w:rsid w:val="007C61BA"/>
    <w:rPr>
      <w:rFonts w:ascii="Verdana" w:hAnsi="Verdana"/>
      <w:color w:val="000000" w:themeColor="text1"/>
      <w:sz w:val="20"/>
      <w:szCs w:val="20"/>
    </w:rPr>
  </w:style>
  <w:style w:type="character" w:customStyle="1" w:styleId="Heading3Char">
    <w:name w:val="Heading 3 Char"/>
    <w:basedOn w:val="DefaultParagraphFont"/>
    <w:link w:val="Heading3"/>
    <w:uiPriority w:val="9"/>
    <w:rsid w:val="00605FF8"/>
    <w:rPr>
      <w:rFonts w:ascii="Palatino Linotype" w:eastAsiaTheme="majorEastAsia" w:hAnsi="Palatino Linotype" w:cstheme="majorBidi"/>
      <w:b/>
      <w:color w:val="143156"/>
      <w:sz w:val="28"/>
      <w:szCs w:val="28"/>
      <w:lang w:val="en-AU" w:eastAsia="en-AU"/>
    </w:rPr>
  </w:style>
  <w:style w:type="character" w:customStyle="1" w:styleId="Heading4Char">
    <w:name w:val="Heading 4 Char"/>
    <w:basedOn w:val="DefaultParagraphFont"/>
    <w:link w:val="Heading4"/>
    <w:uiPriority w:val="9"/>
    <w:rsid w:val="001B52CC"/>
    <w:rPr>
      <w:rFonts w:ascii="Palatino Linotype" w:eastAsiaTheme="majorEastAsia" w:hAnsi="Palatino Linotype" w:cstheme="majorBidi"/>
      <w:b/>
      <w:i/>
      <w:color w:val="143156"/>
      <w:sz w:val="26"/>
      <w:szCs w:val="26"/>
      <w:lang w:val="en-AU" w:eastAsia="en-AU"/>
    </w:rPr>
  </w:style>
  <w:style w:type="character" w:customStyle="1" w:styleId="Heading5Char">
    <w:name w:val="Heading 5 Char"/>
    <w:basedOn w:val="DefaultParagraphFont"/>
    <w:link w:val="Heading5"/>
    <w:uiPriority w:val="9"/>
    <w:rsid w:val="00221DC0"/>
    <w:rPr>
      <w:rFonts w:ascii="Verdana" w:eastAsiaTheme="majorEastAsia" w:hAnsi="Verdana" w:cstheme="majorBidi"/>
      <w:b/>
      <w:color w:val="CE2028"/>
    </w:rPr>
  </w:style>
  <w:style w:type="character" w:styleId="Emphasis">
    <w:name w:val="Emphasis"/>
    <w:aliases w:val="Recommendations"/>
    <w:basedOn w:val="DefaultParagraphFont"/>
    <w:uiPriority w:val="20"/>
    <w:qFormat/>
    <w:rsid w:val="00050924"/>
    <w:rPr>
      <w:rFonts w:ascii="Verdana" w:hAnsi="Verdana"/>
      <w:b/>
      <w:i w:val="0"/>
      <w:iCs/>
      <w:color w:val="CE2028"/>
      <w:sz w:val="24"/>
    </w:rPr>
  </w:style>
  <w:style w:type="paragraph" w:customStyle="1" w:styleId="Recommendation">
    <w:name w:val="Recommendation"/>
    <w:basedOn w:val="Normal"/>
    <w:next w:val="ListNumber"/>
    <w:link w:val="RecommendationChar"/>
    <w:autoRedefine/>
    <w:qFormat/>
    <w:rsid w:val="00E504A0"/>
    <w:pPr>
      <w:keepNext/>
      <w:spacing w:before="240"/>
    </w:pPr>
    <w:rPr>
      <w:i/>
      <w:iCs/>
      <w:color w:val="CE2028"/>
      <w:shd w:val="clear" w:color="auto" w:fill="FFFFFF"/>
    </w:rPr>
  </w:style>
  <w:style w:type="table" w:customStyle="1" w:styleId="ACOSSTable">
    <w:name w:val="ACOSS Table"/>
    <w:basedOn w:val="TableNormal"/>
    <w:uiPriority w:val="99"/>
    <w:rsid w:val="00EB2EF8"/>
    <w:tblPr>
      <w:tblStyleRowBandSize w:val="1"/>
      <w:tblBorders>
        <w:top w:val="single" w:sz="2" w:space="0" w:color="707070"/>
        <w:left w:val="single" w:sz="2" w:space="0" w:color="707070"/>
        <w:bottom w:val="single" w:sz="2" w:space="0" w:color="707070"/>
        <w:right w:val="single" w:sz="2" w:space="0" w:color="707070"/>
        <w:insideH w:val="single" w:sz="2" w:space="0" w:color="707070"/>
        <w:insideV w:val="single" w:sz="2" w:space="0" w:color="707070"/>
      </w:tblBorders>
    </w:tblPr>
    <w:tblStylePr w:type="firstRow">
      <w:pPr>
        <w:jc w:val="center"/>
      </w:pPr>
      <w:rPr>
        <w:rFonts w:ascii="Verdana" w:hAnsi="Verdana"/>
        <w:color w:val="000000" w:themeColor="text1"/>
        <w:sz w:val="20"/>
      </w:rPr>
      <w:tblPr/>
      <w:tcPr>
        <w:shd w:val="clear" w:color="auto" w:fill="B8DDE1"/>
        <w:vAlign w:val="center"/>
      </w:tcPr>
    </w:tblStylePr>
    <w:tblStylePr w:type="lastRow">
      <w:pPr>
        <w:jc w:val="center"/>
      </w:pPr>
      <w:rPr>
        <w:rFonts w:ascii="Verdana" w:hAnsi="Verdana"/>
        <w:b/>
        <w:sz w:val="20"/>
      </w:rPr>
      <w:tblPr/>
      <w:tcPr>
        <w:shd w:val="clear" w:color="auto" w:fill="D9D9D9" w:themeFill="background1" w:themeFillShade="D9"/>
        <w:vAlign w:val="center"/>
      </w:tcPr>
    </w:tblStylePr>
    <w:tblStylePr w:type="firstCol">
      <w:pPr>
        <w:jc w:val="left"/>
      </w:pPr>
      <w:rPr>
        <w:rFonts w:ascii="Verdana" w:hAnsi="Verdana"/>
        <w:sz w:val="18"/>
      </w:rPr>
      <w:tblPr/>
      <w:tcPr>
        <w:shd w:val="clear" w:color="auto" w:fill="F2F2F2" w:themeFill="background1" w:themeFillShade="F2"/>
        <w:vAlign w:val="center"/>
      </w:tcPr>
    </w:tblStylePr>
    <w:tblStylePr w:type="band1Horz">
      <w:pPr>
        <w:jc w:val="center"/>
      </w:pPr>
      <w:rPr>
        <w:rFonts w:ascii="Verdana" w:hAnsi="Verdana"/>
        <w:color w:val="000000" w:themeColor="text1"/>
        <w:sz w:val="18"/>
      </w:rPr>
      <w:tblPr/>
      <w:tcPr>
        <w:shd w:val="clear" w:color="auto" w:fill="FFFFFF" w:themeFill="background1"/>
        <w:vAlign w:val="center"/>
      </w:tcPr>
    </w:tblStylePr>
    <w:tblStylePr w:type="band2Horz">
      <w:pPr>
        <w:jc w:val="center"/>
      </w:pPr>
      <w:rPr>
        <w:rFonts w:ascii="Verdana" w:hAnsi="Verdana"/>
        <w:sz w:val="18"/>
      </w:rPr>
      <w:tblPr/>
      <w:tcPr>
        <w:shd w:val="clear" w:color="auto" w:fill="EEF7F8"/>
        <w:vAlign w:val="center"/>
      </w:tcPr>
    </w:tblStylePr>
  </w:style>
  <w:style w:type="table" w:styleId="TableGridLight">
    <w:name w:val="Grid Table Light"/>
    <w:basedOn w:val="TableNormal"/>
    <w:uiPriority w:val="40"/>
    <w:rsid w:val="00A712C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A712C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A712C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A712C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ummary">
    <w:name w:val="Summary"/>
    <w:basedOn w:val="Normal"/>
    <w:next w:val="List2"/>
    <w:link w:val="SummaryChar"/>
    <w:autoRedefine/>
    <w:qFormat/>
    <w:rsid w:val="00447D3C"/>
    <w:pPr>
      <w:keepNext/>
      <w:spacing w:before="240"/>
    </w:pPr>
    <w:rPr>
      <w:b/>
      <w:color w:val="C00000"/>
      <w:sz w:val="22"/>
      <w:szCs w:val="22"/>
    </w:rPr>
  </w:style>
  <w:style w:type="character" w:customStyle="1" w:styleId="RecommendationChar">
    <w:name w:val="Recommendation Char"/>
    <w:basedOn w:val="DefaultParagraphFont"/>
    <w:link w:val="Recommendation"/>
    <w:rsid w:val="00E504A0"/>
    <w:rPr>
      <w:rFonts w:ascii="Verdana" w:eastAsia="Verdana" w:hAnsi="Verdana" w:cs="Verdana"/>
      <w:i/>
      <w:iCs/>
      <w:color w:val="CE2028"/>
      <w:sz w:val="21"/>
      <w:szCs w:val="21"/>
      <w:lang w:val="en-AU" w:eastAsia="en-AU"/>
    </w:rPr>
  </w:style>
  <w:style w:type="character" w:customStyle="1" w:styleId="SummaryChar">
    <w:name w:val="Summary Char"/>
    <w:basedOn w:val="RecommendationChar"/>
    <w:link w:val="Summary"/>
    <w:rsid w:val="00447D3C"/>
    <w:rPr>
      <w:rFonts w:ascii="Verdana" w:eastAsia="Verdana" w:hAnsi="Verdana" w:cs="Verdana"/>
      <w:b/>
      <w:i w:val="0"/>
      <w:iCs w:val="0"/>
      <w:color w:val="C00000"/>
      <w:sz w:val="21"/>
      <w:szCs w:val="21"/>
      <w:lang w:val="en-AU" w:eastAsia="en-AU"/>
    </w:rPr>
  </w:style>
  <w:style w:type="paragraph" w:styleId="List">
    <w:name w:val="List"/>
    <w:basedOn w:val="Normal"/>
    <w:uiPriority w:val="99"/>
    <w:semiHidden/>
    <w:unhideWhenUsed/>
    <w:rsid w:val="00D239AA"/>
    <w:pPr>
      <w:ind w:left="283" w:hanging="283"/>
      <w:contextualSpacing/>
    </w:pPr>
  </w:style>
  <w:style w:type="paragraph" w:styleId="ListNumber">
    <w:name w:val="List Number"/>
    <w:basedOn w:val="Normal"/>
    <w:uiPriority w:val="99"/>
    <w:unhideWhenUsed/>
    <w:rsid w:val="000C705E"/>
    <w:pPr>
      <w:numPr>
        <w:numId w:val="1"/>
      </w:numPr>
      <w:tabs>
        <w:tab w:val="clear" w:pos="502"/>
        <w:tab w:val="num" w:pos="360"/>
      </w:tabs>
      <w:ind w:left="360"/>
      <w:contextualSpacing/>
    </w:pPr>
  </w:style>
  <w:style w:type="paragraph" w:styleId="ListBullet">
    <w:name w:val="List Bullet"/>
    <w:basedOn w:val="Normal"/>
    <w:uiPriority w:val="99"/>
    <w:unhideWhenUsed/>
    <w:rsid w:val="005C3062"/>
    <w:pPr>
      <w:numPr>
        <w:numId w:val="2"/>
      </w:numPr>
      <w:contextualSpacing/>
    </w:pPr>
  </w:style>
  <w:style w:type="paragraph" w:styleId="List5">
    <w:name w:val="List 5"/>
    <w:basedOn w:val="Normal"/>
    <w:uiPriority w:val="99"/>
    <w:semiHidden/>
    <w:unhideWhenUsed/>
    <w:rsid w:val="005C3062"/>
    <w:pPr>
      <w:ind w:left="1415" w:hanging="283"/>
      <w:contextualSpacing/>
    </w:pPr>
  </w:style>
  <w:style w:type="paragraph" w:styleId="List3">
    <w:name w:val="List 3"/>
    <w:basedOn w:val="Normal"/>
    <w:uiPriority w:val="99"/>
    <w:unhideWhenUsed/>
    <w:rsid w:val="005C3062"/>
    <w:pPr>
      <w:ind w:left="849" w:hanging="283"/>
      <w:contextualSpacing/>
    </w:pPr>
  </w:style>
  <w:style w:type="paragraph" w:styleId="List2">
    <w:name w:val="List 2"/>
    <w:basedOn w:val="Normal"/>
    <w:uiPriority w:val="99"/>
    <w:unhideWhenUsed/>
    <w:rsid w:val="00BC67E3"/>
    <w:pPr>
      <w:ind w:left="566" w:hanging="283"/>
      <w:contextualSpacing/>
    </w:pPr>
  </w:style>
  <w:style w:type="character" w:styleId="CommentReference">
    <w:name w:val="annotation reference"/>
    <w:basedOn w:val="DefaultParagraphFont"/>
    <w:uiPriority w:val="99"/>
    <w:semiHidden/>
    <w:unhideWhenUsed/>
    <w:rsid w:val="00C0614D"/>
    <w:rPr>
      <w:sz w:val="16"/>
      <w:szCs w:val="16"/>
    </w:rPr>
  </w:style>
  <w:style w:type="paragraph" w:styleId="BalloonText">
    <w:name w:val="Balloon Text"/>
    <w:basedOn w:val="Normal"/>
    <w:link w:val="BalloonTextChar"/>
    <w:uiPriority w:val="99"/>
    <w:semiHidden/>
    <w:unhideWhenUsed/>
    <w:rsid w:val="00C061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614D"/>
    <w:rPr>
      <w:rFonts w:ascii="Segoe UI" w:hAnsi="Segoe UI" w:cs="Segoe UI"/>
      <w:color w:val="000000" w:themeColor="text1"/>
      <w:sz w:val="18"/>
      <w:szCs w:val="18"/>
    </w:rPr>
  </w:style>
  <w:style w:type="paragraph" w:customStyle="1" w:styleId="Default">
    <w:name w:val="Default"/>
    <w:rsid w:val="00B030DC"/>
    <w:pPr>
      <w:autoSpaceDE w:val="0"/>
      <w:autoSpaceDN w:val="0"/>
      <w:adjustRightInd w:val="0"/>
    </w:pPr>
    <w:rPr>
      <w:rFonts w:ascii="Calibri" w:hAnsi="Calibri" w:cs="Calibri"/>
      <w:color w:val="000000"/>
      <w:sz w:val="24"/>
      <w:szCs w:val="24"/>
      <w:lang w:val="en-AU"/>
    </w:rPr>
  </w:style>
  <w:style w:type="paragraph" w:styleId="CommentSubject">
    <w:name w:val="annotation subject"/>
    <w:basedOn w:val="CommentText"/>
    <w:next w:val="CommentText"/>
    <w:link w:val="CommentSubjectChar"/>
    <w:uiPriority w:val="99"/>
    <w:semiHidden/>
    <w:unhideWhenUsed/>
    <w:rsid w:val="0054216D"/>
    <w:pPr>
      <w:spacing w:line="240" w:lineRule="auto"/>
    </w:pPr>
    <w:rPr>
      <w:b/>
      <w:bCs/>
      <w:sz w:val="20"/>
    </w:rPr>
  </w:style>
  <w:style w:type="character" w:customStyle="1" w:styleId="CommentSubjectChar">
    <w:name w:val="Comment Subject Char"/>
    <w:basedOn w:val="CommentTextChar"/>
    <w:link w:val="CommentSubject"/>
    <w:uiPriority w:val="99"/>
    <w:semiHidden/>
    <w:rsid w:val="0054216D"/>
    <w:rPr>
      <w:rFonts w:ascii="Verdana" w:hAnsi="Verdana"/>
      <w:b/>
      <w:bCs/>
      <w:color w:val="000000" w:themeColor="text1"/>
      <w:sz w:val="20"/>
      <w:szCs w:val="20"/>
      <w:lang w:val="en-AU"/>
    </w:rPr>
  </w:style>
  <w:style w:type="character" w:styleId="UnresolvedMention">
    <w:name w:val="Unresolved Mention"/>
    <w:basedOn w:val="DefaultParagraphFont"/>
    <w:uiPriority w:val="99"/>
    <w:semiHidden/>
    <w:unhideWhenUsed/>
    <w:rsid w:val="00E03221"/>
    <w:rPr>
      <w:color w:val="605E5C"/>
      <w:shd w:val="clear" w:color="auto" w:fill="E1DFDD"/>
    </w:rPr>
  </w:style>
  <w:style w:type="paragraph" w:styleId="NormalWeb">
    <w:name w:val="Normal (Web)"/>
    <w:basedOn w:val="Normal"/>
    <w:uiPriority w:val="99"/>
    <w:unhideWhenUsed/>
    <w:rsid w:val="00050F40"/>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styleId="FollowedHyperlink">
    <w:name w:val="FollowedHyperlink"/>
    <w:basedOn w:val="DefaultParagraphFont"/>
    <w:uiPriority w:val="99"/>
    <w:semiHidden/>
    <w:unhideWhenUsed/>
    <w:rsid w:val="001659B2"/>
    <w:rPr>
      <w:color w:val="954F72" w:themeColor="followedHyperlink"/>
      <w:u w:val="single"/>
    </w:rPr>
  </w:style>
  <w:style w:type="paragraph" w:styleId="Revision">
    <w:name w:val="Revision"/>
    <w:hidden/>
    <w:uiPriority w:val="99"/>
    <w:semiHidden/>
    <w:rsid w:val="00027DD7"/>
    <w:rPr>
      <w:rFonts w:ascii="Verdana" w:hAnsi="Verdana"/>
      <w:lang w:val="en-AU"/>
    </w:rPr>
  </w:style>
  <w:style w:type="paragraph" w:styleId="TOCHeading">
    <w:name w:val="TOC Heading"/>
    <w:basedOn w:val="Heading1"/>
    <w:next w:val="Normal"/>
    <w:uiPriority w:val="39"/>
    <w:unhideWhenUsed/>
    <w:qFormat/>
    <w:rsid w:val="00270C1D"/>
    <w:pPr>
      <w:outlineLvl w:val="9"/>
    </w:pPr>
    <w:rPr>
      <w:rFonts w:asciiTheme="majorHAnsi" w:hAnsiTheme="majorHAnsi"/>
      <w:b w:val="0"/>
      <w:color w:val="2E74B5" w:themeColor="accent1" w:themeShade="BF"/>
      <w:sz w:val="32"/>
      <w:lang w:val="en-US" w:eastAsia="en-US"/>
    </w:rPr>
  </w:style>
  <w:style w:type="paragraph" w:styleId="TOC1">
    <w:name w:val="toc 1"/>
    <w:basedOn w:val="Normal"/>
    <w:next w:val="Normal"/>
    <w:autoRedefine/>
    <w:uiPriority w:val="39"/>
    <w:unhideWhenUsed/>
    <w:rsid w:val="00270C1D"/>
    <w:pPr>
      <w:spacing w:after="100"/>
    </w:pPr>
  </w:style>
  <w:style w:type="paragraph" w:styleId="TOC2">
    <w:name w:val="toc 2"/>
    <w:basedOn w:val="Normal"/>
    <w:next w:val="Normal"/>
    <w:autoRedefine/>
    <w:uiPriority w:val="39"/>
    <w:unhideWhenUsed/>
    <w:rsid w:val="00270C1D"/>
    <w:pPr>
      <w:spacing w:after="100"/>
      <w:ind w:left="220"/>
    </w:pPr>
  </w:style>
  <w:style w:type="paragraph" w:styleId="TOC3">
    <w:name w:val="toc 3"/>
    <w:basedOn w:val="Normal"/>
    <w:next w:val="Normal"/>
    <w:autoRedefine/>
    <w:uiPriority w:val="39"/>
    <w:unhideWhenUsed/>
    <w:rsid w:val="00270C1D"/>
    <w:pPr>
      <w:spacing w:after="100"/>
      <w:ind w:left="440"/>
    </w:pPr>
  </w:style>
  <w:style w:type="paragraph" w:customStyle="1" w:styleId="Footnotes">
    <w:name w:val="Footnotes"/>
    <w:basedOn w:val="FootnoteText"/>
    <w:link w:val="FootnotesChar"/>
    <w:qFormat/>
    <w:rsid w:val="00020751"/>
    <w:pPr>
      <w:spacing w:before="0" w:line="240" w:lineRule="auto"/>
      <w:jc w:val="both"/>
    </w:pPr>
    <w:rPr>
      <w:rFonts w:eastAsiaTheme="minorHAnsi" w:cstheme="minorHAnsi"/>
      <w:color w:val="000000" w:themeColor="text1"/>
      <w:sz w:val="17"/>
      <w:szCs w:val="17"/>
      <w:lang w:val="en-US" w:eastAsia="en-US"/>
    </w:rPr>
  </w:style>
  <w:style w:type="character" w:customStyle="1" w:styleId="FootnotesChar">
    <w:name w:val="Footnotes Char"/>
    <w:basedOn w:val="DefaultParagraphFont"/>
    <w:link w:val="Footnotes"/>
    <w:rsid w:val="00020751"/>
    <w:rPr>
      <w:rFonts w:ascii="Verdana" w:hAnsi="Verdana" w:cstheme="minorHAnsi"/>
      <w:color w:val="000000" w:themeColor="text1"/>
      <w:sz w:val="17"/>
      <w:szCs w:val="17"/>
    </w:rPr>
  </w:style>
  <w:style w:type="paragraph" w:styleId="NoSpacing">
    <w:name w:val="No Spacing"/>
    <w:uiPriority w:val="1"/>
    <w:qFormat/>
    <w:rsid w:val="007F7E86"/>
    <w:pPr>
      <w:spacing w:line="240" w:lineRule="auto"/>
    </w:pPr>
    <w:rPr>
      <w:rFonts w:ascii="Verdana" w:eastAsia="Calibri" w:hAnsi="Verdana" w:cs="Calibri"/>
      <w:sz w:val="20"/>
      <w:szCs w:val="20"/>
      <w:lang w:val="en-GB" w:eastAsia="en-AU"/>
    </w:rPr>
  </w:style>
  <w:style w:type="paragraph" w:customStyle="1" w:styleId="paragraph">
    <w:name w:val="paragraph"/>
    <w:basedOn w:val="Normal"/>
    <w:rsid w:val="007F7E8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7F7E86"/>
  </w:style>
  <w:style w:type="character" w:customStyle="1" w:styleId="eop">
    <w:name w:val="eop"/>
    <w:basedOn w:val="DefaultParagraphFont"/>
    <w:rsid w:val="007F7E86"/>
  </w:style>
  <w:style w:type="character" w:customStyle="1" w:styleId="superscript">
    <w:name w:val="superscript"/>
    <w:basedOn w:val="DefaultParagraphFont"/>
    <w:rsid w:val="007F7E86"/>
  </w:style>
  <w:style w:type="character" w:customStyle="1" w:styleId="ListParagraphChar">
    <w:name w:val="List Paragraph Char"/>
    <w:aliases w:val="Dot Char"/>
    <w:basedOn w:val="DefaultParagraphFont"/>
    <w:link w:val="ListParagraph"/>
    <w:uiPriority w:val="34"/>
    <w:locked/>
    <w:rsid w:val="00A96744"/>
    <w:rPr>
      <w:rFonts w:ascii="Verdana" w:eastAsia="Verdana" w:hAnsi="Verdana" w:cs="Verdana"/>
      <w:sz w:val="21"/>
      <w:szCs w:val="21"/>
      <w:lang w:val="en-AU" w:eastAsia="en-AU"/>
    </w:rPr>
  </w:style>
  <w:style w:type="character" w:customStyle="1" w:styleId="findhit">
    <w:name w:val="findhit"/>
    <w:basedOn w:val="DefaultParagraphFont"/>
    <w:rsid w:val="007F7E86"/>
  </w:style>
  <w:style w:type="paragraph" w:customStyle="1" w:styleId="Body">
    <w:name w:val="Body"/>
    <w:rsid w:val="003E5105"/>
    <w:pPr>
      <w:pBdr>
        <w:top w:val="nil"/>
        <w:left w:val="nil"/>
        <w:bottom w:val="nil"/>
        <w:right w:val="nil"/>
        <w:between w:val="nil"/>
        <w:bar w:val="nil"/>
      </w:pBdr>
      <w:spacing w:before="120" w:after="120"/>
      <w:ind w:left="170"/>
    </w:pPr>
    <w:rPr>
      <w:rFonts w:ascii="Verdana" w:eastAsia="Arial Unicode MS" w:hAnsi="Verdana" w:cs="Arial Unicode MS"/>
      <w:color w:val="000000"/>
      <w:u w:color="000000"/>
      <w:bdr w:val="nil"/>
      <w:lang w:eastAsia="en-AU"/>
      <w14:textOutline w14:w="0" w14:cap="flat" w14:cmpd="sng" w14:algn="ctr">
        <w14:noFill/>
        <w14:prstDash w14:val="solid"/>
        <w14:bevel/>
      </w14:textOutline>
    </w:rPr>
  </w:style>
  <w:style w:type="paragraph" w:styleId="EndnoteText">
    <w:name w:val="endnote text"/>
    <w:basedOn w:val="Normal"/>
    <w:link w:val="EndnoteTextChar"/>
    <w:uiPriority w:val="99"/>
    <w:semiHidden/>
    <w:unhideWhenUsed/>
    <w:rsid w:val="008255B8"/>
    <w:pPr>
      <w:spacing w:before="0" w:line="240" w:lineRule="auto"/>
    </w:pPr>
    <w:rPr>
      <w:rFonts w:eastAsiaTheme="minorHAnsi" w:cstheme="minorBidi"/>
      <w:color w:val="000000" w:themeColor="text1"/>
      <w:sz w:val="20"/>
      <w:szCs w:val="20"/>
      <w:lang w:val="en-US" w:eastAsia="en-US"/>
    </w:rPr>
  </w:style>
  <w:style w:type="character" w:customStyle="1" w:styleId="EndnoteTextChar">
    <w:name w:val="Endnote Text Char"/>
    <w:basedOn w:val="DefaultParagraphFont"/>
    <w:link w:val="EndnoteText"/>
    <w:uiPriority w:val="99"/>
    <w:semiHidden/>
    <w:rsid w:val="008255B8"/>
    <w:rPr>
      <w:rFonts w:ascii="Verdana" w:hAnsi="Verdana"/>
      <w:color w:val="000000" w:themeColor="text1"/>
      <w:sz w:val="20"/>
      <w:szCs w:val="20"/>
    </w:rPr>
  </w:style>
  <w:style w:type="character" w:styleId="EndnoteReference">
    <w:name w:val="endnote reference"/>
    <w:basedOn w:val="DefaultParagraphFont"/>
    <w:uiPriority w:val="99"/>
    <w:semiHidden/>
    <w:unhideWhenUsed/>
    <w:rsid w:val="008255B8"/>
    <w:rPr>
      <w:vertAlign w:val="superscript"/>
    </w:rPr>
  </w:style>
  <w:style w:type="character" w:customStyle="1" w:styleId="xgrame">
    <w:name w:val="x_grame"/>
    <w:basedOn w:val="DefaultParagraphFont"/>
    <w:rsid w:val="0074679D"/>
  </w:style>
  <w:style w:type="character" w:styleId="Mention">
    <w:name w:val="Mention"/>
    <w:basedOn w:val="DefaultParagraphFont"/>
    <w:uiPriority w:val="99"/>
    <w:unhideWhenUsed/>
    <w:rsid w:val="0005336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12639">
      <w:bodyDiv w:val="1"/>
      <w:marLeft w:val="0"/>
      <w:marRight w:val="0"/>
      <w:marTop w:val="0"/>
      <w:marBottom w:val="0"/>
      <w:divBdr>
        <w:top w:val="none" w:sz="0" w:space="0" w:color="auto"/>
        <w:left w:val="none" w:sz="0" w:space="0" w:color="auto"/>
        <w:bottom w:val="none" w:sz="0" w:space="0" w:color="auto"/>
        <w:right w:val="none" w:sz="0" w:space="0" w:color="auto"/>
      </w:divBdr>
    </w:div>
    <w:div w:id="81072455">
      <w:bodyDiv w:val="1"/>
      <w:marLeft w:val="0"/>
      <w:marRight w:val="0"/>
      <w:marTop w:val="0"/>
      <w:marBottom w:val="0"/>
      <w:divBdr>
        <w:top w:val="none" w:sz="0" w:space="0" w:color="auto"/>
        <w:left w:val="none" w:sz="0" w:space="0" w:color="auto"/>
        <w:bottom w:val="none" w:sz="0" w:space="0" w:color="auto"/>
        <w:right w:val="none" w:sz="0" w:space="0" w:color="auto"/>
      </w:divBdr>
    </w:div>
    <w:div w:id="121660499">
      <w:bodyDiv w:val="1"/>
      <w:marLeft w:val="0"/>
      <w:marRight w:val="0"/>
      <w:marTop w:val="0"/>
      <w:marBottom w:val="0"/>
      <w:divBdr>
        <w:top w:val="none" w:sz="0" w:space="0" w:color="auto"/>
        <w:left w:val="none" w:sz="0" w:space="0" w:color="auto"/>
        <w:bottom w:val="none" w:sz="0" w:space="0" w:color="auto"/>
        <w:right w:val="none" w:sz="0" w:space="0" w:color="auto"/>
      </w:divBdr>
    </w:div>
    <w:div w:id="135805867">
      <w:bodyDiv w:val="1"/>
      <w:marLeft w:val="0"/>
      <w:marRight w:val="0"/>
      <w:marTop w:val="0"/>
      <w:marBottom w:val="0"/>
      <w:divBdr>
        <w:top w:val="none" w:sz="0" w:space="0" w:color="auto"/>
        <w:left w:val="none" w:sz="0" w:space="0" w:color="auto"/>
        <w:bottom w:val="none" w:sz="0" w:space="0" w:color="auto"/>
        <w:right w:val="none" w:sz="0" w:space="0" w:color="auto"/>
      </w:divBdr>
    </w:div>
    <w:div w:id="237833343">
      <w:bodyDiv w:val="1"/>
      <w:marLeft w:val="0"/>
      <w:marRight w:val="0"/>
      <w:marTop w:val="0"/>
      <w:marBottom w:val="0"/>
      <w:divBdr>
        <w:top w:val="none" w:sz="0" w:space="0" w:color="auto"/>
        <w:left w:val="none" w:sz="0" w:space="0" w:color="auto"/>
        <w:bottom w:val="none" w:sz="0" w:space="0" w:color="auto"/>
        <w:right w:val="none" w:sz="0" w:space="0" w:color="auto"/>
      </w:divBdr>
    </w:div>
    <w:div w:id="285164943">
      <w:bodyDiv w:val="1"/>
      <w:marLeft w:val="0"/>
      <w:marRight w:val="0"/>
      <w:marTop w:val="0"/>
      <w:marBottom w:val="0"/>
      <w:divBdr>
        <w:top w:val="none" w:sz="0" w:space="0" w:color="auto"/>
        <w:left w:val="none" w:sz="0" w:space="0" w:color="auto"/>
        <w:bottom w:val="none" w:sz="0" w:space="0" w:color="auto"/>
        <w:right w:val="none" w:sz="0" w:space="0" w:color="auto"/>
      </w:divBdr>
    </w:div>
    <w:div w:id="290092518">
      <w:bodyDiv w:val="1"/>
      <w:marLeft w:val="0"/>
      <w:marRight w:val="0"/>
      <w:marTop w:val="0"/>
      <w:marBottom w:val="0"/>
      <w:divBdr>
        <w:top w:val="none" w:sz="0" w:space="0" w:color="auto"/>
        <w:left w:val="none" w:sz="0" w:space="0" w:color="auto"/>
        <w:bottom w:val="none" w:sz="0" w:space="0" w:color="auto"/>
        <w:right w:val="none" w:sz="0" w:space="0" w:color="auto"/>
      </w:divBdr>
      <w:divsChild>
        <w:div w:id="458376984">
          <w:marLeft w:val="0"/>
          <w:marRight w:val="0"/>
          <w:marTop w:val="0"/>
          <w:marBottom w:val="0"/>
          <w:divBdr>
            <w:top w:val="single" w:sz="2" w:space="0" w:color="000000"/>
            <w:left w:val="single" w:sz="2" w:space="0" w:color="000000"/>
            <w:bottom w:val="single" w:sz="2" w:space="0" w:color="000000"/>
            <w:right w:val="single" w:sz="2" w:space="0" w:color="000000"/>
          </w:divBdr>
          <w:divsChild>
            <w:div w:id="629819411">
              <w:marLeft w:val="0"/>
              <w:marRight w:val="0"/>
              <w:marTop w:val="0"/>
              <w:marBottom w:val="0"/>
              <w:divBdr>
                <w:top w:val="single" w:sz="2" w:space="0" w:color="000000"/>
                <w:left w:val="single" w:sz="2" w:space="0" w:color="000000"/>
                <w:bottom w:val="single" w:sz="2" w:space="0" w:color="000000"/>
                <w:right w:val="single" w:sz="2" w:space="0" w:color="000000"/>
              </w:divBdr>
              <w:divsChild>
                <w:div w:id="911698108">
                  <w:marLeft w:val="0"/>
                  <w:marRight w:val="0"/>
                  <w:marTop w:val="0"/>
                  <w:marBottom w:val="30"/>
                  <w:divBdr>
                    <w:top w:val="single" w:sz="2" w:space="0" w:color="000000"/>
                    <w:left w:val="single" w:sz="2" w:space="0" w:color="000000"/>
                    <w:bottom w:val="single" w:sz="2" w:space="0" w:color="000000"/>
                    <w:right w:val="single" w:sz="2" w:space="0" w:color="000000"/>
                  </w:divBdr>
                  <w:divsChild>
                    <w:div w:id="970939450">
                      <w:marLeft w:val="0"/>
                      <w:marRight w:val="0"/>
                      <w:marTop w:val="0"/>
                      <w:marBottom w:val="0"/>
                      <w:divBdr>
                        <w:top w:val="single" w:sz="2" w:space="0" w:color="000000"/>
                        <w:left w:val="single" w:sz="2" w:space="0" w:color="000000"/>
                        <w:bottom w:val="single" w:sz="2" w:space="0" w:color="000000"/>
                        <w:right w:val="single" w:sz="2" w:space="0" w:color="000000"/>
                      </w:divBdr>
                      <w:divsChild>
                        <w:div w:id="336343929">
                          <w:marLeft w:val="0"/>
                          <w:marRight w:val="0"/>
                          <w:marTop w:val="0"/>
                          <w:marBottom w:val="0"/>
                          <w:divBdr>
                            <w:top w:val="single" w:sz="2" w:space="0" w:color="000000"/>
                            <w:left w:val="single" w:sz="2" w:space="0" w:color="000000"/>
                            <w:bottom w:val="single" w:sz="2" w:space="0" w:color="000000"/>
                            <w:right w:val="single" w:sz="2" w:space="0" w:color="000000"/>
                          </w:divBdr>
                          <w:divsChild>
                            <w:div w:id="945964214">
                              <w:marLeft w:val="0"/>
                              <w:marRight w:val="0"/>
                              <w:marTop w:val="0"/>
                              <w:marBottom w:val="0"/>
                              <w:divBdr>
                                <w:top w:val="single" w:sz="2" w:space="0" w:color="000000"/>
                                <w:left w:val="single" w:sz="2" w:space="0" w:color="000000"/>
                                <w:bottom w:val="single" w:sz="2" w:space="0" w:color="000000"/>
                                <w:right w:val="single" w:sz="2" w:space="0" w:color="000000"/>
                              </w:divBdr>
                              <w:divsChild>
                                <w:div w:id="2116710179">
                                  <w:marLeft w:val="0"/>
                                  <w:marRight w:val="0"/>
                                  <w:marTop w:val="0"/>
                                  <w:marBottom w:val="0"/>
                                  <w:divBdr>
                                    <w:top w:val="single" w:sz="2" w:space="0" w:color="000000"/>
                                    <w:left w:val="single" w:sz="2" w:space="0" w:color="000000"/>
                                    <w:bottom w:val="single" w:sz="2" w:space="0" w:color="000000"/>
                                    <w:right w:val="single" w:sz="2" w:space="0" w:color="000000"/>
                                  </w:divBdr>
                                  <w:divsChild>
                                    <w:div w:id="337926350">
                                      <w:marLeft w:val="0"/>
                                      <w:marRight w:val="0"/>
                                      <w:marTop w:val="0"/>
                                      <w:marBottom w:val="0"/>
                                      <w:divBdr>
                                        <w:top w:val="single" w:sz="2" w:space="0" w:color="000000"/>
                                        <w:left w:val="single" w:sz="2" w:space="0" w:color="000000"/>
                                        <w:bottom w:val="single" w:sz="2" w:space="0" w:color="000000"/>
                                        <w:right w:val="single" w:sz="2" w:space="0" w:color="000000"/>
                                      </w:divBdr>
                                      <w:divsChild>
                                        <w:div w:id="184431673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659890553">
                                      <w:marLeft w:val="0"/>
                                      <w:marRight w:val="0"/>
                                      <w:marTop w:val="0"/>
                                      <w:marBottom w:val="0"/>
                                      <w:divBdr>
                                        <w:top w:val="single" w:sz="2" w:space="0" w:color="000000"/>
                                        <w:left w:val="single" w:sz="2" w:space="0" w:color="000000"/>
                                        <w:bottom w:val="single" w:sz="2" w:space="0" w:color="000000"/>
                                        <w:right w:val="single" w:sz="2" w:space="0" w:color="000000"/>
                                      </w:divBdr>
                                      <w:divsChild>
                                        <w:div w:id="186359032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 w:id="835851049">
          <w:marLeft w:val="0"/>
          <w:marRight w:val="180"/>
          <w:marTop w:val="0"/>
          <w:marBottom w:val="0"/>
          <w:divBdr>
            <w:top w:val="single" w:sz="2" w:space="0" w:color="000000"/>
            <w:left w:val="single" w:sz="2" w:space="0" w:color="000000"/>
            <w:bottom w:val="single" w:sz="2" w:space="0" w:color="000000"/>
            <w:right w:val="single" w:sz="2" w:space="0" w:color="000000"/>
          </w:divBdr>
          <w:divsChild>
            <w:div w:id="126048043">
              <w:marLeft w:val="0"/>
              <w:marRight w:val="0"/>
              <w:marTop w:val="0"/>
              <w:marBottom w:val="0"/>
              <w:divBdr>
                <w:top w:val="single" w:sz="2" w:space="0" w:color="000000"/>
                <w:left w:val="single" w:sz="2" w:space="0" w:color="000000"/>
                <w:bottom w:val="single" w:sz="2" w:space="0" w:color="000000"/>
                <w:right w:val="single" w:sz="2" w:space="0" w:color="000000"/>
              </w:divBdr>
              <w:divsChild>
                <w:div w:id="1362127753">
                  <w:marLeft w:val="0"/>
                  <w:marRight w:val="0"/>
                  <w:marTop w:val="0"/>
                  <w:marBottom w:val="0"/>
                  <w:divBdr>
                    <w:top w:val="single" w:sz="2" w:space="0" w:color="000000"/>
                    <w:left w:val="single" w:sz="2" w:space="0" w:color="000000"/>
                    <w:bottom w:val="single" w:sz="2" w:space="0" w:color="000000"/>
                    <w:right w:val="single" w:sz="2" w:space="0" w:color="000000"/>
                  </w:divBdr>
                  <w:divsChild>
                    <w:div w:id="246041544">
                      <w:marLeft w:val="0"/>
                      <w:marRight w:val="0"/>
                      <w:marTop w:val="0"/>
                      <w:marBottom w:val="0"/>
                      <w:divBdr>
                        <w:top w:val="single" w:sz="2" w:space="0" w:color="000000"/>
                        <w:left w:val="single" w:sz="2" w:space="0" w:color="000000"/>
                        <w:bottom w:val="single" w:sz="2" w:space="0" w:color="000000"/>
                        <w:right w:val="single" w:sz="2" w:space="0" w:color="000000"/>
                      </w:divBdr>
                      <w:divsChild>
                        <w:div w:id="2051373989">
                          <w:marLeft w:val="0"/>
                          <w:marRight w:val="0"/>
                          <w:marTop w:val="0"/>
                          <w:marBottom w:val="0"/>
                          <w:divBdr>
                            <w:top w:val="single" w:sz="2" w:space="0" w:color="000000"/>
                            <w:left w:val="single" w:sz="2" w:space="0" w:color="000000"/>
                            <w:bottom w:val="single" w:sz="2" w:space="0" w:color="000000"/>
                            <w:right w:val="single" w:sz="2" w:space="0" w:color="000000"/>
                          </w:divBdr>
                          <w:divsChild>
                            <w:div w:id="1638097553">
                              <w:marLeft w:val="0"/>
                              <w:marRight w:val="0"/>
                              <w:marTop w:val="0"/>
                              <w:marBottom w:val="0"/>
                              <w:divBdr>
                                <w:top w:val="none" w:sz="0" w:space="0" w:color="auto"/>
                                <w:left w:val="none" w:sz="0" w:space="0" w:color="auto"/>
                                <w:bottom w:val="none" w:sz="0" w:space="0" w:color="auto"/>
                                <w:right w:val="none" w:sz="0" w:space="0" w:color="auto"/>
                              </w:divBdr>
                              <w:divsChild>
                                <w:div w:id="139789532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311296437">
      <w:bodyDiv w:val="1"/>
      <w:marLeft w:val="0"/>
      <w:marRight w:val="0"/>
      <w:marTop w:val="0"/>
      <w:marBottom w:val="0"/>
      <w:divBdr>
        <w:top w:val="none" w:sz="0" w:space="0" w:color="auto"/>
        <w:left w:val="none" w:sz="0" w:space="0" w:color="auto"/>
        <w:bottom w:val="none" w:sz="0" w:space="0" w:color="auto"/>
        <w:right w:val="none" w:sz="0" w:space="0" w:color="auto"/>
      </w:divBdr>
    </w:div>
    <w:div w:id="323239026">
      <w:bodyDiv w:val="1"/>
      <w:marLeft w:val="0"/>
      <w:marRight w:val="0"/>
      <w:marTop w:val="0"/>
      <w:marBottom w:val="0"/>
      <w:divBdr>
        <w:top w:val="none" w:sz="0" w:space="0" w:color="auto"/>
        <w:left w:val="none" w:sz="0" w:space="0" w:color="auto"/>
        <w:bottom w:val="none" w:sz="0" w:space="0" w:color="auto"/>
        <w:right w:val="none" w:sz="0" w:space="0" w:color="auto"/>
      </w:divBdr>
    </w:div>
    <w:div w:id="358971803">
      <w:bodyDiv w:val="1"/>
      <w:marLeft w:val="0"/>
      <w:marRight w:val="0"/>
      <w:marTop w:val="0"/>
      <w:marBottom w:val="0"/>
      <w:divBdr>
        <w:top w:val="none" w:sz="0" w:space="0" w:color="auto"/>
        <w:left w:val="none" w:sz="0" w:space="0" w:color="auto"/>
        <w:bottom w:val="none" w:sz="0" w:space="0" w:color="auto"/>
        <w:right w:val="none" w:sz="0" w:space="0" w:color="auto"/>
      </w:divBdr>
    </w:div>
    <w:div w:id="423847696">
      <w:bodyDiv w:val="1"/>
      <w:marLeft w:val="0"/>
      <w:marRight w:val="0"/>
      <w:marTop w:val="0"/>
      <w:marBottom w:val="0"/>
      <w:divBdr>
        <w:top w:val="none" w:sz="0" w:space="0" w:color="auto"/>
        <w:left w:val="none" w:sz="0" w:space="0" w:color="auto"/>
        <w:bottom w:val="none" w:sz="0" w:space="0" w:color="auto"/>
        <w:right w:val="none" w:sz="0" w:space="0" w:color="auto"/>
      </w:divBdr>
    </w:div>
    <w:div w:id="576552716">
      <w:bodyDiv w:val="1"/>
      <w:marLeft w:val="0"/>
      <w:marRight w:val="0"/>
      <w:marTop w:val="0"/>
      <w:marBottom w:val="0"/>
      <w:divBdr>
        <w:top w:val="none" w:sz="0" w:space="0" w:color="auto"/>
        <w:left w:val="none" w:sz="0" w:space="0" w:color="auto"/>
        <w:bottom w:val="none" w:sz="0" w:space="0" w:color="auto"/>
        <w:right w:val="none" w:sz="0" w:space="0" w:color="auto"/>
      </w:divBdr>
    </w:div>
    <w:div w:id="737292514">
      <w:bodyDiv w:val="1"/>
      <w:marLeft w:val="0"/>
      <w:marRight w:val="0"/>
      <w:marTop w:val="0"/>
      <w:marBottom w:val="0"/>
      <w:divBdr>
        <w:top w:val="none" w:sz="0" w:space="0" w:color="auto"/>
        <w:left w:val="none" w:sz="0" w:space="0" w:color="auto"/>
        <w:bottom w:val="none" w:sz="0" w:space="0" w:color="auto"/>
        <w:right w:val="none" w:sz="0" w:space="0" w:color="auto"/>
      </w:divBdr>
    </w:div>
    <w:div w:id="758061403">
      <w:bodyDiv w:val="1"/>
      <w:marLeft w:val="0"/>
      <w:marRight w:val="0"/>
      <w:marTop w:val="0"/>
      <w:marBottom w:val="0"/>
      <w:divBdr>
        <w:top w:val="none" w:sz="0" w:space="0" w:color="auto"/>
        <w:left w:val="none" w:sz="0" w:space="0" w:color="auto"/>
        <w:bottom w:val="none" w:sz="0" w:space="0" w:color="auto"/>
        <w:right w:val="none" w:sz="0" w:space="0" w:color="auto"/>
      </w:divBdr>
    </w:div>
    <w:div w:id="878326013">
      <w:bodyDiv w:val="1"/>
      <w:marLeft w:val="0"/>
      <w:marRight w:val="0"/>
      <w:marTop w:val="0"/>
      <w:marBottom w:val="0"/>
      <w:divBdr>
        <w:top w:val="none" w:sz="0" w:space="0" w:color="auto"/>
        <w:left w:val="none" w:sz="0" w:space="0" w:color="auto"/>
        <w:bottom w:val="none" w:sz="0" w:space="0" w:color="auto"/>
        <w:right w:val="none" w:sz="0" w:space="0" w:color="auto"/>
      </w:divBdr>
    </w:div>
    <w:div w:id="894700357">
      <w:bodyDiv w:val="1"/>
      <w:marLeft w:val="0"/>
      <w:marRight w:val="0"/>
      <w:marTop w:val="0"/>
      <w:marBottom w:val="0"/>
      <w:divBdr>
        <w:top w:val="none" w:sz="0" w:space="0" w:color="auto"/>
        <w:left w:val="none" w:sz="0" w:space="0" w:color="auto"/>
        <w:bottom w:val="none" w:sz="0" w:space="0" w:color="auto"/>
        <w:right w:val="none" w:sz="0" w:space="0" w:color="auto"/>
      </w:divBdr>
    </w:div>
    <w:div w:id="903637430">
      <w:bodyDiv w:val="1"/>
      <w:marLeft w:val="0"/>
      <w:marRight w:val="0"/>
      <w:marTop w:val="0"/>
      <w:marBottom w:val="0"/>
      <w:divBdr>
        <w:top w:val="none" w:sz="0" w:space="0" w:color="auto"/>
        <w:left w:val="none" w:sz="0" w:space="0" w:color="auto"/>
        <w:bottom w:val="none" w:sz="0" w:space="0" w:color="auto"/>
        <w:right w:val="none" w:sz="0" w:space="0" w:color="auto"/>
      </w:divBdr>
    </w:div>
    <w:div w:id="916019355">
      <w:bodyDiv w:val="1"/>
      <w:marLeft w:val="0"/>
      <w:marRight w:val="0"/>
      <w:marTop w:val="0"/>
      <w:marBottom w:val="0"/>
      <w:divBdr>
        <w:top w:val="none" w:sz="0" w:space="0" w:color="auto"/>
        <w:left w:val="none" w:sz="0" w:space="0" w:color="auto"/>
        <w:bottom w:val="none" w:sz="0" w:space="0" w:color="auto"/>
        <w:right w:val="none" w:sz="0" w:space="0" w:color="auto"/>
      </w:divBdr>
    </w:div>
    <w:div w:id="949703228">
      <w:bodyDiv w:val="1"/>
      <w:marLeft w:val="0"/>
      <w:marRight w:val="0"/>
      <w:marTop w:val="0"/>
      <w:marBottom w:val="0"/>
      <w:divBdr>
        <w:top w:val="none" w:sz="0" w:space="0" w:color="auto"/>
        <w:left w:val="none" w:sz="0" w:space="0" w:color="auto"/>
        <w:bottom w:val="none" w:sz="0" w:space="0" w:color="auto"/>
        <w:right w:val="none" w:sz="0" w:space="0" w:color="auto"/>
      </w:divBdr>
    </w:div>
    <w:div w:id="1018894243">
      <w:bodyDiv w:val="1"/>
      <w:marLeft w:val="0"/>
      <w:marRight w:val="0"/>
      <w:marTop w:val="0"/>
      <w:marBottom w:val="0"/>
      <w:divBdr>
        <w:top w:val="none" w:sz="0" w:space="0" w:color="auto"/>
        <w:left w:val="none" w:sz="0" w:space="0" w:color="auto"/>
        <w:bottom w:val="none" w:sz="0" w:space="0" w:color="auto"/>
        <w:right w:val="none" w:sz="0" w:space="0" w:color="auto"/>
      </w:divBdr>
    </w:div>
    <w:div w:id="1027680169">
      <w:bodyDiv w:val="1"/>
      <w:marLeft w:val="0"/>
      <w:marRight w:val="0"/>
      <w:marTop w:val="0"/>
      <w:marBottom w:val="0"/>
      <w:divBdr>
        <w:top w:val="none" w:sz="0" w:space="0" w:color="auto"/>
        <w:left w:val="none" w:sz="0" w:space="0" w:color="auto"/>
        <w:bottom w:val="none" w:sz="0" w:space="0" w:color="auto"/>
        <w:right w:val="none" w:sz="0" w:space="0" w:color="auto"/>
      </w:divBdr>
    </w:div>
    <w:div w:id="1084377895">
      <w:bodyDiv w:val="1"/>
      <w:marLeft w:val="0"/>
      <w:marRight w:val="0"/>
      <w:marTop w:val="0"/>
      <w:marBottom w:val="0"/>
      <w:divBdr>
        <w:top w:val="none" w:sz="0" w:space="0" w:color="auto"/>
        <w:left w:val="none" w:sz="0" w:space="0" w:color="auto"/>
        <w:bottom w:val="none" w:sz="0" w:space="0" w:color="auto"/>
        <w:right w:val="none" w:sz="0" w:space="0" w:color="auto"/>
      </w:divBdr>
    </w:div>
    <w:div w:id="1109013554">
      <w:bodyDiv w:val="1"/>
      <w:marLeft w:val="0"/>
      <w:marRight w:val="0"/>
      <w:marTop w:val="0"/>
      <w:marBottom w:val="0"/>
      <w:divBdr>
        <w:top w:val="none" w:sz="0" w:space="0" w:color="auto"/>
        <w:left w:val="none" w:sz="0" w:space="0" w:color="auto"/>
        <w:bottom w:val="none" w:sz="0" w:space="0" w:color="auto"/>
        <w:right w:val="none" w:sz="0" w:space="0" w:color="auto"/>
      </w:divBdr>
    </w:div>
    <w:div w:id="1208712911">
      <w:bodyDiv w:val="1"/>
      <w:marLeft w:val="0"/>
      <w:marRight w:val="0"/>
      <w:marTop w:val="0"/>
      <w:marBottom w:val="0"/>
      <w:divBdr>
        <w:top w:val="none" w:sz="0" w:space="0" w:color="auto"/>
        <w:left w:val="none" w:sz="0" w:space="0" w:color="auto"/>
        <w:bottom w:val="none" w:sz="0" w:space="0" w:color="auto"/>
        <w:right w:val="none" w:sz="0" w:space="0" w:color="auto"/>
      </w:divBdr>
    </w:div>
    <w:div w:id="1217088241">
      <w:bodyDiv w:val="1"/>
      <w:marLeft w:val="0"/>
      <w:marRight w:val="0"/>
      <w:marTop w:val="0"/>
      <w:marBottom w:val="0"/>
      <w:divBdr>
        <w:top w:val="none" w:sz="0" w:space="0" w:color="auto"/>
        <w:left w:val="none" w:sz="0" w:space="0" w:color="auto"/>
        <w:bottom w:val="none" w:sz="0" w:space="0" w:color="auto"/>
        <w:right w:val="none" w:sz="0" w:space="0" w:color="auto"/>
      </w:divBdr>
    </w:div>
    <w:div w:id="1241602698">
      <w:bodyDiv w:val="1"/>
      <w:marLeft w:val="0"/>
      <w:marRight w:val="0"/>
      <w:marTop w:val="0"/>
      <w:marBottom w:val="0"/>
      <w:divBdr>
        <w:top w:val="none" w:sz="0" w:space="0" w:color="auto"/>
        <w:left w:val="none" w:sz="0" w:space="0" w:color="auto"/>
        <w:bottom w:val="none" w:sz="0" w:space="0" w:color="auto"/>
        <w:right w:val="none" w:sz="0" w:space="0" w:color="auto"/>
      </w:divBdr>
    </w:div>
    <w:div w:id="1294940031">
      <w:bodyDiv w:val="1"/>
      <w:marLeft w:val="0"/>
      <w:marRight w:val="0"/>
      <w:marTop w:val="0"/>
      <w:marBottom w:val="0"/>
      <w:divBdr>
        <w:top w:val="none" w:sz="0" w:space="0" w:color="auto"/>
        <w:left w:val="none" w:sz="0" w:space="0" w:color="auto"/>
        <w:bottom w:val="none" w:sz="0" w:space="0" w:color="auto"/>
        <w:right w:val="none" w:sz="0" w:space="0" w:color="auto"/>
      </w:divBdr>
      <w:divsChild>
        <w:div w:id="1653630944">
          <w:marLeft w:val="0"/>
          <w:marRight w:val="0"/>
          <w:marTop w:val="0"/>
          <w:marBottom w:val="0"/>
          <w:divBdr>
            <w:top w:val="none" w:sz="0" w:space="0" w:color="auto"/>
            <w:left w:val="none" w:sz="0" w:space="0" w:color="auto"/>
            <w:bottom w:val="none" w:sz="0" w:space="0" w:color="auto"/>
            <w:right w:val="none" w:sz="0" w:space="0" w:color="auto"/>
          </w:divBdr>
        </w:div>
        <w:div w:id="345789062">
          <w:marLeft w:val="0"/>
          <w:marRight w:val="0"/>
          <w:marTop w:val="0"/>
          <w:marBottom w:val="0"/>
          <w:divBdr>
            <w:top w:val="none" w:sz="0" w:space="0" w:color="auto"/>
            <w:left w:val="none" w:sz="0" w:space="0" w:color="auto"/>
            <w:bottom w:val="none" w:sz="0" w:space="0" w:color="auto"/>
            <w:right w:val="none" w:sz="0" w:space="0" w:color="auto"/>
          </w:divBdr>
        </w:div>
        <w:div w:id="110167657">
          <w:marLeft w:val="0"/>
          <w:marRight w:val="0"/>
          <w:marTop w:val="0"/>
          <w:marBottom w:val="0"/>
          <w:divBdr>
            <w:top w:val="none" w:sz="0" w:space="0" w:color="auto"/>
            <w:left w:val="none" w:sz="0" w:space="0" w:color="auto"/>
            <w:bottom w:val="none" w:sz="0" w:space="0" w:color="auto"/>
            <w:right w:val="none" w:sz="0" w:space="0" w:color="auto"/>
          </w:divBdr>
        </w:div>
        <w:div w:id="2071492400">
          <w:marLeft w:val="0"/>
          <w:marRight w:val="0"/>
          <w:marTop w:val="0"/>
          <w:marBottom w:val="0"/>
          <w:divBdr>
            <w:top w:val="none" w:sz="0" w:space="0" w:color="auto"/>
            <w:left w:val="none" w:sz="0" w:space="0" w:color="auto"/>
            <w:bottom w:val="none" w:sz="0" w:space="0" w:color="auto"/>
            <w:right w:val="none" w:sz="0" w:space="0" w:color="auto"/>
          </w:divBdr>
        </w:div>
        <w:div w:id="600063096">
          <w:marLeft w:val="0"/>
          <w:marRight w:val="0"/>
          <w:marTop w:val="0"/>
          <w:marBottom w:val="0"/>
          <w:divBdr>
            <w:top w:val="none" w:sz="0" w:space="0" w:color="auto"/>
            <w:left w:val="none" w:sz="0" w:space="0" w:color="auto"/>
            <w:bottom w:val="none" w:sz="0" w:space="0" w:color="auto"/>
            <w:right w:val="none" w:sz="0" w:space="0" w:color="auto"/>
          </w:divBdr>
        </w:div>
        <w:div w:id="1576743118">
          <w:marLeft w:val="0"/>
          <w:marRight w:val="0"/>
          <w:marTop w:val="0"/>
          <w:marBottom w:val="0"/>
          <w:divBdr>
            <w:top w:val="none" w:sz="0" w:space="0" w:color="auto"/>
            <w:left w:val="none" w:sz="0" w:space="0" w:color="auto"/>
            <w:bottom w:val="none" w:sz="0" w:space="0" w:color="auto"/>
            <w:right w:val="none" w:sz="0" w:space="0" w:color="auto"/>
          </w:divBdr>
        </w:div>
        <w:div w:id="1574393107">
          <w:marLeft w:val="0"/>
          <w:marRight w:val="0"/>
          <w:marTop w:val="0"/>
          <w:marBottom w:val="0"/>
          <w:divBdr>
            <w:top w:val="none" w:sz="0" w:space="0" w:color="auto"/>
            <w:left w:val="none" w:sz="0" w:space="0" w:color="auto"/>
            <w:bottom w:val="none" w:sz="0" w:space="0" w:color="auto"/>
            <w:right w:val="none" w:sz="0" w:space="0" w:color="auto"/>
          </w:divBdr>
        </w:div>
        <w:div w:id="1519615969">
          <w:marLeft w:val="0"/>
          <w:marRight w:val="0"/>
          <w:marTop w:val="0"/>
          <w:marBottom w:val="0"/>
          <w:divBdr>
            <w:top w:val="none" w:sz="0" w:space="0" w:color="auto"/>
            <w:left w:val="none" w:sz="0" w:space="0" w:color="auto"/>
            <w:bottom w:val="none" w:sz="0" w:space="0" w:color="auto"/>
            <w:right w:val="none" w:sz="0" w:space="0" w:color="auto"/>
          </w:divBdr>
        </w:div>
        <w:div w:id="360782918">
          <w:marLeft w:val="0"/>
          <w:marRight w:val="0"/>
          <w:marTop w:val="0"/>
          <w:marBottom w:val="0"/>
          <w:divBdr>
            <w:top w:val="none" w:sz="0" w:space="0" w:color="auto"/>
            <w:left w:val="none" w:sz="0" w:space="0" w:color="auto"/>
            <w:bottom w:val="none" w:sz="0" w:space="0" w:color="auto"/>
            <w:right w:val="none" w:sz="0" w:space="0" w:color="auto"/>
          </w:divBdr>
        </w:div>
        <w:div w:id="744379311">
          <w:marLeft w:val="0"/>
          <w:marRight w:val="0"/>
          <w:marTop w:val="0"/>
          <w:marBottom w:val="0"/>
          <w:divBdr>
            <w:top w:val="none" w:sz="0" w:space="0" w:color="auto"/>
            <w:left w:val="none" w:sz="0" w:space="0" w:color="auto"/>
            <w:bottom w:val="none" w:sz="0" w:space="0" w:color="auto"/>
            <w:right w:val="none" w:sz="0" w:space="0" w:color="auto"/>
          </w:divBdr>
        </w:div>
        <w:div w:id="296954121">
          <w:marLeft w:val="0"/>
          <w:marRight w:val="0"/>
          <w:marTop w:val="0"/>
          <w:marBottom w:val="0"/>
          <w:divBdr>
            <w:top w:val="none" w:sz="0" w:space="0" w:color="auto"/>
            <w:left w:val="none" w:sz="0" w:space="0" w:color="auto"/>
            <w:bottom w:val="none" w:sz="0" w:space="0" w:color="auto"/>
            <w:right w:val="none" w:sz="0" w:space="0" w:color="auto"/>
          </w:divBdr>
        </w:div>
        <w:div w:id="1666084797">
          <w:marLeft w:val="0"/>
          <w:marRight w:val="0"/>
          <w:marTop w:val="0"/>
          <w:marBottom w:val="0"/>
          <w:divBdr>
            <w:top w:val="none" w:sz="0" w:space="0" w:color="auto"/>
            <w:left w:val="none" w:sz="0" w:space="0" w:color="auto"/>
            <w:bottom w:val="none" w:sz="0" w:space="0" w:color="auto"/>
            <w:right w:val="none" w:sz="0" w:space="0" w:color="auto"/>
          </w:divBdr>
        </w:div>
        <w:div w:id="1441729111">
          <w:marLeft w:val="0"/>
          <w:marRight w:val="0"/>
          <w:marTop w:val="0"/>
          <w:marBottom w:val="0"/>
          <w:divBdr>
            <w:top w:val="none" w:sz="0" w:space="0" w:color="auto"/>
            <w:left w:val="none" w:sz="0" w:space="0" w:color="auto"/>
            <w:bottom w:val="none" w:sz="0" w:space="0" w:color="auto"/>
            <w:right w:val="none" w:sz="0" w:space="0" w:color="auto"/>
          </w:divBdr>
        </w:div>
        <w:div w:id="1114592455">
          <w:marLeft w:val="0"/>
          <w:marRight w:val="0"/>
          <w:marTop w:val="0"/>
          <w:marBottom w:val="0"/>
          <w:divBdr>
            <w:top w:val="none" w:sz="0" w:space="0" w:color="auto"/>
            <w:left w:val="none" w:sz="0" w:space="0" w:color="auto"/>
            <w:bottom w:val="none" w:sz="0" w:space="0" w:color="auto"/>
            <w:right w:val="none" w:sz="0" w:space="0" w:color="auto"/>
          </w:divBdr>
        </w:div>
        <w:div w:id="2040475034">
          <w:marLeft w:val="0"/>
          <w:marRight w:val="0"/>
          <w:marTop w:val="0"/>
          <w:marBottom w:val="0"/>
          <w:divBdr>
            <w:top w:val="none" w:sz="0" w:space="0" w:color="auto"/>
            <w:left w:val="none" w:sz="0" w:space="0" w:color="auto"/>
            <w:bottom w:val="none" w:sz="0" w:space="0" w:color="auto"/>
            <w:right w:val="none" w:sz="0" w:space="0" w:color="auto"/>
          </w:divBdr>
        </w:div>
        <w:div w:id="2142503336">
          <w:marLeft w:val="0"/>
          <w:marRight w:val="0"/>
          <w:marTop w:val="0"/>
          <w:marBottom w:val="0"/>
          <w:divBdr>
            <w:top w:val="none" w:sz="0" w:space="0" w:color="auto"/>
            <w:left w:val="none" w:sz="0" w:space="0" w:color="auto"/>
            <w:bottom w:val="none" w:sz="0" w:space="0" w:color="auto"/>
            <w:right w:val="none" w:sz="0" w:space="0" w:color="auto"/>
          </w:divBdr>
        </w:div>
        <w:div w:id="18506778">
          <w:marLeft w:val="0"/>
          <w:marRight w:val="0"/>
          <w:marTop w:val="0"/>
          <w:marBottom w:val="0"/>
          <w:divBdr>
            <w:top w:val="none" w:sz="0" w:space="0" w:color="auto"/>
            <w:left w:val="none" w:sz="0" w:space="0" w:color="auto"/>
            <w:bottom w:val="none" w:sz="0" w:space="0" w:color="auto"/>
            <w:right w:val="none" w:sz="0" w:space="0" w:color="auto"/>
          </w:divBdr>
        </w:div>
        <w:div w:id="1712680614">
          <w:marLeft w:val="0"/>
          <w:marRight w:val="0"/>
          <w:marTop w:val="0"/>
          <w:marBottom w:val="0"/>
          <w:divBdr>
            <w:top w:val="none" w:sz="0" w:space="0" w:color="auto"/>
            <w:left w:val="none" w:sz="0" w:space="0" w:color="auto"/>
            <w:bottom w:val="none" w:sz="0" w:space="0" w:color="auto"/>
            <w:right w:val="none" w:sz="0" w:space="0" w:color="auto"/>
          </w:divBdr>
        </w:div>
        <w:div w:id="1750037187">
          <w:marLeft w:val="0"/>
          <w:marRight w:val="0"/>
          <w:marTop w:val="0"/>
          <w:marBottom w:val="0"/>
          <w:divBdr>
            <w:top w:val="none" w:sz="0" w:space="0" w:color="auto"/>
            <w:left w:val="none" w:sz="0" w:space="0" w:color="auto"/>
            <w:bottom w:val="none" w:sz="0" w:space="0" w:color="auto"/>
            <w:right w:val="none" w:sz="0" w:space="0" w:color="auto"/>
          </w:divBdr>
          <w:divsChild>
            <w:div w:id="215288805">
              <w:marLeft w:val="0"/>
              <w:marRight w:val="0"/>
              <w:marTop w:val="0"/>
              <w:marBottom w:val="0"/>
              <w:divBdr>
                <w:top w:val="none" w:sz="0" w:space="0" w:color="auto"/>
                <w:left w:val="none" w:sz="0" w:space="0" w:color="auto"/>
                <w:bottom w:val="none" w:sz="0" w:space="0" w:color="auto"/>
                <w:right w:val="none" w:sz="0" w:space="0" w:color="auto"/>
              </w:divBdr>
            </w:div>
            <w:div w:id="1780681383">
              <w:marLeft w:val="0"/>
              <w:marRight w:val="0"/>
              <w:marTop w:val="0"/>
              <w:marBottom w:val="0"/>
              <w:divBdr>
                <w:top w:val="none" w:sz="0" w:space="0" w:color="auto"/>
                <w:left w:val="none" w:sz="0" w:space="0" w:color="auto"/>
                <w:bottom w:val="none" w:sz="0" w:space="0" w:color="auto"/>
                <w:right w:val="none" w:sz="0" w:space="0" w:color="auto"/>
              </w:divBdr>
            </w:div>
            <w:div w:id="1612661101">
              <w:marLeft w:val="0"/>
              <w:marRight w:val="0"/>
              <w:marTop w:val="0"/>
              <w:marBottom w:val="0"/>
              <w:divBdr>
                <w:top w:val="none" w:sz="0" w:space="0" w:color="auto"/>
                <w:left w:val="none" w:sz="0" w:space="0" w:color="auto"/>
                <w:bottom w:val="none" w:sz="0" w:space="0" w:color="auto"/>
                <w:right w:val="none" w:sz="0" w:space="0" w:color="auto"/>
              </w:divBdr>
            </w:div>
            <w:div w:id="46147553">
              <w:marLeft w:val="0"/>
              <w:marRight w:val="0"/>
              <w:marTop w:val="0"/>
              <w:marBottom w:val="0"/>
              <w:divBdr>
                <w:top w:val="none" w:sz="0" w:space="0" w:color="auto"/>
                <w:left w:val="none" w:sz="0" w:space="0" w:color="auto"/>
                <w:bottom w:val="none" w:sz="0" w:space="0" w:color="auto"/>
                <w:right w:val="none" w:sz="0" w:space="0" w:color="auto"/>
              </w:divBdr>
            </w:div>
            <w:div w:id="1902061874">
              <w:marLeft w:val="0"/>
              <w:marRight w:val="0"/>
              <w:marTop w:val="0"/>
              <w:marBottom w:val="0"/>
              <w:divBdr>
                <w:top w:val="none" w:sz="0" w:space="0" w:color="auto"/>
                <w:left w:val="none" w:sz="0" w:space="0" w:color="auto"/>
                <w:bottom w:val="none" w:sz="0" w:space="0" w:color="auto"/>
                <w:right w:val="none" w:sz="0" w:space="0" w:color="auto"/>
              </w:divBdr>
            </w:div>
          </w:divsChild>
        </w:div>
        <w:div w:id="993026106">
          <w:marLeft w:val="0"/>
          <w:marRight w:val="0"/>
          <w:marTop w:val="0"/>
          <w:marBottom w:val="0"/>
          <w:divBdr>
            <w:top w:val="none" w:sz="0" w:space="0" w:color="auto"/>
            <w:left w:val="none" w:sz="0" w:space="0" w:color="auto"/>
            <w:bottom w:val="none" w:sz="0" w:space="0" w:color="auto"/>
            <w:right w:val="none" w:sz="0" w:space="0" w:color="auto"/>
          </w:divBdr>
        </w:div>
        <w:div w:id="1125662284">
          <w:marLeft w:val="0"/>
          <w:marRight w:val="0"/>
          <w:marTop w:val="0"/>
          <w:marBottom w:val="0"/>
          <w:divBdr>
            <w:top w:val="none" w:sz="0" w:space="0" w:color="auto"/>
            <w:left w:val="none" w:sz="0" w:space="0" w:color="auto"/>
            <w:bottom w:val="none" w:sz="0" w:space="0" w:color="auto"/>
            <w:right w:val="none" w:sz="0" w:space="0" w:color="auto"/>
          </w:divBdr>
        </w:div>
        <w:div w:id="136843024">
          <w:marLeft w:val="0"/>
          <w:marRight w:val="0"/>
          <w:marTop w:val="0"/>
          <w:marBottom w:val="0"/>
          <w:divBdr>
            <w:top w:val="none" w:sz="0" w:space="0" w:color="auto"/>
            <w:left w:val="none" w:sz="0" w:space="0" w:color="auto"/>
            <w:bottom w:val="none" w:sz="0" w:space="0" w:color="auto"/>
            <w:right w:val="none" w:sz="0" w:space="0" w:color="auto"/>
          </w:divBdr>
        </w:div>
        <w:div w:id="1535539740">
          <w:marLeft w:val="0"/>
          <w:marRight w:val="0"/>
          <w:marTop w:val="0"/>
          <w:marBottom w:val="0"/>
          <w:divBdr>
            <w:top w:val="none" w:sz="0" w:space="0" w:color="auto"/>
            <w:left w:val="none" w:sz="0" w:space="0" w:color="auto"/>
            <w:bottom w:val="none" w:sz="0" w:space="0" w:color="auto"/>
            <w:right w:val="none" w:sz="0" w:space="0" w:color="auto"/>
          </w:divBdr>
        </w:div>
        <w:div w:id="841164432">
          <w:marLeft w:val="0"/>
          <w:marRight w:val="0"/>
          <w:marTop w:val="0"/>
          <w:marBottom w:val="0"/>
          <w:divBdr>
            <w:top w:val="none" w:sz="0" w:space="0" w:color="auto"/>
            <w:left w:val="none" w:sz="0" w:space="0" w:color="auto"/>
            <w:bottom w:val="none" w:sz="0" w:space="0" w:color="auto"/>
            <w:right w:val="none" w:sz="0" w:space="0" w:color="auto"/>
          </w:divBdr>
        </w:div>
        <w:div w:id="1719427976">
          <w:marLeft w:val="0"/>
          <w:marRight w:val="0"/>
          <w:marTop w:val="0"/>
          <w:marBottom w:val="0"/>
          <w:divBdr>
            <w:top w:val="none" w:sz="0" w:space="0" w:color="auto"/>
            <w:left w:val="none" w:sz="0" w:space="0" w:color="auto"/>
            <w:bottom w:val="none" w:sz="0" w:space="0" w:color="auto"/>
            <w:right w:val="none" w:sz="0" w:space="0" w:color="auto"/>
          </w:divBdr>
        </w:div>
        <w:div w:id="2071030426">
          <w:marLeft w:val="0"/>
          <w:marRight w:val="0"/>
          <w:marTop w:val="0"/>
          <w:marBottom w:val="0"/>
          <w:divBdr>
            <w:top w:val="none" w:sz="0" w:space="0" w:color="auto"/>
            <w:left w:val="none" w:sz="0" w:space="0" w:color="auto"/>
            <w:bottom w:val="none" w:sz="0" w:space="0" w:color="auto"/>
            <w:right w:val="none" w:sz="0" w:space="0" w:color="auto"/>
          </w:divBdr>
        </w:div>
        <w:div w:id="1032000795">
          <w:marLeft w:val="0"/>
          <w:marRight w:val="0"/>
          <w:marTop w:val="0"/>
          <w:marBottom w:val="0"/>
          <w:divBdr>
            <w:top w:val="none" w:sz="0" w:space="0" w:color="auto"/>
            <w:left w:val="none" w:sz="0" w:space="0" w:color="auto"/>
            <w:bottom w:val="none" w:sz="0" w:space="0" w:color="auto"/>
            <w:right w:val="none" w:sz="0" w:space="0" w:color="auto"/>
          </w:divBdr>
        </w:div>
        <w:div w:id="1133718958">
          <w:marLeft w:val="0"/>
          <w:marRight w:val="0"/>
          <w:marTop w:val="0"/>
          <w:marBottom w:val="0"/>
          <w:divBdr>
            <w:top w:val="none" w:sz="0" w:space="0" w:color="auto"/>
            <w:left w:val="none" w:sz="0" w:space="0" w:color="auto"/>
            <w:bottom w:val="none" w:sz="0" w:space="0" w:color="auto"/>
            <w:right w:val="none" w:sz="0" w:space="0" w:color="auto"/>
          </w:divBdr>
        </w:div>
        <w:div w:id="76824264">
          <w:marLeft w:val="0"/>
          <w:marRight w:val="0"/>
          <w:marTop w:val="0"/>
          <w:marBottom w:val="0"/>
          <w:divBdr>
            <w:top w:val="none" w:sz="0" w:space="0" w:color="auto"/>
            <w:left w:val="none" w:sz="0" w:space="0" w:color="auto"/>
            <w:bottom w:val="none" w:sz="0" w:space="0" w:color="auto"/>
            <w:right w:val="none" w:sz="0" w:space="0" w:color="auto"/>
          </w:divBdr>
        </w:div>
        <w:div w:id="1116675764">
          <w:marLeft w:val="0"/>
          <w:marRight w:val="0"/>
          <w:marTop w:val="0"/>
          <w:marBottom w:val="0"/>
          <w:divBdr>
            <w:top w:val="none" w:sz="0" w:space="0" w:color="auto"/>
            <w:left w:val="none" w:sz="0" w:space="0" w:color="auto"/>
            <w:bottom w:val="none" w:sz="0" w:space="0" w:color="auto"/>
            <w:right w:val="none" w:sz="0" w:space="0" w:color="auto"/>
          </w:divBdr>
          <w:divsChild>
            <w:div w:id="613557783">
              <w:marLeft w:val="0"/>
              <w:marRight w:val="0"/>
              <w:marTop w:val="0"/>
              <w:marBottom w:val="0"/>
              <w:divBdr>
                <w:top w:val="none" w:sz="0" w:space="0" w:color="auto"/>
                <w:left w:val="none" w:sz="0" w:space="0" w:color="auto"/>
                <w:bottom w:val="none" w:sz="0" w:space="0" w:color="auto"/>
                <w:right w:val="none" w:sz="0" w:space="0" w:color="auto"/>
              </w:divBdr>
            </w:div>
            <w:div w:id="1134566453">
              <w:marLeft w:val="0"/>
              <w:marRight w:val="0"/>
              <w:marTop w:val="0"/>
              <w:marBottom w:val="0"/>
              <w:divBdr>
                <w:top w:val="none" w:sz="0" w:space="0" w:color="auto"/>
                <w:left w:val="none" w:sz="0" w:space="0" w:color="auto"/>
                <w:bottom w:val="none" w:sz="0" w:space="0" w:color="auto"/>
                <w:right w:val="none" w:sz="0" w:space="0" w:color="auto"/>
              </w:divBdr>
            </w:div>
            <w:div w:id="984772334">
              <w:marLeft w:val="0"/>
              <w:marRight w:val="0"/>
              <w:marTop w:val="0"/>
              <w:marBottom w:val="0"/>
              <w:divBdr>
                <w:top w:val="none" w:sz="0" w:space="0" w:color="auto"/>
                <w:left w:val="none" w:sz="0" w:space="0" w:color="auto"/>
                <w:bottom w:val="none" w:sz="0" w:space="0" w:color="auto"/>
                <w:right w:val="none" w:sz="0" w:space="0" w:color="auto"/>
              </w:divBdr>
            </w:div>
            <w:div w:id="1460496089">
              <w:marLeft w:val="0"/>
              <w:marRight w:val="0"/>
              <w:marTop w:val="0"/>
              <w:marBottom w:val="0"/>
              <w:divBdr>
                <w:top w:val="none" w:sz="0" w:space="0" w:color="auto"/>
                <w:left w:val="none" w:sz="0" w:space="0" w:color="auto"/>
                <w:bottom w:val="none" w:sz="0" w:space="0" w:color="auto"/>
                <w:right w:val="none" w:sz="0" w:space="0" w:color="auto"/>
              </w:divBdr>
            </w:div>
            <w:div w:id="643241367">
              <w:marLeft w:val="0"/>
              <w:marRight w:val="0"/>
              <w:marTop w:val="0"/>
              <w:marBottom w:val="0"/>
              <w:divBdr>
                <w:top w:val="none" w:sz="0" w:space="0" w:color="auto"/>
                <w:left w:val="none" w:sz="0" w:space="0" w:color="auto"/>
                <w:bottom w:val="none" w:sz="0" w:space="0" w:color="auto"/>
                <w:right w:val="none" w:sz="0" w:space="0" w:color="auto"/>
              </w:divBdr>
            </w:div>
          </w:divsChild>
        </w:div>
        <w:div w:id="1622955956">
          <w:marLeft w:val="0"/>
          <w:marRight w:val="0"/>
          <w:marTop w:val="0"/>
          <w:marBottom w:val="0"/>
          <w:divBdr>
            <w:top w:val="none" w:sz="0" w:space="0" w:color="auto"/>
            <w:left w:val="none" w:sz="0" w:space="0" w:color="auto"/>
            <w:bottom w:val="none" w:sz="0" w:space="0" w:color="auto"/>
            <w:right w:val="none" w:sz="0" w:space="0" w:color="auto"/>
          </w:divBdr>
        </w:div>
        <w:div w:id="852190514">
          <w:marLeft w:val="0"/>
          <w:marRight w:val="0"/>
          <w:marTop w:val="0"/>
          <w:marBottom w:val="0"/>
          <w:divBdr>
            <w:top w:val="none" w:sz="0" w:space="0" w:color="auto"/>
            <w:left w:val="none" w:sz="0" w:space="0" w:color="auto"/>
            <w:bottom w:val="none" w:sz="0" w:space="0" w:color="auto"/>
            <w:right w:val="none" w:sz="0" w:space="0" w:color="auto"/>
          </w:divBdr>
        </w:div>
        <w:div w:id="1229920606">
          <w:marLeft w:val="0"/>
          <w:marRight w:val="0"/>
          <w:marTop w:val="0"/>
          <w:marBottom w:val="0"/>
          <w:divBdr>
            <w:top w:val="none" w:sz="0" w:space="0" w:color="auto"/>
            <w:left w:val="none" w:sz="0" w:space="0" w:color="auto"/>
            <w:bottom w:val="none" w:sz="0" w:space="0" w:color="auto"/>
            <w:right w:val="none" w:sz="0" w:space="0" w:color="auto"/>
          </w:divBdr>
        </w:div>
        <w:div w:id="1088497947">
          <w:marLeft w:val="0"/>
          <w:marRight w:val="0"/>
          <w:marTop w:val="0"/>
          <w:marBottom w:val="0"/>
          <w:divBdr>
            <w:top w:val="none" w:sz="0" w:space="0" w:color="auto"/>
            <w:left w:val="none" w:sz="0" w:space="0" w:color="auto"/>
            <w:bottom w:val="none" w:sz="0" w:space="0" w:color="auto"/>
            <w:right w:val="none" w:sz="0" w:space="0" w:color="auto"/>
          </w:divBdr>
        </w:div>
        <w:div w:id="2050059518">
          <w:marLeft w:val="0"/>
          <w:marRight w:val="0"/>
          <w:marTop w:val="0"/>
          <w:marBottom w:val="0"/>
          <w:divBdr>
            <w:top w:val="none" w:sz="0" w:space="0" w:color="auto"/>
            <w:left w:val="none" w:sz="0" w:space="0" w:color="auto"/>
            <w:bottom w:val="none" w:sz="0" w:space="0" w:color="auto"/>
            <w:right w:val="none" w:sz="0" w:space="0" w:color="auto"/>
          </w:divBdr>
        </w:div>
        <w:div w:id="26372795">
          <w:marLeft w:val="0"/>
          <w:marRight w:val="0"/>
          <w:marTop w:val="0"/>
          <w:marBottom w:val="0"/>
          <w:divBdr>
            <w:top w:val="none" w:sz="0" w:space="0" w:color="auto"/>
            <w:left w:val="none" w:sz="0" w:space="0" w:color="auto"/>
            <w:bottom w:val="none" w:sz="0" w:space="0" w:color="auto"/>
            <w:right w:val="none" w:sz="0" w:space="0" w:color="auto"/>
          </w:divBdr>
          <w:divsChild>
            <w:div w:id="913469680">
              <w:marLeft w:val="0"/>
              <w:marRight w:val="0"/>
              <w:marTop w:val="0"/>
              <w:marBottom w:val="0"/>
              <w:divBdr>
                <w:top w:val="none" w:sz="0" w:space="0" w:color="auto"/>
                <w:left w:val="none" w:sz="0" w:space="0" w:color="auto"/>
                <w:bottom w:val="none" w:sz="0" w:space="0" w:color="auto"/>
                <w:right w:val="none" w:sz="0" w:space="0" w:color="auto"/>
              </w:divBdr>
            </w:div>
            <w:div w:id="1497308202">
              <w:marLeft w:val="0"/>
              <w:marRight w:val="0"/>
              <w:marTop w:val="0"/>
              <w:marBottom w:val="0"/>
              <w:divBdr>
                <w:top w:val="none" w:sz="0" w:space="0" w:color="auto"/>
                <w:left w:val="none" w:sz="0" w:space="0" w:color="auto"/>
                <w:bottom w:val="none" w:sz="0" w:space="0" w:color="auto"/>
                <w:right w:val="none" w:sz="0" w:space="0" w:color="auto"/>
              </w:divBdr>
            </w:div>
            <w:div w:id="201676712">
              <w:marLeft w:val="0"/>
              <w:marRight w:val="0"/>
              <w:marTop w:val="0"/>
              <w:marBottom w:val="0"/>
              <w:divBdr>
                <w:top w:val="none" w:sz="0" w:space="0" w:color="auto"/>
                <w:left w:val="none" w:sz="0" w:space="0" w:color="auto"/>
                <w:bottom w:val="none" w:sz="0" w:space="0" w:color="auto"/>
                <w:right w:val="none" w:sz="0" w:space="0" w:color="auto"/>
              </w:divBdr>
            </w:div>
            <w:div w:id="1736320893">
              <w:marLeft w:val="0"/>
              <w:marRight w:val="0"/>
              <w:marTop w:val="0"/>
              <w:marBottom w:val="0"/>
              <w:divBdr>
                <w:top w:val="none" w:sz="0" w:space="0" w:color="auto"/>
                <w:left w:val="none" w:sz="0" w:space="0" w:color="auto"/>
                <w:bottom w:val="none" w:sz="0" w:space="0" w:color="auto"/>
                <w:right w:val="none" w:sz="0" w:space="0" w:color="auto"/>
              </w:divBdr>
            </w:div>
            <w:div w:id="8335857">
              <w:marLeft w:val="0"/>
              <w:marRight w:val="0"/>
              <w:marTop w:val="0"/>
              <w:marBottom w:val="0"/>
              <w:divBdr>
                <w:top w:val="none" w:sz="0" w:space="0" w:color="auto"/>
                <w:left w:val="none" w:sz="0" w:space="0" w:color="auto"/>
                <w:bottom w:val="none" w:sz="0" w:space="0" w:color="auto"/>
                <w:right w:val="none" w:sz="0" w:space="0" w:color="auto"/>
              </w:divBdr>
            </w:div>
          </w:divsChild>
        </w:div>
        <w:div w:id="1818036754">
          <w:marLeft w:val="0"/>
          <w:marRight w:val="0"/>
          <w:marTop w:val="0"/>
          <w:marBottom w:val="0"/>
          <w:divBdr>
            <w:top w:val="none" w:sz="0" w:space="0" w:color="auto"/>
            <w:left w:val="none" w:sz="0" w:space="0" w:color="auto"/>
            <w:bottom w:val="none" w:sz="0" w:space="0" w:color="auto"/>
            <w:right w:val="none" w:sz="0" w:space="0" w:color="auto"/>
          </w:divBdr>
          <w:divsChild>
            <w:div w:id="151408295">
              <w:marLeft w:val="0"/>
              <w:marRight w:val="0"/>
              <w:marTop w:val="0"/>
              <w:marBottom w:val="0"/>
              <w:divBdr>
                <w:top w:val="none" w:sz="0" w:space="0" w:color="auto"/>
                <w:left w:val="none" w:sz="0" w:space="0" w:color="auto"/>
                <w:bottom w:val="none" w:sz="0" w:space="0" w:color="auto"/>
                <w:right w:val="none" w:sz="0" w:space="0" w:color="auto"/>
              </w:divBdr>
            </w:div>
          </w:divsChild>
        </w:div>
        <w:div w:id="547106039">
          <w:marLeft w:val="0"/>
          <w:marRight w:val="0"/>
          <w:marTop w:val="0"/>
          <w:marBottom w:val="0"/>
          <w:divBdr>
            <w:top w:val="none" w:sz="0" w:space="0" w:color="auto"/>
            <w:left w:val="none" w:sz="0" w:space="0" w:color="auto"/>
            <w:bottom w:val="none" w:sz="0" w:space="0" w:color="auto"/>
            <w:right w:val="none" w:sz="0" w:space="0" w:color="auto"/>
          </w:divBdr>
          <w:divsChild>
            <w:div w:id="1220438328">
              <w:marLeft w:val="0"/>
              <w:marRight w:val="0"/>
              <w:marTop w:val="0"/>
              <w:marBottom w:val="0"/>
              <w:divBdr>
                <w:top w:val="none" w:sz="0" w:space="0" w:color="auto"/>
                <w:left w:val="none" w:sz="0" w:space="0" w:color="auto"/>
                <w:bottom w:val="none" w:sz="0" w:space="0" w:color="auto"/>
                <w:right w:val="none" w:sz="0" w:space="0" w:color="auto"/>
              </w:divBdr>
            </w:div>
            <w:div w:id="1054818203">
              <w:marLeft w:val="0"/>
              <w:marRight w:val="0"/>
              <w:marTop w:val="0"/>
              <w:marBottom w:val="0"/>
              <w:divBdr>
                <w:top w:val="none" w:sz="0" w:space="0" w:color="auto"/>
                <w:left w:val="none" w:sz="0" w:space="0" w:color="auto"/>
                <w:bottom w:val="none" w:sz="0" w:space="0" w:color="auto"/>
                <w:right w:val="none" w:sz="0" w:space="0" w:color="auto"/>
              </w:divBdr>
            </w:div>
            <w:div w:id="1185292653">
              <w:marLeft w:val="0"/>
              <w:marRight w:val="0"/>
              <w:marTop w:val="0"/>
              <w:marBottom w:val="0"/>
              <w:divBdr>
                <w:top w:val="none" w:sz="0" w:space="0" w:color="auto"/>
                <w:left w:val="none" w:sz="0" w:space="0" w:color="auto"/>
                <w:bottom w:val="none" w:sz="0" w:space="0" w:color="auto"/>
                <w:right w:val="none" w:sz="0" w:space="0" w:color="auto"/>
              </w:divBdr>
            </w:div>
            <w:div w:id="1855222761">
              <w:marLeft w:val="0"/>
              <w:marRight w:val="0"/>
              <w:marTop w:val="0"/>
              <w:marBottom w:val="0"/>
              <w:divBdr>
                <w:top w:val="none" w:sz="0" w:space="0" w:color="auto"/>
                <w:left w:val="none" w:sz="0" w:space="0" w:color="auto"/>
                <w:bottom w:val="none" w:sz="0" w:space="0" w:color="auto"/>
                <w:right w:val="none" w:sz="0" w:space="0" w:color="auto"/>
              </w:divBdr>
            </w:div>
            <w:div w:id="1809392793">
              <w:marLeft w:val="0"/>
              <w:marRight w:val="0"/>
              <w:marTop w:val="0"/>
              <w:marBottom w:val="0"/>
              <w:divBdr>
                <w:top w:val="none" w:sz="0" w:space="0" w:color="auto"/>
                <w:left w:val="none" w:sz="0" w:space="0" w:color="auto"/>
                <w:bottom w:val="none" w:sz="0" w:space="0" w:color="auto"/>
                <w:right w:val="none" w:sz="0" w:space="0" w:color="auto"/>
              </w:divBdr>
            </w:div>
          </w:divsChild>
        </w:div>
        <w:div w:id="679968587">
          <w:marLeft w:val="0"/>
          <w:marRight w:val="0"/>
          <w:marTop w:val="0"/>
          <w:marBottom w:val="0"/>
          <w:divBdr>
            <w:top w:val="none" w:sz="0" w:space="0" w:color="auto"/>
            <w:left w:val="none" w:sz="0" w:space="0" w:color="auto"/>
            <w:bottom w:val="none" w:sz="0" w:space="0" w:color="auto"/>
            <w:right w:val="none" w:sz="0" w:space="0" w:color="auto"/>
          </w:divBdr>
          <w:divsChild>
            <w:div w:id="303782521">
              <w:marLeft w:val="0"/>
              <w:marRight w:val="0"/>
              <w:marTop w:val="0"/>
              <w:marBottom w:val="0"/>
              <w:divBdr>
                <w:top w:val="none" w:sz="0" w:space="0" w:color="auto"/>
                <w:left w:val="none" w:sz="0" w:space="0" w:color="auto"/>
                <w:bottom w:val="none" w:sz="0" w:space="0" w:color="auto"/>
                <w:right w:val="none" w:sz="0" w:space="0" w:color="auto"/>
              </w:divBdr>
            </w:div>
            <w:div w:id="1814904602">
              <w:marLeft w:val="0"/>
              <w:marRight w:val="0"/>
              <w:marTop w:val="0"/>
              <w:marBottom w:val="0"/>
              <w:divBdr>
                <w:top w:val="none" w:sz="0" w:space="0" w:color="auto"/>
                <w:left w:val="none" w:sz="0" w:space="0" w:color="auto"/>
                <w:bottom w:val="none" w:sz="0" w:space="0" w:color="auto"/>
                <w:right w:val="none" w:sz="0" w:space="0" w:color="auto"/>
              </w:divBdr>
            </w:div>
            <w:div w:id="1401051481">
              <w:marLeft w:val="0"/>
              <w:marRight w:val="0"/>
              <w:marTop w:val="0"/>
              <w:marBottom w:val="0"/>
              <w:divBdr>
                <w:top w:val="none" w:sz="0" w:space="0" w:color="auto"/>
                <w:left w:val="none" w:sz="0" w:space="0" w:color="auto"/>
                <w:bottom w:val="none" w:sz="0" w:space="0" w:color="auto"/>
                <w:right w:val="none" w:sz="0" w:space="0" w:color="auto"/>
              </w:divBdr>
            </w:div>
            <w:div w:id="1990554149">
              <w:marLeft w:val="0"/>
              <w:marRight w:val="0"/>
              <w:marTop w:val="0"/>
              <w:marBottom w:val="0"/>
              <w:divBdr>
                <w:top w:val="none" w:sz="0" w:space="0" w:color="auto"/>
                <w:left w:val="none" w:sz="0" w:space="0" w:color="auto"/>
                <w:bottom w:val="none" w:sz="0" w:space="0" w:color="auto"/>
                <w:right w:val="none" w:sz="0" w:space="0" w:color="auto"/>
              </w:divBdr>
            </w:div>
          </w:divsChild>
        </w:div>
        <w:div w:id="1474449119">
          <w:marLeft w:val="0"/>
          <w:marRight w:val="0"/>
          <w:marTop w:val="0"/>
          <w:marBottom w:val="0"/>
          <w:divBdr>
            <w:top w:val="none" w:sz="0" w:space="0" w:color="auto"/>
            <w:left w:val="none" w:sz="0" w:space="0" w:color="auto"/>
            <w:bottom w:val="none" w:sz="0" w:space="0" w:color="auto"/>
            <w:right w:val="none" w:sz="0" w:space="0" w:color="auto"/>
          </w:divBdr>
          <w:divsChild>
            <w:div w:id="1470509517">
              <w:marLeft w:val="0"/>
              <w:marRight w:val="0"/>
              <w:marTop w:val="0"/>
              <w:marBottom w:val="0"/>
              <w:divBdr>
                <w:top w:val="none" w:sz="0" w:space="0" w:color="auto"/>
                <w:left w:val="none" w:sz="0" w:space="0" w:color="auto"/>
                <w:bottom w:val="none" w:sz="0" w:space="0" w:color="auto"/>
                <w:right w:val="none" w:sz="0" w:space="0" w:color="auto"/>
              </w:divBdr>
            </w:div>
            <w:div w:id="300815884">
              <w:marLeft w:val="0"/>
              <w:marRight w:val="0"/>
              <w:marTop w:val="0"/>
              <w:marBottom w:val="0"/>
              <w:divBdr>
                <w:top w:val="none" w:sz="0" w:space="0" w:color="auto"/>
                <w:left w:val="none" w:sz="0" w:space="0" w:color="auto"/>
                <w:bottom w:val="none" w:sz="0" w:space="0" w:color="auto"/>
                <w:right w:val="none" w:sz="0" w:space="0" w:color="auto"/>
              </w:divBdr>
            </w:div>
            <w:div w:id="1352299891">
              <w:marLeft w:val="0"/>
              <w:marRight w:val="0"/>
              <w:marTop w:val="0"/>
              <w:marBottom w:val="0"/>
              <w:divBdr>
                <w:top w:val="none" w:sz="0" w:space="0" w:color="auto"/>
                <w:left w:val="none" w:sz="0" w:space="0" w:color="auto"/>
                <w:bottom w:val="none" w:sz="0" w:space="0" w:color="auto"/>
                <w:right w:val="none" w:sz="0" w:space="0" w:color="auto"/>
              </w:divBdr>
            </w:div>
            <w:div w:id="1740519798">
              <w:marLeft w:val="0"/>
              <w:marRight w:val="0"/>
              <w:marTop w:val="0"/>
              <w:marBottom w:val="0"/>
              <w:divBdr>
                <w:top w:val="none" w:sz="0" w:space="0" w:color="auto"/>
                <w:left w:val="none" w:sz="0" w:space="0" w:color="auto"/>
                <w:bottom w:val="none" w:sz="0" w:space="0" w:color="auto"/>
                <w:right w:val="none" w:sz="0" w:space="0" w:color="auto"/>
              </w:divBdr>
            </w:div>
            <w:div w:id="2069187795">
              <w:marLeft w:val="0"/>
              <w:marRight w:val="0"/>
              <w:marTop w:val="0"/>
              <w:marBottom w:val="0"/>
              <w:divBdr>
                <w:top w:val="none" w:sz="0" w:space="0" w:color="auto"/>
                <w:left w:val="none" w:sz="0" w:space="0" w:color="auto"/>
                <w:bottom w:val="none" w:sz="0" w:space="0" w:color="auto"/>
                <w:right w:val="none" w:sz="0" w:space="0" w:color="auto"/>
              </w:divBdr>
            </w:div>
          </w:divsChild>
        </w:div>
        <w:div w:id="1940679731">
          <w:marLeft w:val="0"/>
          <w:marRight w:val="0"/>
          <w:marTop w:val="0"/>
          <w:marBottom w:val="0"/>
          <w:divBdr>
            <w:top w:val="none" w:sz="0" w:space="0" w:color="auto"/>
            <w:left w:val="none" w:sz="0" w:space="0" w:color="auto"/>
            <w:bottom w:val="none" w:sz="0" w:space="0" w:color="auto"/>
            <w:right w:val="none" w:sz="0" w:space="0" w:color="auto"/>
          </w:divBdr>
        </w:div>
        <w:div w:id="24184107">
          <w:marLeft w:val="0"/>
          <w:marRight w:val="0"/>
          <w:marTop w:val="0"/>
          <w:marBottom w:val="0"/>
          <w:divBdr>
            <w:top w:val="none" w:sz="0" w:space="0" w:color="auto"/>
            <w:left w:val="none" w:sz="0" w:space="0" w:color="auto"/>
            <w:bottom w:val="none" w:sz="0" w:space="0" w:color="auto"/>
            <w:right w:val="none" w:sz="0" w:space="0" w:color="auto"/>
          </w:divBdr>
        </w:div>
        <w:div w:id="1276477415">
          <w:marLeft w:val="0"/>
          <w:marRight w:val="0"/>
          <w:marTop w:val="0"/>
          <w:marBottom w:val="0"/>
          <w:divBdr>
            <w:top w:val="none" w:sz="0" w:space="0" w:color="auto"/>
            <w:left w:val="none" w:sz="0" w:space="0" w:color="auto"/>
            <w:bottom w:val="none" w:sz="0" w:space="0" w:color="auto"/>
            <w:right w:val="none" w:sz="0" w:space="0" w:color="auto"/>
          </w:divBdr>
        </w:div>
        <w:div w:id="1771388350">
          <w:marLeft w:val="0"/>
          <w:marRight w:val="0"/>
          <w:marTop w:val="0"/>
          <w:marBottom w:val="0"/>
          <w:divBdr>
            <w:top w:val="none" w:sz="0" w:space="0" w:color="auto"/>
            <w:left w:val="none" w:sz="0" w:space="0" w:color="auto"/>
            <w:bottom w:val="none" w:sz="0" w:space="0" w:color="auto"/>
            <w:right w:val="none" w:sz="0" w:space="0" w:color="auto"/>
          </w:divBdr>
        </w:div>
        <w:div w:id="879777668">
          <w:marLeft w:val="0"/>
          <w:marRight w:val="0"/>
          <w:marTop w:val="0"/>
          <w:marBottom w:val="0"/>
          <w:divBdr>
            <w:top w:val="none" w:sz="0" w:space="0" w:color="auto"/>
            <w:left w:val="none" w:sz="0" w:space="0" w:color="auto"/>
            <w:bottom w:val="none" w:sz="0" w:space="0" w:color="auto"/>
            <w:right w:val="none" w:sz="0" w:space="0" w:color="auto"/>
          </w:divBdr>
        </w:div>
        <w:div w:id="2116828513">
          <w:marLeft w:val="0"/>
          <w:marRight w:val="0"/>
          <w:marTop w:val="0"/>
          <w:marBottom w:val="0"/>
          <w:divBdr>
            <w:top w:val="none" w:sz="0" w:space="0" w:color="auto"/>
            <w:left w:val="none" w:sz="0" w:space="0" w:color="auto"/>
            <w:bottom w:val="none" w:sz="0" w:space="0" w:color="auto"/>
            <w:right w:val="none" w:sz="0" w:space="0" w:color="auto"/>
          </w:divBdr>
          <w:divsChild>
            <w:div w:id="1923221628">
              <w:marLeft w:val="0"/>
              <w:marRight w:val="0"/>
              <w:marTop w:val="0"/>
              <w:marBottom w:val="0"/>
              <w:divBdr>
                <w:top w:val="none" w:sz="0" w:space="0" w:color="auto"/>
                <w:left w:val="none" w:sz="0" w:space="0" w:color="auto"/>
                <w:bottom w:val="none" w:sz="0" w:space="0" w:color="auto"/>
                <w:right w:val="none" w:sz="0" w:space="0" w:color="auto"/>
              </w:divBdr>
            </w:div>
            <w:div w:id="169176451">
              <w:marLeft w:val="0"/>
              <w:marRight w:val="0"/>
              <w:marTop w:val="0"/>
              <w:marBottom w:val="0"/>
              <w:divBdr>
                <w:top w:val="none" w:sz="0" w:space="0" w:color="auto"/>
                <w:left w:val="none" w:sz="0" w:space="0" w:color="auto"/>
                <w:bottom w:val="none" w:sz="0" w:space="0" w:color="auto"/>
                <w:right w:val="none" w:sz="0" w:space="0" w:color="auto"/>
              </w:divBdr>
            </w:div>
            <w:div w:id="1434666559">
              <w:marLeft w:val="0"/>
              <w:marRight w:val="0"/>
              <w:marTop w:val="0"/>
              <w:marBottom w:val="0"/>
              <w:divBdr>
                <w:top w:val="none" w:sz="0" w:space="0" w:color="auto"/>
                <w:left w:val="none" w:sz="0" w:space="0" w:color="auto"/>
                <w:bottom w:val="none" w:sz="0" w:space="0" w:color="auto"/>
                <w:right w:val="none" w:sz="0" w:space="0" w:color="auto"/>
              </w:divBdr>
            </w:div>
            <w:div w:id="1355351472">
              <w:marLeft w:val="0"/>
              <w:marRight w:val="0"/>
              <w:marTop w:val="0"/>
              <w:marBottom w:val="0"/>
              <w:divBdr>
                <w:top w:val="none" w:sz="0" w:space="0" w:color="auto"/>
                <w:left w:val="none" w:sz="0" w:space="0" w:color="auto"/>
                <w:bottom w:val="none" w:sz="0" w:space="0" w:color="auto"/>
                <w:right w:val="none" w:sz="0" w:space="0" w:color="auto"/>
              </w:divBdr>
            </w:div>
            <w:div w:id="873999556">
              <w:marLeft w:val="0"/>
              <w:marRight w:val="0"/>
              <w:marTop w:val="0"/>
              <w:marBottom w:val="0"/>
              <w:divBdr>
                <w:top w:val="none" w:sz="0" w:space="0" w:color="auto"/>
                <w:left w:val="none" w:sz="0" w:space="0" w:color="auto"/>
                <w:bottom w:val="none" w:sz="0" w:space="0" w:color="auto"/>
                <w:right w:val="none" w:sz="0" w:space="0" w:color="auto"/>
              </w:divBdr>
            </w:div>
          </w:divsChild>
        </w:div>
        <w:div w:id="703332721">
          <w:marLeft w:val="0"/>
          <w:marRight w:val="0"/>
          <w:marTop w:val="0"/>
          <w:marBottom w:val="0"/>
          <w:divBdr>
            <w:top w:val="none" w:sz="0" w:space="0" w:color="auto"/>
            <w:left w:val="none" w:sz="0" w:space="0" w:color="auto"/>
            <w:bottom w:val="none" w:sz="0" w:space="0" w:color="auto"/>
            <w:right w:val="none" w:sz="0" w:space="0" w:color="auto"/>
          </w:divBdr>
          <w:divsChild>
            <w:div w:id="1502894368">
              <w:marLeft w:val="0"/>
              <w:marRight w:val="0"/>
              <w:marTop w:val="0"/>
              <w:marBottom w:val="0"/>
              <w:divBdr>
                <w:top w:val="none" w:sz="0" w:space="0" w:color="auto"/>
                <w:left w:val="none" w:sz="0" w:space="0" w:color="auto"/>
                <w:bottom w:val="none" w:sz="0" w:space="0" w:color="auto"/>
                <w:right w:val="none" w:sz="0" w:space="0" w:color="auto"/>
              </w:divBdr>
            </w:div>
            <w:div w:id="323095741">
              <w:marLeft w:val="0"/>
              <w:marRight w:val="0"/>
              <w:marTop w:val="0"/>
              <w:marBottom w:val="0"/>
              <w:divBdr>
                <w:top w:val="none" w:sz="0" w:space="0" w:color="auto"/>
                <w:left w:val="none" w:sz="0" w:space="0" w:color="auto"/>
                <w:bottom w:val="none" w:sz="0" w:space="0" w:color="auto"/>
                <w:right w:val="none" w:sz="0" w:space="0" w:color="auto"/>
              </w:divBdr>
            </w:div>
          </w:divsChild>
        </w:div>
        <w:div w:id="1268659718">
          <w:marLeft w:val="0"/>
          <w:marRight w:val="0"/>
          <w:marTop w:val="0"/>
          <w:marBottom w:val="0"/>
          <w:divBdr>
            <w:top w:val="none" w:sz="0" w:space="0" w:color="auto"/>
            <w:left w:val="none" w:sz="0" w:space="0" w:color="auto"/>
            <w:bottom w:val="none" w:sz="0" w:space="0" w:color="auto"/>
            <w:right w:val="none" w:sz="0" w:space="0" w:color="auto"/>
          </w:divBdr>
        </w:div>
        <w:div w:id="199320688">
          <w:marLeft w:val="0"/>
          <w:marRight w:val="0"/>
          <w:marTop w:val="0"/>
          <w:marBottom w:val="0"/>
          <w:divBdr>
            <w:top w:val="none" w:sz="0" w:space="0" w:color="auto"/>
            <w:left w:val="none" w:sz="0" w:space="0" w:color="auto"/>
            <w:bottom w:val="none" w:sz="0" w:space="0" w:color="auto"/>
            <w:right w:val="none" w:sz="0" w:space="0" w:color="auto"/>
          </w:divBdr>
        </w:div>
        <w:div w:id="841552806">
          <w:marLeft w:val="0"/>
          <w:marRight w:val="0"/>
          <w:marTop w:val="0"/>
          <w:marBottom w:val="0"/>
          <w:divBdr>
            <w:top w:val="none" w:sz="0" w:space="0" w:color="auto"/>
            <w:left w:val="none" w:sz="0" w:space="0" w:color="auto"/>
            <w:bottom w:val="none" w:sz="0" w:space="0" w:color="auto"/>
            <w:right w:val="none" w:sz="0" w:space="0" w:color="auto"/>
          </w:divBdr>
        </w:div>
        <w:div w:id="1462114412">
          <w:marLeft w:val="0"/>
          <w:marRight w:val="0"/>
          <w:marTop w:val="0"/>
          <w:marBottom w:val="0"/>
          <w:divBdr>
            <w:top w:val="none" w:sz="0" w:space="0" w:color="auto"/>
            <w:left w:val="none" w:sz="0" w:space="0" w:color="auto"/>
            <w:bottom w:val="none" w:sz="0" w:space="0" w:color="auto"/>
            <w:right w:val="none" w:sz="0" w:space="0" w:color="auto"/>
          </w:divBdr>
        </w:div>
        <w:div w:id="1740709268">
          <w:marLeft w:val="0"/>
          <w:marRight w:val="0"/>
          <w:marTop w:val="0"/>
          <w:marBottom w:val="0"/>
          <w:divBdr>
            <w:top w:val="none" w:sz="0" w:space="0" w:color="auto"/>
            <w:left w:val="none" w:sz="0" w:space="0" w:color="auto"/>
            <w:bottom w:val="none" w:sz="0" w:space="0" w:color="auto"/>
            <w:right w:val="none" w:sz="0" w:space="0" w:color="auto"/>
          </w:divBdr>
        </w:div>
        <w:div w:id="967055343">
          <w:marLeft w:val="0"/>
          <w:marRight w:val="0"/>
          <w:marTop w:val="0"/>
          <w:marBottom w:val="0"/>
          <w:divBdr>
            <w:top w:val="none" w:sz="0" w:space="0" w:color="auto"/>
            <w:left w:val="none" w:sz="0" w:space="0" w:color="auto"/>
            <w:bottom w:val="none" w:sz="0" w:space="0" w:color="auto"/>
            <w:right w:val="none" w:sz="0" w:space="0" w:color="auto"/>
          </w:divBdr>
        </w:div>
        <w:div w:id="1153446351">
          <w:marLeft w:val="0"/>
          <w:marRight w:val="0"/>
          <w:marTop w:val="0"/>
          <w:marBottom w:val="0"/>
          <w:divBdr>
            <w:top w:val="none" w:sz="0" w:space="0" w:color="auto"/>
            <w:left w:val="none" w:sz="0" w:space="0" w:color="auto"/>
            <w:bottom w:val="none" w:sz="0" w:space="0" w:color="auto"/>
            <w:right w:val="none" w:sz="0" w:space="0" w:color="auto"/>
          </w:divBdr>
        </w:div>
        <w:div w:id="1510635340">
          <w:marLeft w:val="0"/>
          <w:marRight w:val="0"/>
          <w:marTop w:val="0"/>
          <w:marBottom w:val="0"/>
          <w:divBdr>
            <w:top w:val="none" w:sz="0" w:space="0" w:color="auto"/>
            <w:left w:val="none" w:sz="0" w:space="0" w:color="auto"/>
            <w:bottom w:val="none" w:sz="0" w:space="0" w:color="auto"/>
            <w:right w:val="none" w:sz="0" w:space="0" w:color="auto"/>
          </w:divBdr>
        </w:div>
        <w:div w:id="1057823602">
          <w:marLeft w:val="0"/>
          <w:marRight w:val="0"/>
          <w:marTop w:val="0"/>
          <w:marBottom w:val="0"/>
          <w:divBdr>
            <w:top w:val="none" w:sz="0" w:space="0" w:color="auto"/>
            <w:left w:val="none" w:sz="0" w:space="0" w:color="auto"/>
            <w:bottom w:val="none" w:sz="0" w:space="0" w:color="auto"/>
            <w:right w:val="none" w:sz="0" w:space="0" w:color="auto"/>
          </w:divBdr>
        </w:div>
        <w:div w:id="1861553755">
          <w:marLeft w:val="0"/>
          <w:marRight w:val="0"/>
          <w:marTop w:val="0"/>
          <w:marBottom w:val="0"/>
          <w:divBdr>
            <w:top w:val="none" w:sz="0" w:space="0" w:color="auto"/>
            <w:left w:val="none" w:sz="0" w:space="0" w:color="auto"/>
            <w:bottom w:val="none" w:sz="0" w:space="0" w:color="auto"/>
            <w:right w:val="none" w:sz="0" w:space="0" w:color="auto"/>
          </w:divBdr>
        </w:div>
        <w:div w:id="1012877248">
          <w:marLeft w:val="0"/>
          <w:marRight w:val="0"/>
          <w:marTop w:val="0"/>
          <w:marBottom w:val="0"/>
          <w:divBdr>
            <w:top w:val="none" w:sz="0" w:space="0" w:color="auto"/>
            <w:left w:val="none" w:sz="0" w:space="0" w:color="auto"/>
            <w:bottom w:val="none" w:sz="0" w:space="0" w:color="auto"/>
            <w:right w:val="none" w:sz="0" w:space="0" w:color="auto"/>
          </w:divBdr>
        </w:div>
        <w:div w:id="965425072">
          <w:marLeft w:val="0"/>
          <w:marRight w:val="0"/>
          <w:marTop w:val="0"/>
          <w:marBottom w:val="0"/>
          <w:divBdr>
            <w:top w:val="none" w:sz="0" w:space="0" w:color="auto"/>
            <w:left w:val="none" w:sz="0" w:space="0" w:color="auto"/>
            <w:bottom w:val="none" w:sz="0" w:space="0" w:color="auto"/>
            <w:right w:val="none" w:sz="0" w:space="0" w:color="auto"/>
          </w:divBdr>
        </w:div>
        <w:div w:id="1947420125">
          <w:marLeft w:val="0"/>
          <w:marRight w:val="0"/>
          <w:marTop w:val="0"/>
          <w:marBottom w:val="0"/>
          <w:divBdr>
            <w:top w:val="none" w:sz="0" w:space="0" w:color="auto"/>
            <w:left w:val="none" w:sz="0" w:space="0" w:color="auto"/>
            <w:bottom w:val="none" w:sz="0" w:space="0" w:color="auto"/>
            <w:right w:val="none" w:sz="0" w:space="0" w:color="auto"/>
          </w:divBdr>
        </w:div>
        <w:div w:id="1430542300">
          <w:marLeft w:val="0"/>
          <w:marRight w:val="0"/>
          <w:marTop w:val="0"/>
          <w:marBottom w:val="0"/>
          <w:divBdr>
            <w:top w:val="none" w:sz="0" w:space="0" w:color="auto"/>
            <w:left w:val="none" w:sz="0" w:space="0" w:color="auto"/>
            <w:bottom w:val="none" w:sz="0" w:space="0" w:color="auto"/>
            <w:right w:val="none" w:sz="0" w:space="0" w:color="auto"/>
          </w:divBdr>
        </w:div>
        <w:div w:id="667441139">
          <w:marLeft w:val="0"/>
          <w:marRight w:val="0"/>
          <w:marTop w:val="0"/>
          <w:marBottom w:val="0"/>
          <w:divBdr>
            <w:top w:val="none" w:sz="0" w:space="0" w:color="auto"/>
            <w:left w:val="none" w:sz="0" w:space="0" w:color="auto"/>
            <w:bottom w:val="none" w:sz="0" w:space="0" w:color="auto"/>
            <w:right w:val="none" w:sz="0" w:space="0" w:color="auto"/>
          </w:divBdr>
        </w:div>
        <w:div w:id="180050845">
          <w:marLeft w:val="0"/>
          <w:marRight w:val="0"/>
          <w:marTop w:val="0"/>
          <w:marBottom w:val="0"/>
          <w:divBdr>
            <w:top w:val="none" w:sz="0" w:space="0" w:color="auto"/>
            <w:left w:val="none" w:sz="0" w:space="0" w:color="auto"/>
            <w:bottom w:val="none" w:sz="0" w:space="0" w:color="auto"/>
            <w:right w:val="none" w:sz="0" w:space="0" w:color="auto"/>
          </w:divBdr>
          <w:divsChild>
            <w:div w:id="1354263099">
              <w:marLeft w:val="0"/>
              <w:marRight w:val="0"/>
              <w:marTop w:val="0"/>
              <w:marBottom w:val="0"/>
              <w:divBdr>
                <w:top w:val="none" w:sz="0" w:space="0" w:color="auto"/>
                <w:left w:val="none" w:sz="0" w:space="0" w:color="auto"/>
                <w:bottom w:val="none" w:sz="0" w:space="0" w:color="auto"/>
                <w:right w:val="none" w:sz="0" w:space="0" w:color="auto"/>
              </w:divBdr>
            </w:div>
            <w:div w:id="1878620357">
              <w:marLeft w:val="0"/>
              <w:marRight w:val="0"/>
              <w:marTop w:val="0"/>
              <w:marBottom w:val="0"/>
              <w:divBdr>
                <w:top w:val="none" w:sz="0" w:space="0" w:color="auto"/>
                <w:left w:val="none" w:sz="0" w:space="0" w:color="auto"/>
                <w:bottom w:val="none" w:sz="0" w:space="0" w:color="auto"/>
                <w:right w:val="none" w:sz="0" w:space="0" w:color="auto"/>
              </w:divBdr>
            </w:div>
            <w:div w:id="1523323685">
              <w:marLeft w:val="0"/>
              <w:marRight w:val="0"/>
              <w:marTop w:val="0"/>
              <w:marBottom w:val="0"/>
              <w:divBdr>
                <w:top w:val="none" w:sz="0" w:space="0" w:color="auto"/>
                <w:left w:val="none" w:sz="0" w:space="0" w:color="auto"/>
                <w:bottom w:val="none" w:sz="0" w:space="0" w:color="auto"/>
                <w:right w:val="none" w:sz="0" w:space="0" w:color="auto"/>
              </w:divBdr>
            </w:div>
            <w:div w:id="107479250">
              <w:marLeft w:val="0"/>
              <w:marRight w:val="0"/>
              <w:marTop w:val="0"/>
              <w:marBottom w:val="0"/>
              <w:divBdr>
                <w:top w:val="none" w:sz="0" w:space="0" w:color="auto"/>
                <w:left w:val="none" w:sz="0" w:space="0" w:color="auto"/>
                <w:bottom w:val="none" w:sz="0" w:space="0" w:color="auto"/>
                <w:right w:val="none" w:sz="0" w:space="0" w:color="auto"/>
              </w:divBdr>
            </w:div>
            <w:div w:id="1934048337">
              <w:marLeft w:val="0"/>
              <w:marRight w:val="0"/>
              <w:marTop w:val="0"/>
              <w:marBottom w:val="0"/>
              <w:divBdr>
                <w:top w:val="none" w:sz="0" w:space="0" w:color="auto"/>
                <w:left w:val="none" w:sz="0" w:space="0" w:color="auto"/>
                <w:bottom w:val="none" w:sz="0" w:space="0" w:color="auto"/>
                <w:right w:val="none" w:sz="0" w:space="0" w:color="auto"/>
              </w:divBdr>
            </w:div>
          </w:divsChild>
        </w:div>
        <w:div w:id="1187137074">
          <w:marLeft w:val="0"/>
          <w:marRight w:val="0"/>
          <w:marTop w:val="0"/>
          <w:marBottom w:val="0"/>
          <w:divBdr>
            <w:top w:val="none" w:sz="0" w:space="0" w:color="auto"/>
            <w:left w:val="none" w:sz="0" w:space="0" w:color="auto"/>
            <w:bottom w:val="none" w:sz="0" w:space="0" w:color="auto"/>
            <w:right w:val="none" w:sz="0" w:space="0" w:color="auto"/>
          </w:divBdr>
        </w:div>
        <w:div w:id="38167126">
          <w:marLeft w:val="0"/>
          <w:marRight w:val="0"/>
          <w:marTop w:val="0"/>
          <w:marBottom w:val="0"/>
          <w:divBdr>
            <w:top w:val="none" w:sz="0" w:space="0" w:color="auto"/>
            <w:left w:val="none" w:sz="0" w:space="0" w:color="auto"/>
            <w:bottom w:val="none" w:sz="0" w:space="0" w:color="auto"/>
            <w:right w:val="none" w:sz="0" w:space="0" w:color="auto"/>
          </w:divBdr>
        </w:div>
        <w:div w:id="429131927">
          <w:marLeft w:val="0"/>
          <w:marRight w:val="0"/>
          <w:marTop w:val="0"/>
          <w:marBottom w:val="0"/>
          <w:divBdr>
            <w:top w:val="none" w:sz="0" w:space="0" w:color="auto"/>
            <w:left w:val="none" w:sz="0" w:space="0" w:color="auto"/>
            <w:bottom w:val="none" w:sz="0" w:space="0" w:color="auto"/>
            <w:right w:val="none" w:sz="0" w:space="0" w:color="auto"/>
          </w:divBdr>
        </w:div>
        <w:div w:id="232934706">
          <w:marLeft w:val="0"/>
          <w:marRight w:val="0"/>
          <w:marTop w:val="0"/>
          <w:marBottom w:val="0"/>
          <w:divBdr>
            <w:top w:val="none" w:sz="0" w:space="0" w:color="auto"/>
            <w:left w:val="none" w:sz="0" w:space="0" w:color="auto"/>
            <w:bottom w:val="none" w:sz="0" w:space="0" w:color="auto"/>
            <w:right w:val="none" w:sz="0" w:space="0" w:color="auto"/>
          </w:divBdr>
        </w:div>
        <w:div w:id="262341000">
          <w:marLeft w:val="0"/>
          <w:marRight w:val="0"/>
          <w:marTop w:val="0"/>
          <w:marBottom w:val="0"/>
          <w:divBdr>
            <w:top w:val="none" w:sz="0" w:space="0" w:color="auto"/>
            <w:left w:val="none" w:sz="0" w:space="0" w:color="auto"/>
            <w:bottom w:val="none" w:sz="0" w:space="0" w:color="auto"/>
            <w:right w:val="none" w:sz="0" w:space="0" w:color="auto"/>
          </w:divBdr>
        </w:div>
        <w:div w:id="1251696395">
          <w:marLeft w:val="0"/>
          <w:marRight w:val="0"/>
          <w:marTop w:val="0"/>
          <w:marBottom w:val="0"/>
          <w:divBdr>
            <w:top w:val="none" w:sz="0" w:space="0" w:color="auto"/>
            <w:left w:val="none" w:sz="0" w:space="0" w:color="auto"/>
            <w:bottom w:val="none" w:sz="0" w:space="0" w:color="auto"/>
            <w:right w:val="none" w:sz="0" w:space="0" w:color="auto"/>
          </w:divBdr>
        </w:div>
        <w:div w:id="1100837900">
          <w:marLeft w:val="0"/>
          <w:marRight w:val="0"/>
          <w:marTop w:val="0"/>
          <w:marBottom w:val="0"/>
          <w:divBdr>
            <w:top w:val="none" w:sz="0" w:space="0" w:color="auto"/>
            <w:left w:val="none" w:sz="0" w:space="0" w:color="auto"/>
            <w:bottom w:val="none" w:sz="0" w:space="0" w:color="auto"/>
            <w:right w:val="none" w:sz="0" w:space="0" w:color="auto"/>
          </w:divBdr>
        </w:div>
        <w:div w:id="207647451">
          <w:marLeft w:val="0"/>
          <w:marRight w:val="0"/>
          <w:marTop w:val="0"/>
          <w:marBottom w:val="0"/>
          <w:divBdr>
            <w:top w:val="none" w:sz="0" w:space="0" w:color="auto"/>
            <w:left w:val="none" w:sz="0" w:space="0" w:color="auto"/>
            <w:bottom w:val="none" w:sz="0" w:space="0" w:color="auto"/>
            <w:right w:val="none" w:sz="0" w:space="0" w:color="auto"/>
          </w:divBdr>
        </w:div>
        <w:div w:id="1723749703">
          <w:marLeft w:val="0"/>
          <w:marRight w:val="0"/>
          <w:marTop w:val="0"/>
          <w:marBottom w:val="0"/>
          <w:divBdr>
            <w:top w:val="none" w:sz="0" w:space="0" w:color="auto"/>
            <w:left w:val="none" w:sz="0" w:space="0" w:color="auto"/>
            <w:bottom w:val="none" w:sz="0" w:space="0" w:color="auto"/>
            <w:right w:val="none" w:sz="0" w:space="0" w:color="auto"/>
          </w:divBdr>
        </w:div>
        <w:div w:id="742415524">
          <w:marLeft w:val="0"/>
          <w:marRight w:val="0"/>
          <w:marTop w:val="0"/>
          <w:marBottom w:val="0"/>
          <w:divBdr>
            <w:top w:val="none" w:sz="0" w:space="0" w:color="auto"/>
            <w:left w:val="none" w:sz="0" w:space="0" w:color="auto"/>
            <w:bottom w:val="none" w:sz="0" w:space="0" w:color="auto"/>
            <w:right w:val="none" w:sz="0" w:space="0" w:color="auto"/>
          </w:divBdr>
        </w:div>
        <w:div w:id="377167229">
          <w:marLeft w:val="0"/>
          <w:marRight w:val="0"/>
          <w:marTop w:val="0"/>
          <w:marBottom w:val="0"/>
          <w:divBdr>
            <w:top w:val="none" w:sz="0" w:space="0" w:color="auto"/>
            <w:left w:val="none" w:sz="0" w:space="0" w:color="auto"/>
            <w:bottom w:val="none" w:sz="0" w:space="0" w:color="auto"/>
            <w:right w:val="none" w:sz="0" w:space="0" w:color="auto"/>
          </w:divBdr>
        </w:div>
        <w:div w:id="1290167179">
          <w:marLeft w:val="0"/>
          <w:marRight w:val="0"/>
          <w:marTop w:val="0"/>
          <w:marBottom w:val="0"/>
          <w:divBdr>
            <w:top w:val="none" w:sz="0" w:space="0" w:color="auto"/>
            <w:left w:val="none" w:sz="0" w:space="0" w:color="auto"/>
            <w:bottom w:val="none" w:sz="0" w:space="0" w:color="auto"/>
            <w:right w:val="none" w:sz="0" w:space="0" w:color="auto"/>
          </w:divBdr>
        </w:div>
        <w:div w:id="1582638585">
          <w:marLeft w:val="0"/>
          <w:marRight w:val="0"/>
          <w:marTop w:val="0"/>
          <w:marBottom w:val="0"/>
          <w:divBdr>
            <w:top w:val="none" w:sz="0" w:space="0" w:color="auto"/>
            <w:left w:val="none" w:sz="0" w:space="0" w:color="auto"/>
            <w:bottom w:val="none" w:sz="0" w:space="0" w:color="auto"/>
            <w:right w:val="none" w:sz="0" w:space="0" w:color="auto"/>
          </w:divBdr>
        </w:div>
        <w:div w:id="1522665065">
          <w:marLeft w:val="0"/>
          <w:marRight w:val="0"/>
          <w:marTop w:val="0"/>
          <w:marBottom w:val="0"/>
          <w:divBdr>
            <w:top w:val="none" w:sz="0" w:space="0" w:color="auto"/>
            <w:left w:val="none" w:sz="0" w:space="0" w:color="auto"/>
            <w:bottom w:val="none" w:sz="0" w:space="0" w:color="auto"/>
            <w:right w:val="none" w:sz="0" w:space="0" w:color="auto"/>
          </w:divBdr>
        </w:div>
        <w:div w:id="1741906715">
          <w:marLeft w:val="0"/>
          <w:marRight w:val="0"/>
          <w:marTop w:val="0"/>
          <w:marBottom w:val="0"/>
          <w:divBdr>
            <w:top w:val="none" w:sz="0" w:space="0" w:color="auto"/>
            <w:left w:val="none" w:sz="0" w:space="0" w:color="auto"/>
            <w:bottom w:val="none" w:sz="0" w:space="0" w:color="auto"/>
            <w:right w:val="none" w:sz="0" w:space="0" w:color="auto"/>
          </w:divBdr>
        </w:div>
        <w:div w:id="783502722">
          <w:marLeft w:val="0"/>
          <w:marRight w:val="0"/>
          <w:marTop w:val="0"/>
          <w:marBottom w:val="0"/>
          <w:divBdr>
            <w:top w:val="none" w:sz="0" w:space="0" w:color="auto"/>
            <w:left w:val="none" w:sz="0" w:space="0" w:color="auto"/>
            <w:bottom w:val="none" w:sz="0" w:space="0" w:color="auto"/>
            <w:right w:val="none" w:sz="0" w:space="0" w:color="auto"/>
          </w:divBdr>
        </w:div>
        <w:div w:id="4133129">
          <w:marLeft w:val="0"/>
          <w:marRight w:val="0"/>
          <w:marTop w:val="0"/>
          <w:marBottom w:val="0"/>
          <w:divBdr>
            <w:top w:val="none" w:sz="0" w:space="0" w:color="auto"/>
            <w:left w:val="none" w:sz="0" w:space="0" w:color="auto"/>
            <w:bottom w:val="none" w:sz="0" w:space="0" w:color="auto"/>
            <w:right w:val="none" w:sz="0" w:space="0" w:color="auto"/>
          </w:divBdr>
        </w:div>
        <w:div w:id="165485283">
          <w:marLeft w:val="0"/>
          <w:marRight w:val="0"/>
          <w:marTop w:val="0"/>
          <w:marBottom w:val="0"/>
          <w:divBdr>
            <w:top w:val="none" w:sz="0" w:space="0" w:color="auto"/>
            <w:left w:val="none" w:sz="0" w:space="0" w:color="auto"/>
            <w:bottom w:val="none" w:sz="0" w:space="0" w:color="auto"/>
            <w:right w:val="none" w:sz="0" w:space="0" w:color="auto"/>
          </w:divBdr>
        </w:div>
        <w:div w:id="365523991">
          <w:marLeft w:val="0"/>
          <w:marRight w:val="0"/>
          <w:marTop w:val="0"/>
          <w:marBottom w:val="0"/>
          <w:divBdr>
            <w:top w:val="none" w:sz="0" w:space="0" w:color="auto"/>
            <w:left w:val="none" w:sz="0" w:space="0" w:color="auto"/>
            <w:bottom w:val="none" w:sz="0" w:space="0" w:color="auto"/>
            <w:right w:val="none" w:sz="0" w:space="0" w:color="auto"/>
          </w:divBdr>
        </w:div>
        <w:div w:id="832527498">
          <w:marLeft w:val="0"/>
          <w:marRight w:val="0"/>
          <w:marTop w:val="0"/>
          <w:marBottom w:val="0"/>
          <w:divBdr>
            <w:top w:val="none" w:sz="0" w:space="0" w:color="auto"/>
            <w:left w:val="none" w:sz="0" w:space="0" w:color="auto"/>
            <w:bottom w:val="none" w:sz="0" w:space="0" w:color="auto"/>
            <w:right w:val="none" w:sz="0" w:space="0" w:color="auto"/>
          </w:divBdr>
        </w:div>
        <w:div w:id="947394542">
          <w:marLeft w:val="0"/>
          <w:marRight w:val="0"/>
          <w:marTop w:val="0"/>
          <w:marBottom w:val="0"/>
          <w:divBdr>
            <w:top w:val="none" w:sz="0" w:space="0" w:color="auto"/>
            <w:left w:val="none" w:sz="0" w:space="0" w:color="auto"/>
            <w:bottom w:val="none" w:sz="0" w:space="0" w:color="auto"/>
            <w:right w:val="none" w:sz="0" w:space="0" w:color="auto"/>
          </w:divBdr>
        </w:div>
        <w:div w:id="428547273">
          <w:marLeft w:val="0"/>
          <w:marRight w:val="0"/>
          <w:marTop w:val="0"/>
          <w:marBottom w:val="0"/>
          <w:divBdr>
            <w:top w:val="none" w:sz="0" w:space="0" w:color="auto"/>
            <w:left w:val="none" w:sz="0" w:space="0" w:color="auto"/>
            <w:bottom w:val="none" w:sz="0" w:space="0" w:color="auto"/>
            <w:right w:val="none" w:sz="0" w:space="0" w:color="auto"/>
          </w:divBdr>
        </w:div>
        <w:div w:id="1759401266">
          <w:marLeft w:val="0"/>
          <w:marRight w:val="0"/>
          <w:marTop w:val="0"/>
          <w:marBottom w:val="0"/>
          <w:divBdr>
            <w:top w:val="none" w:sz="0" w:space="0" w:color="auto"/>
            <w:left w:val="none" w:sz="0" w:space="0" w:color="auto"/>
            <w:bottom w:val="none" w:sz="0" w:space="0" w:color="auto"/>
            <w:right w:val="none" w:sz="0" w:space="0" w:color="auto"/>
          </w:divBdr>
        </w:div>
        <w:div w:id="1972053623">
          <w:marLeft w:val="0"/>
          <w:marRight w:val="0"/>
          <w:marTop w:val="0"/>
          <w:marBottom w:val="0"/>
          <w:divBdr>
            <w:top w:val="none" w:sz="0" w:space="0" w:color="auto"/>
            <w:left w:val="none" w:sz="0" w:space="0" w:color="auto"/>
            <w:bottom w:val="none" w:sz="0" w:space="0" w:color="auto"/>
            <w:right w:val="none" w:sz="0" w:space="0" w:color="auto"/>
          </w:divBdr>
        </w:div>
        <w:div w:id="628169333">
          <w:marLeft w:val="0"/>
          <w:marRight w:val="0"/>
          <w:marTop w:val="0"/>
          <w:marBottom w:val="0"/>
          <w:divBdr>
            <w:top w:val="none" w:sz="0" w:space="0" w:color="auto"/>
            <w:left w:val="none" w:sz="0" w:space="0" w:color="auto"/>
            <w:bottom w:val="none" w:sz="0" w:space="0" w:color="auto"/>
            <w:right w:val="none" w:sz="0" w:space="0" w:color="auto"/>
          </w:divBdr>
        </w:div>
        <w:div w:id="1940677375">
          <w:marLeft w:val="0"/>
          <w:marRight w:val="0"/>
          <w:marTop w:val="0"/>
          <w:marBottom w:val="0"/>
          <w:divBdr>
            <w:top w:val="none" w:sz="0" w:space="0" w:color="auto"/>
            <w:left w:val="none" w:sz="0" w:space="0" w:color="auto"/>
            <w:bottom w:val="none" w:sz="0" w:space="0" w:color="auto"/>
            <w:right w:val="none" w:sz="0" w:space="0" w:color="auto"/>
          </w:divBdr>
          <w:divsChild>
            <w:div w:id="2062706058">
              <w:marLeft w:val="0"/>
              <w:marRight w:val="0"/>
              <w:marTop w:val="0"/>
              <w:marBottom w:val="0"/>
              <w:divBdr>
                <w:top w:val="none" w:sz="0" w:space="0" w:color="auto"/>
                <w:left w:val="none" w:sz="0" w:space="0" w:color="auto"/>
                <w:bottom w:val="none" w:sz="0" w:space="0" w:color="auto"/>
                <w:right w:val="none" w:sz="0" w:space="0" w:color="auto"/>
              </w:divBdr>
            </w:div>
            <w:div w:id="2035420632">
              <w:marLeft w:val="0"/>
              <w:marRight w:val="0"/>
              <w:marTop w:val="0"/>
              <w:marBottom w:val="0"/>
              <w:divBdr>
                <w:top w:val="none" w:sz="0" w:space="0" w:color="auto"/>
                <w:left w:val="none" w:sz="0" w:space="0" w:color="auto"/>
                <w:bottom w:val="none" w:sz="0" w:space="0" w:color="auto"/>
                <w:right w:val="none" w:sz="0" w:space="0" w:color="auto"/>
              </w:divBdr>
            </w:div>
            <w:div w:id="666204895">
              <w:marLeft w:val="0"/>
              <w:marRight w:val="0"/>
              <w:marTop w:val="0"/>
              <w:marBottom w:val="0"/>
              <w:divBdr>
                <w:top w:val="none" w:sz="0" w:space="0" w:color="auto"/>
                <w:left w:val="none" w:sz="0" w:space="0" w:color="auto"/>
                <w:bottom w:val="none" w:sz="0" w:space="0" w:color="auto"/>
                <w:right w:val="none" w:sz="0" w:space="0" w:color="auto"/>
              </w:divBdr>
            </w:div>
            <w:div w:id="282270681">
              <w:marLeft w:val="0"/>
              <w:marRight w:val="0"/>
              <w:marTop w:val="0"/>
              <w:marBottom w:val="0"/>
              <w:divBdr>
                <w:top w:val="none" w:sz="0" w:space="0" w:color="auto"/>
                <w:left w:val="none" w:sz="0" w:space="0" w:color="auto"/>
                <w:bottom w:val="none" w:sz="0" w:space="0" w:color="auto"/>
                <w:right w:val="none" w:sz="0" w:space="0" w:color="auto"/>
              </w:divBdr>
            </w:div>
          </w:divsChild>
        </w:div>
        <w:div w:id="1274553747">
          <w:marLeft w:val="0"/>
          <w:marRight w:val="0"/>
          <w:marTop w:val="0"/>
          <w:marBottom w:val="0"/>
          <w:divBdr>
            <w:top w:val="none" w:sz="0" w:space="0" w:color="auto"/>
            <w:left w:val="none" w:sz="0" w:space="0" w:color="auto"/>
            <w:bottom w:val="none" w:sz="0" w:space="0" w:color="auto"/>
            <w:right w:val="none" w:sz="0" w:space="0" w:color="auto"/>
          </w:divBdr>
          <w:divsChild>
            <w:div w:id="278873698">
              <w:marLeft w:val="0"/>
              <w:marRight w:val="0"/>
              <w:marTop w:val="0"/>
              <w:marBottom w:val="0"/>
              <w:divBdr>
                <w:top w:val="none" w:sz="0" w:space="0" w:color="auto"/>
                <w:left w:val="none" w:sz="0" w:space="0" w:color="auto"/>
                <w:bottom w:val="none" w:sz="0" w:space="0" w:color="auto"/>
                <w:right w:val="none" w:sz="0" w:space="0" w:color="auto"/>
              </w:divBdr>
            </w:div>
            <w:div w:id="1172405569">
              <w:marLeft w:val="0"/>
              <w:marRight w:val="0"/>
              <w:marTop w:val="0"/>
              <w:marBottom w:val="0"/>
              <w:divBdr>
                <w:top w:val="none" w:sz="0" w:space="0" w:color="auto"/>
                <w:left w:val="none" w:sz="0" w:space="0" w:color="auto"/>
                <w:bottom w:val="none" w:sz="0" w:space="0" w:color="auto"/>
                <w:right w:val="none" w:sz="0" w:space="0" w:color="auto"/>
              </w:divBdr>
            </w:div>
            <w:div w:id="1099719188">
              <w:marLeft w:val="0"/>
              <w:marRight w:val="0"/>
              <w:marTop w:val="0"/>
              <w:marBottom w:val="0"/>
              <w:divBdr>
                <w:top w:val="none" w:sz="0" w:space="0" w:color="auto"/>
                <w:left w:val="none" w:sz="0" w:space="0" w:color="auto"/>
                <w:bottom w:val="none" w:sz="0" w:space="0" w:color="auto"/>
                <w:right w:val="none" w:sz="0" w:space="0" w:color="auto"/>
              </w:divBdr>
            </w:div>
            <w:div w:id="1246454749">
              <w:marLeft w:val="0"/>
              <w:marRight w:val="0"/>
              <w:marTop w:val="0"/>
              <w:marBottom w:val="0"/>
              <w:divBdr>
                <w:top w:val="none" w:sz="0" w:space="0" w:color="auto"/>
                <w:left w:val="none" w:sz="0" w:space="0" w:color="auto"/>
                <w:bottom w:val="none" w:sz="0" w:space="0" w:color="auto"/>
                <w:right w:val="none" w:sz="0" w:space="0" w:color="auto"/>
              </w:divBdr>
            </w:div>
            <w:div w:id="909467723">
              <w:marLeft w:val="0"/>
              <w:marRight w:val="0"/>
              <w:marTop w:val="0"/>
              <w:marBottom w:val="0"/>
              <w:divBdr>
                <w:top w:val="none" w:sz="0" w:space="0" w:color="auto"/>
                <w:left w:val="none" w:sz="0" w:space="0" w:color="auto"/>
                <w:bottom w:val="none" w:sz="0" w:space="0" w:color="auto"/>
                <w:right w:val="none" w:sz="0" w:space="0" w:color="auto"/>
              </w:divBdr>
            </w:div>
          </w:divsChild>
        </w:div>
        <w:div w:id="31393148">
          <w:marLeft w:val="0"/>
          <w:marRight w:val="0"/>
          <w:marTop w:val="0"/>
          <w:marBottom w:val="0"/>
          <w:divBdr>
            <w:top w:val="none" w:sz="0" w:space="0" w:color="auto"/>
            <w:left w:val="none" w:sz="0" w:space="0" w:color="auto"/>
            <w:bottom w:val="none" w:sz="0" w:space="0" w:color="auto"/>
            <w:right w:val="none" w:sz="0" w:space="0" w:color="auto"/>
          </w:divBdr>
          <w:divsChild>
            <w:div w:id="484903713">
              <w:marLeft w:val="0"/>
              <w:marRight w:val="0"/>
              <w:marTop w:val="0"/>
              <w:marBottom w:val="0"/>
              <w:divBdr>
                <w:top w:val="none" w:sz="0" w:space="0" w:color="auto"/>
                <w:left w:val="none" w:sz="0" w:space="0" w:color="auto"/>
                <w:bottom w:val="none" w:sz="0" w:space="0" w:color="auto"/>
                <w:right w:val="none" w:sz="0" w:space="0" w:color="auto"/>
              </w:divBdr>
            </w:div>
            <w:div w:id="17510560">
              <w:marLeft w:val="0"/>
              <w:marRight w:val="0"/>
              <w:marTop w:val="0"/>
              <w:marBottom w:val="0"/>
              <w:divBdr>
                <w:top w:val="none" w:sz="0" w:space="0" w:color="auto"/>
                <w:left w:val="none" w:sz="0" w:space="0" w:color="auto"/>
                <w:bottom w:val="none" w:sz="0" w:space="0" w:color="auto"/>
                <w:right w:val="none" w:sz="0" w:space="0" w:color="auto"/>
              </w:divBdr>
            </w:div>
            <w:div w:id="1188372507">
              <w:marLeft w:val="0"/>
              <w:marRight w:val="0"/>
              <w:marTop w:val="0"/>
              <w:marBottom w:val="0"/>
              <w:divBdr>
                <w:top w:val="none" w:sz="0" w:space="0" w:color="auto"/>
                <w:left w:val="none" w:sz="0" w:space="0" w:color="auto"/>
                <w:bottom w:val="none" w:sz="0" w:space="0" w:color="auto"/>
                <w:right w:val="none" w:sz="0" w:space="0" w:color="auto"/>
              </w:divBdr>
            </w:div>
            <w:div w:id="1042632465">
              <w:marLeft w:val="0"/>
              <w:marRight w:val="0"/>
              <w:marTop w:val="0"/>
              <w:marBottom w:val="0"/>
              <w:divBdr>
                <w:top w:val="none" w:sz="0" w:space="0" w:color="auto"/>
                <w:left w:val="none" w:sz="0" w:space="0" w:color="auto"/>
                <w:bottom w:val="none" w:sz="0" w:space="0" w:color="auto"/>
                <w:right w:val="none" w:sz="0" w:space="0" w:color="auto"/>
              </w:divBdr>
            </w:div>
            <w:div w:id="1274248381">
              <w:marLeft w:val="0"/>
              <w:marRight w:val="0"/>
              <w:marTop w:val="0"/>
              <w:marBottom w:val="0"/>
              <w:divBdr>
                <w:top w:val="none" w:sz="0" w:space="0" w:color="auto"/>
                <w:left w:val="none" w:sz="0" w:space="0" w:color="auto"/>
                <w:bottom w:val="none" w:sz="0" w:space="0" w:color="auto"/>
                <w:right w:val="none" w:sz="0" w:space="0" w:color="auto"/>
              </w:divBdr>
            </w:div>
          </w:divsChild>
        </w:div>
        <w:div w:id="88090015">
          <w:marLeft w:val="0"/>
          <w:marRight w:val="0"/>
          <w:marTop w:val="0"/>
          <w:marBottom w:val="0"/>
          <w:divBdr>
            <w:top w:val="none" w:sz="0" w:space="0" w:color="auto"/>
            <w:left w:val="none" w:sz="0" w:space="0" w:color="auto"/>
            <w:bottom w:val="none" w:sz="0" w:space="0" w:color="auto"/>
            <w:right w:val="none" w:sz="0" w:space="0" w:color="auto"/>
          </w:divBdr>
          <w:divsChild>
            <w:div w:id="1889142761">
              <w:marLeft w:val="0"/>
              <w:marRight w:val="0"/>
              <w:marTop w:val="0"/>
              <w:marBottom w:val="0"/>
              <w:divBdr>
                <w:top w:val="none" w:sz="0" w:space="0" w:color="auto"/>
                <w:left w:val="none" w:sz="0" w:space="0" w:color="auto"/>
                <w:bottom w:val="none" w:sz="0" w:space="0" w:color="auto"/>
                <w:right w:val="none" w:sz="0" w:space="0" w:color="auto"/>
              </w:divBdr>
            </w:div>
            <w:div w:id="2121682334">
              <w:marLeft w:val="0"/>
              <w:marRight w:val="0"/>
              <w:marTop w:val="0"/>
              <w:marBottom w:val="0"/>
              <w:divBdr>
                <w:top w:val="none" w:sz="0" w:space="0" w:color="auto"/>
                <w:left w:val="none" w:sz="0" w:space="0" w:color="auto"/>
                <w:bottom w:val="none" w:sz="0" w:space="0" w:color="auto"/>
                <w:right w:val="none" w:sz="0" w:space="0" w:color="auto"/>
              </w:divBdr>
            </w:div>
            <w:div w:id="1441100422">
              <w:marLeft w:val="0"/>
              <w:marRight w:val="0"/>
              <w:marTop w:val="0"/>
              <w:marBottom w:val="0"/>
              <w:divBdr>
                <w:top w:val="none" w:sz="0" w:space="0" w:color="auto"/>
                <w:left w:val="none" w:sz="0" w:space="0" w:color="auto"/>
                <w:bottom w:val="none" w:sz="0" w:space="0" w:color="auto"/>
                <w:right w:val="none" w:sz="0" w:space="0" w:color="auto"/>
              </w:divBdr>
            </w:div>
            <w:div w:id="243954162">
              <w:marLeft w:val="0"/>
              <w:marRight w:val="0"/>
              <w:marTop w:val="0"/>
              <w:marBottom w:val="0"/>
              <w:divBdr>
                <w:top w:val="none" w:sz="0" w:space="0" w:color="auto"/>
                <w:left w:val="none" w:sz="0" w:space="0" w:color="auto"/>
                <w:bottom w:val="none" w:sz="0" w:space="0" w:color="auto"/>
                <w:right w:val="none" w:sz="0" w:space="0" w:color="auto"/>
              </w:divBdr>
            </w:div>
          </w:divsChild>
        </w:div>
        <w:div w:id="1809665447">
          <w:marLeft w:val="0"/>
          <w:marRight w:val="0"/>
          <w:marTop w:val="0"/>
          <w:marBottom w:val="0"/>
          <w:divBdr>
            <w:top w:val="none" w:sz="0" w:space="0" w:color="auto"/>
            <w:left w:val="none" w:sz="0" w:space="0" w:color="auto"/>
            <w:bottom w:val="none" w:sz="0" w:space="0" w:color="auto"/>
            <w:right w:val="none" w:sz="0" w:space="0" w:color="auto"/>
          </w:divBdr>
          <w:divsChild>
            <w:div w:id="708385367">
              <w:marLeft w:val="0"/>
              <w:marRight w:val="0"/>
              <w:marTop w:val="0"/>
              <w:marBottom w:val="0"/>
              <w:divBdr>
                <w:top w:val="none" w:sz="0" w:space="0" w:color="auto"/>
                <w:left w:val="none" w:sz="0" w:space="0" w:color="auto"/>
                <w:bottom w:val="none" w:sz="0" w:space="0" w:color="auto"/>
                <w:right w:val="none" w:sz="0" w:space="0" w:color="auto"/>
              </w:divBdr>
            </w:div>
            <w:div w:id="171528624">
              <w:marLeft w:val="0"/>
              <w:marRight w:val="0"/>
              <w:marTop w:val="0"/>
              <w:marBottom w:val="0"/>
              <w:divBdr>
                <w:top w:val="none" w:sz="0" w:space="0" w:color="auto"/>
                <w:left w:val="none" w:sz="0" w:space="0" w:color="auto"/>
                <w:bottom w:val="none" w:sz="0" w:space="0" w:color="auto"/>
                <w:right w:val="none" w:sz="0" w:space="0" w:color="auto"/>
              </w:divBdr>
            </w:div>
            <w:div w:id="1601642434">
              <w:marLeft w:val="0"/>
              <w:marRight w:val="0"/>
              <w:marTop w:val="0"/>
              <w:marBottom w:val="0"/>
              <w:divBdr>
                <w:top w:val="none" w:sz="0" w:space="0" w:color="auto"/>
                <w:left w:val="none" w:sz="0" w:space="0" w:color="auto"/>
                <w:bottom w:val="none" w:sz="0" w:space="0" w:color="auto"/>
                <w:right w:val="none" w:sz="0" w:space="0" w:color="auto"/>
              </w:divBdr>
            </w:div>
          </w:divsChild>
        </w:div>
        <w:div w:id="723338016">
          <w:marLeft w:val="0"/>
          <w:marRight w:val="0"/>
          <w:marTop w:val="0"/>
          <w:marBottom w:val="0"/>
          <w:divBdr>
            <w:top w:val="none" w:sz="0" w:space="0" w:color="auto"/>
            <w:left w:val="none" w:sz="0" w:space="0" w:color="auto"/>
            <w:bottom w:val="none" w:sz="0" w:space="0" w:color="auto"/>
            <w:right w:val="none" w:sz="0" w:space="0" w:color="auto"/>
          </w:divBdr>
        </w:div>
        <w:div w:id="1309286894">
          <w:marLeft w:val="0"/>
          <w:marRight w:val="0"/>
          <w:marTop w:val="0"/>
          <w:marBottom w:val="0"/>
          <w:divBdr>
            <w:top w:val="none" w:sz="0" w:space="0" w:color="auto"/>
            <w:left w:val="none" w:sz="0" w:space="0" w:color="auto"/>
            <w:bottom w:val="none" w:sz="0" w:space="0" w:color="auto"/>
            <w:right w:val="none" w:sz="0" w:space="0" w:color="auto"/>
          </w:divBdr>
        </w:div>
        <w:div w:id="1085498767">
          <w:marLeft w:val="0"/>
          <w:marRight w:val="0"/>
          <w:marTop w:val="0"/>
          <w:marBottom w:val="0"/>
          <w:divBdr>
            <w:top w:val="none" w:sz="0" w:space="0" w:color="auto"/>
            <w:left w:val="none" w:sz="0" w:space="0" w:color="auto"/>
            <w:bottom w:val="none" w:sz="0" w:space="0" w:color="auto"/>
            <w:right w:val="none" w:sz="0" w:space="0" w:color="auto"/>
          </w:divBdr>
        </w:div>
        <w:div w:id="1281061157">
          <w:marLeft w:val="0"/>
          <w:marRight w:val="0"/>
          <w:marTop w:val="0"/>
          <w:marBottom w:val="0"/>
          <w:divBdr>
            <w:top w:val="none" w:sz="0" w:space="0" w:color="auto"/>
            <w:left w:val="none" w:sz="0" w:space="0" w:color="auto"/>
            <w:bottom w:val="none" w:sz="0" w:space="0" w:color="auto"/>
            <w:right w:val="none" w:sz="0" w:space="0" w:color="auto"/>
          </w:divBdr>
        </w:div>
        <w:div w:id="1104880240">
          <w:marLeft w:val="0"/>
          <w:marRight w:val="0"/>
          <w:marTop w:val="0"/>
          <w:marBottom w:val="0"/>
          <w:divBdr>
            <w:top w:val="none" w:sz="0" w:space="0" w:color="auto"/>
            <w:left w:val="none" w:sz="0" w:space="0" w:color="auto"/>
            <w:bottom w:val="none" w:sz="0" w:space="0" w:color="auto"/>
            <w:right w:val="none" w:sz="0" w:space="0" w:color="auto"/>
          </w:divBdr>
        </w:div>
        <w:div w:id="1043092128">
          <w:marLeft w:val="0"/>
          <w:marRight w:val="0"/>
          <w:marTop w:val="0"/>
          <w:marBottom w:val="0"/>
          <w:divBdr>
            <w:top w:val="none" w:sz="0" w:space="0" w:color="auto"/>
            <w:left w:val="none" w:sz="0" w:space="0" w:color="auto"/>
            <w:bottom w:val="none" w:sz="0" w:space="0" w:color="auto"/>
            <w:right w:val="none" w:sz="0" w:space="0" w:color="auto"/>
          </w:divBdr>
        </w:div>
        <w:div w:id="1597472061">
          <w:marLeft w:val="0"/>
          <w:marRight w:val="0"/>
          <w:marTop w:val="0"/>
          <w:marBottom w:val="0"/>
          <w:divBdr>
            <w:top w:val="none" w:sz="0" w:space="0" w:color="auto"/>
            <w:left w:val="none" w:sz="0" w:space="0" w:color="auto"/>
            <w:bottom w:val="none" w:sz="0" w:space="0" w:color="auto"/>
            <w:right w:val="none" w:sz="0" w:space="0" w:color="auto"/>
          </w:divBdr>
        </w:div>
        <w:div w:id="1146892749">
          <w:marLeft w:val="0"/>
          <w:marRight w:val="0"/>
          <w:marTop w:val="0"/>
          <w:marBottom w:val="0"/>
          <w:divBdr>
            <w:top w:val="none" w:sz="0" w:space="0" w:color="auto"/>
            <w:left w:val="none" w:sz="0" w:space="0" w:color="auto"/>
            <w:bottom w:val="none" w:sz="0" w:space="0" w:color="auto"/>
            <w:right w:val="none" w:sz="0" w:space="0" w:color="auto"/>
          </w:divBdr>
        </w:div>
        <w:div w:id="273247835">
          <w:marLeft w:val="0"/>
          <w:marRight w:val="0"/>
          <w:marTop w:val="0"/>
          <w:marBottom w:val="0"/>
          <w:divBdr>
            <w:top w:val="none" w:sz="0" w:space="0" w:color="auto"/>
            <w:left w:val="none" w:sz="0" w:space="0" w:color="auto"/>
            <w:bottom w:val="none" w:sz="0" w:space="0" w:color="auto"/>
            <w:right w:val="none" w:sz="0" w:space="0" w:color="auto"/>
          </w:divBdr>
        </w:div>
        <w:div w:id="1424569077">
          <w:marLeft w:val="0"/>
          <w:marRight w:val="0"/>
          <w:marTop w:val="0"/>
          <w:marBottom w:val="0"/>
          <w:divBdr>
            <w:top w:val="none" w:sz="0" w:space="0" w:color="auto"/>
            <w:left w:val="none" w:sz="0" w:space="0" w:color="auto"/>
            <w:bottom w:val="none" w:sz="0" w:space="0" w:color="auto"/>
            <w:right w:val="none" w:sz="0" w:space="0" w:color="auto"/>
          </w:divBdr>
        </w:div>
        <w:div w:id="1726559561">
          <w:marLeft w:val="0"/>
          <w:marRight w:val="0"/>
          <w:marTop w:val="0"/>
          <w:marBottom w:val="0"/>
          <w:divBdr>
            <w:top w:val="none" w:sz="0" w:space="0" w:color="auto"/>
            <w:left w:val="none" w:sz="0" w:space="0" w:color="auto"/>
            <w:bottom w:val="none" w:sz="0" w:space="0" w:color="auto"/>
            <w:right w:val="none" w:sz="0" w:space="0" w:color="auto"/>
          </w:divBdr>
        </w:div>
        <w:div w:id="988098827">
          <w:marLeft w:val="0"/>
          <w:marRight w:val="0"/>
          <w:marTop w:val="0"/>
          <w:marBottom w:val="0"/>
          <w:divBdr>
            <w:top w:val="none" w:sz="0" w:space="0" w:color="auto"/>
            <w:left w:val="none" w:sz="0" w:space="0" w:color="auto"/>
            <w:bottom w:val="none" w:sz="0" w:space="0" w:color="auto"/>
            <w:right w:val="none" w:sz="0" w:space="0" w:color="auto"/>
          </w:divBdr>
        </w:div>
        <w:div w:id="126943429">
          <w:marLeft w:val="0"/>
          <w:marRight w:val="0"/>
          <w:marTop w:val="0"/>
          <w:marBottom w:val="0"/>
          <w:divBdr>
            <w:top w:val="none" w:sz="0" w:space="0" w:color="auto"/>
            <w:left w:val="none" w:sz="0" w:space="0" w:color="auto"/>
            <w:bottom w:val="none" w:sz="0" w:space="0" w:color="auto"/>
            <w:right w:val="none" w:sz="0" w:space="0" w:color="auto"/>
          </w:divBdr>
        </w:div>
        <w:div w:id="368577688">
          <w:marLeft w:val="0"/>
          <w:marRight w:val="0"/>
          <w:marTop w:val="0"/>
          <w:marBottom w:val="0"/>
          <w:divBdr>
            <w:top w:val="none" w:sz="0" w:space="0" w:color="auto"/>
            <w:left w:val="none" w:sz="0" w:space="0" w:color="auto"/>
            <w:bottom w:val="none" w:sz="0" w:space="0" w:color="auto"/>
            <w:right w:val="none" w:sz="0" w:space="0" w:color="auto"/>
          </w:divBdr>
        </w:div>
        <w:div w:id="929658967">
          <w:marLeft w:val="0"/>
          <w:marRight w:val="0"/>
          <w:marTop w:val="0"/>
          <w:marBottom w:val="0"/>
          <w:divBdr>
            <w:top w:val="none" w:sz="0" w:space="0" w:color="auto"/>
            <w:left w:val="none" w:sz="0" w:space="0" w:color="auto"/>
            <w:bottom w:val="none" w:sz="0" w:space="0" w:color="auto"/>
            <w:right w:val="none" w:sz="0" w:space="0" w:color="auto"/>
          </w:divBdr>
        </w:div>
        <w:div w:id="1680040357">
          <w:marLeft w:val="0"/>
          <w:marRight w:val="0"/>
          <w:marTop w:val="0"/>
          <w:marBottom w:val="0"/>
          <w:divBdr>
            <w:top w:val="none" w:sz="0" w:space="0" w:color="auto"/>
            <w:left w:val="none" w:sz="0" w:space="0" w:color="auto"/>
            <w:bottom w:val="none" w:sz="0" w:space="0" w:color="auto"/>
            <w:right w:val="none" w:sz="0" w:space="0" w:color="auto"/>
          </w:divBdr>
          <w:divsChild>
            <w:div w:id="1456482127">
              <w:marLeft w:val="0"/>
              <w:marRight w:val="0"/>
              <w:marTop w:val="0"/>
              <w:marBottom w:val="0"/>
              <w:divBdr>
                <w:top w:val="none" w:sz="0" w:space="0" w:color="auto"/>
                <w:left w:val="none" w:sz="0" w:space="0" w:color="auto"/>
                <w:bottom w:val="none" w:sz="0" w:space="0" w:color="auto"/>
                <w:right w:val="none" w:sz="0" w:space="0" w:color="auto"/>
              </w:divBdr>
            </w:div>
            <w:div w:id="40129297">
              <w:marLeft w:val="0"/>
              <w:marRight w:val="0"/>
              <w:marTop w:val="0"/>
              <w:marBottom w:val="0"/>
              <w:divBdr>
                <w:top w:val="none" w:sz="0" w:space="0" w:color="auto"/>
                <w:left w:val="none" w:sz="0" w:space="0" w:color="auto"/>
                <w:bottom w:val="none" w:sz="0" w:space="0" w:color="auto"/>
                <w:right w:val="none" w:sz="0" w:space="0" w:color="auto"/>
              </w:divBdr>
            </w:div>
            <w:div w:id="1171524938">
              <w:marLeft w:val="0"/>
              <w:marRight w:val="0"/>
              <w:marTop w:val="0"/>
              <w:marBottom w:val="0"/>
              <w:divBdr>
                <w:top w:val="none" w:sz="0" w:space="0" w:color="auto"/>
                <w:left w:val="none" w:sz="0" w:space="0" w:color="auto"/>
                <w:bottom w:val="none" w:sz="0" w:space="0" w:color="auto"/>
                <w:right w:val="none" w:sz="0" w:space="0" w:color="auto"/>
              </w:divBdr>
            </w:div>
          </w:divsChild>
        </w:div>
        <w:div w:id="228269163">
          <w:marLeft w:val="0"/>
          <w:marRight w:val="0"/>
          <w:marTop w:val="0"/>
          <w:marBottom w:val="0"/>
          <w:divBdr>
            <w:top w:val="none" w:sz="0" w:space="0" w:color="auto"/>
            <w:left w:val="none" w:sz="0" w:space="0" w:color="auto"/>
            <w:bottom w:val="none" w:sz="0" w:space="0" w:color="auto"/>
            <w:right w:val="none" w:sz="0" w:space="0" w:color="auto"/>
          </w:divBdr>
        </w:div>
        <w:div w:id="953484927">
          <w:marLeft w:val="0"/>
          <w:marRight w:val="0"/>
          <w:marTop w:val="0"/>
          <w:marBottom w:val="0"/>
          <w:divBdr>
            <w:top w:val="none" w:sz="0" w:space="0" w:color="auto"/>
            <w:left w:val="none" w:sz="0" w:space="0" w:color="auto"/>
            <w:bottom w:val="none" w:sz="0" w:space="0" w:color="auto"/>
            <w:right w:val="none" w:sz="0" w:space="0" w:color="auto"/>
          </w:divBdr>
        </w:div>
        <w:div w:id="1390107933">
          <w:marLeft w:val="0"/>
          <w:marRight w:val="0"/>
          <w:marTop w:val="0"/>
          <w:marBottom w:val="0"/>
          <w:divBdr>
            <w:top w:val="none" w:sz="0" w:space="0" w:color="auto"/>
            <w:left w:val="none" w:sz="0" w:space="0" w:color="auto"/>
            <w:bottom w:val="none" w:sz="0" w:space="0" w:color="auto"/>
            <w:right w:val="none" w:sz="0" w:space="0" w:color="auto"/>
          </w:divBdr>
        </w:div>
        <w:div w:id="1341739641">
          <w:marLeft w:val="0"/>
          <w:marRight w:val="0"/>
          <w:marTop w:val="0"/>
          <w:marBottom w:val="0"/>
          <w:divBdr>
            <w:top w:val="none" w:sz="0" w:space="0" w:color="auto"/>
            <w:left w:val="none" w:sz="0" w:space="0" w:color="auto"/>
            <w:bottom w:val="none" w:sz="0" w:space="0" w:color="auto"/>
            <w:right w:val="none" w:sz="0" w:space="0" w:color="auto"/>
          </w:divBdr>
        </w:div>
        <w:div w:id="461995089">
          <w:marLeft w:val="0"/>
          <w:marRight w:val="0"/>
          <w:marTop w:val="0"/>
          <w:marBottom w:val="0"/>
          <w:divBdr>
            <w:top w:val="none" w:sz="0" w:space="0" w:color="auto"/>
            <w:left w:val="none" w:sz="0" w:space="0" w:color="auto"/>
            <w:bottom w:val="none" w:sz="0" w:space="0" w:color="auto"/>
            <w:right w:val="none" w:sz="0" w:space="0" w:color="auto"/>
          </w:divBdr>
        </w:div>
        <w:div w:id="1352605419">
          <w:marLeft w:val="0"/>
          <w:marRight w:val="0"/>
          <w:marTop w:val="0"/>
          <w:marBottom w:val="0"/>
          <w:divBdr>
            <w:top w:val="none" w:sz="0" w:space="0" w:color="auto"/>
            <w:left w:val="none" w:sz="0" w:space="0" w:color="auto"/>
            <w:bottom w:val="none" w:sz="0" w:space="0" w:color="auto"/>
            <w:right w:val="none" w:sz="0" w:space="0" w:color="auto"/>
          </w:divBdr>
        </w:div>
        <w:div w:id="980572208">
          <w:marLeft w:val="0"/>
          <w:marRight w:val="0"/>
          <w:marTop w:val="0"/>
          <w:marBottom w:val="0"/>
          <w:divBdr>
            <w:top w:val="none" w:sz="0" w:space="0" w:color="auto"/>
            <w:left w:val="none" w:sz="0" w:space="0" w:color="auto"/>
            <w:bottom w:val="none" w:sz="0" w:space="0" w:color="auto"/>
            <w:right w:val="none" w:sz="0" w:space="0" w:color="auto"/>
          </w:divBdr>
        </w:div>
        <w:div w:id="1274510127">
          <w:marLeft w:val="0"/>
          <w:marRight w:val="0"/>
          <w:marTop w:val="0"/>
          <w:marBottom w:val="0"/>
          <w:divBdr>
            <w:top w:val="none" w:sz="0" w:space="0" w:color="auto"/>
            <w:left w:val="none" w:sz="0" w:space="0" w:color="auto"/>
            <w:bottom w:val="none" w:sz="0" w:space="0" w:color="auto"/>
            <w:right w:val="none" w:sz="0" w:space="0" w:color="auto"/>
          </w:divBdr>
        </w:div>
        <w:div w:id="1498885552">
          <w:marLeft w:val="0"/>
          <w:marRight w:val="0"/>
          <w:marTop w:val="0"/>
          <w:marBottom w:val="0"/>
          <w:divBdr>
            <w:top w:val="none" w:sz="0" w:space="0" w:color="auto"/>
            <w:left w:val="none" w:sz="0" w:space="0" w:color="auto"/>
            <w:bottom w:val="none" w:sz="0" w:space="0" w:color="auto"/>
            <w:right w:val="none" w:sz="0" w:space="0" w:color="auto"/>
          </w:divBdr>
        </w:div>
        <w:div w:id="1440297385">
          <w:marLeft w:val="0"/>
          <w:marRight w:val="0"/>
          <w:marTop w:val="0"/>
          <w:marBottom w:val="0"/>
          <w:divBdr>
            <w:top w:val="none" w:sz="0" w:space="0" w:color="auto"/>
            <w:left w:val="none" w:sz="0" w:space="0" w:color="auto"/>
            <w:bottom w:val="none" w:sz="0" w:space="0" w:color="auto"/>
            <w:right w:val="none" w:sz="0" w:space="0" w:color="auto"/>
          </w:divBdr>
        </w:div>
        <w:div w:id="655958747">
          <w:marLeft w:val="0"/>
          <w:marRight w:val="0"/>
          <w:marTop w:val="0"/>
          <w:marBottom w:val="0"/>
          <w:divBdr>
            <w:top w:val="none" w:sz="0" w:space="0" w:color="auto"/>
            <w:left w:val="none" w:sz="0" w:space="0" w:color="auto"/>
            <w:bottom w:val="none" w:sz="0" w:space="0" w:color="auto"/>
            <w:right w:val="none" w:sz="0" w:space="0" w:color="auto"/>
          </w:divBdr>
        </w:div>
        <w:div w:id="772868132">
          <w:marLeft w:val="0"/>
          <w:marRight w:val="0"/>
          <w:marTop w:val="0"/>
          <w:marBottom w:val="0"/>
          <w:divBdr>
            <w:top w:val="none" w:sz="0" w:space="0" w:color="auto"/>
            <w:left w:val="none" w:sz="0" w:space="0" w:color="auto"/>
            <w:bottom w:val="none" w:sz="0" w:space="0" w:color="auto"/>
            <w:right w:val="none" w:sz="0" w:space="0" w:color="auto"/>
          </w:divBdr>
        </w:div>
        <w:div w:id="1255094234">
          <w:marLeft w:val="0"/>
          <w:marRight w:val="0"/>
          <w:marTop w:val="0"/>
          <w:marBottom w:val="0"/>
          <w:divBdr>
            <w:top w:val="none" w:sz="0" w:space="0" w:color="auto"/>
            <w:left w:val="none" w:sz="0" w:space="0" w:color="auto"/>
            <w:bottom w:val="none" w:sz="0" w:space="0" w:color="auto"/>
            <w:right w:val="none" w:sz="0" w:space="0" w:color="auto"/>
          </w:divBdr>
        </w:div>
        <w:div w:id="1350177491">
          <w:marLeft w:val="0"/>
          <w:marRight w:val="0"/>
          <w:marTop w:val="0"/>
          <w:marBottom w:val="0"/>
          <w:divBdr>
            <w:top w:val="none" w:sz="0" w:space="0" w:color="auto"/>
            <w:left w:val="none" w:sz="0" w:space="0" w:color="auto"/>
            <w:bottom w:val="none" w:sz="0" w:space="0" w:color="auto"/>
            <w:right w:val="none" w:sz="0" w:space="0" w:color="auto"/>
          </w:divBdr>
        </w:div>
        <w:div w:id="599802231">
          <w:marLeft w:val="0"/>
          <w:marRight w:val="0"/>
          <w:marTop w:val="0"/>
          <w:marBottom w:val="0"/>
          <w:divBdr>
            <w:top w:val="none" w:sz="0" w:space="0" w:color="auto"/>
            <w:left w:val="none" w:sz="0" w:space="0" w:color="auto"/>
            <w:bottom w:val="none" w:sz="0" w:space="0" w:color="auto"/>
            <w:right w:val="none" w:sz="0" w:space="0" w:color="auto"/>
          </w:divBdr>
        </w:div>
        <w:div w:id="65222959">
          <w:marLeft w:val="0"/>
          <w:marRight w:val="0"/>
          <w:marTop w:val="0"/>
          <w:marBottom w:val="0"/>
          <w:divBdr>
            <w:top w:val="none" w:sz="0" w:space="0" w:color="auto"/>
            <w:left w:val="none" w:sz="0" w:space="0" w:color="auto"/>
            <w:bottom w:val="none" w:sz="0" w:space="0" w:color="auto"/>
            <w:right w:val="none" w:sz="0" w:space="0" w:color="auto"/>
          </w:divBdr>
        </w:div>
      </w:divsChild>
    </w:div>
    <w:div w:id="1299919254">
      <w:bodyDiv w:val="1"/>
      <w:marLeft w:val="0"/>
      <w:marRight w:val="0"/>
      <w:marTop w:val="0"/>
      <w:marBottom w:val="0"/>
      <w:divBdr>
        <w:top w:val="none" w:sz="0" w:space="0" w:color="auto"/>
        <w:left w:val="none" w:sz="0" w:space="0" w:color="auto"/>
        <w:bottom w:val="none" w:sz="0" w:space="0" w:color="auto"/>
        <w:right w:val="none" w:sz="0" w:space="0" w:color="auto"/>
      </w:divBdr>
    </w:div>
    <w:div w:id="1340041317">
      <w:bodyDiv w:val="1"/>
      <w:marLeft w:val="0"/>
      <w:marRight w:val="0"/>
      <w:marTop w:val="0"/>
      <w:marBottom w:val="0"/>
      <w:divBdr>
        <w:top w:val="none" w:sz="0" w:space="0" w:color="auto"/>
        <w:left w:val="none" w:sz="0" w:space="0" w:color="auto"/>
        <w:bottom w:val="none" w:sz="0" w:space="0" w:color="auto"/>
        <w:right w:val="none" w:sz="0" w:space="0" w:color="auto"/>
      </w:divBdr>
    </w:div>
    <w:div w:id="1369722380">
      <w:bodyDiv w:val="1"/>
      <w:marLeft w:val="0"/>
      <w:marRight w:val="0"/>
      <w:marTop w:val="0"/>
      <w:marBottom w:val="0"/>
      <w:divBdr>
        <w:top w:val="none" w:sz="0" w:space="0" w:color="auto"/>
        <w:left w:val="none" w:sz="0" w:space="0" w:color="auto"/>
        <w:bottom w:val="none" w:sz="0" w:space="0" w:color="auto"/>
        <w:right w:val="none" w:sz="0" w:space="0" w:color="auto"/>
      </w:divBdr>
    </w:div>
    <w:div w:id="1375428176">
      <w:bodyDiv w:val="1"/>
      <w:marLeft w:val="0"/>
      <w:marRight w:val="0"/>
      <w:marTop w:val="0"/>
      <w:marBottom w:val="0"/>
      <w:divBdr>
        <w:top w:val="none" w:sz="0" w:space="0" w:color="auto"/>
        <w:left w:val="none" w:sz="0" w:space="0" w:color="auto"/>
        <w:bottom w:val="none" w:sz="0" w:space="0" w:color="auto"/>
        <w:right w:val="none" w:sz="0" w:space="0" w:color="auto"/>
      </w:divBdr>
    </w:div>
    <w:div w:id="1381708124">
      <w:bodyDiv w:val="1"/>
      <w:marLeft w:val="0"/>
      <w:marRight w:val="0"/>
      <w:marTop w:val="0"/>
      <w:marBottom w:val="0"/>
      <w:divBdr>
        <w:top w:val="none" w:sz="0" w:space="0" w:color="auto"/>
        <w:left w:val="none" w:sz="0" w:space="0" w:color="auto"/>
        <w:bottom w:val="none" w:sz="0" w:space="0" w:color="auto"/>
        <w:right w:val="none" w:sz="0" w:space="0" w:color="auto"/>
      </w:divBdr>
    </w:div>
    <w:div w:id="1434478474">
      <w:bodyDiv w:val="1"/>
      <w:marLeft w:val="0"/>
      <w:marRight w:val="0"/>
      <w:marTop w:val="0"/>
      <w:marBottom w:val="0"/>
      <w:divBdr>
        <w:top w:val="none" w:sz="0" w:space="0" w:color="auto"/>
        <w:left w:val="none" w:sz="0" w:space="0" w:color="auto"/>
        <w:bottom w:val="none" w:sz="0" w:space="0" w:color="auto"/>
        <w:right w:val="none" w:sz="0" w:space="0" w:color="auto"/>
      </w:divBdr>
    </w:div>
    <w:div w:id="1488671685">
      <w:bodyDiv w:val="1"/>
      <w:marLeft w:val="0"/>
      <w:marRight w:val="0"/>
      <w:marTop w:val="0"/>
      <w:marBottom w:val="0"/>
      <w:divBdr>
        <w:top w:val="none" w:sz="0" w:space="0" w:color="auto"/>
        <w:left w:val="none" w:sz="0" w:space="0" w:color="auto"/>
        <w:bottom w:val="none" w:sz="0" w:space="0" w:color="auto"/>
        <w:right w:val="none" w:sz="0" w:space="0" w:color="auto"/>
      </w:divBdr>
    </w:div>
    <w:div w:id="1494024647">
      <w:bodyDiv w:val="1"/>
      <w:marLeft w:val="0"/>
      <w:marRight w:val="0"/>
      <w:marTop w:val="0"/>
      <w:marBottom w:val="0"/>
      <w:divBdr>
        <w:top w:val="none" w:sz="0" w:space="0" w:color="auto"/>
        <w:left w:val="none" w:sz="0" w:space="0" w:color="auto"/>
        <w:bottom w:val="none" w:sz="0" w:space="0" w:color="auto"/>
        <w:right w:val="none" w:sz="0" w:space="0" w:color="auto"/>
      </w:divBdr>
    </w:div>
    <w:div w:id="1569221675">
      <w:bodyDiv w:val="1"/>
      <w:marLeft w:val="0"/>
      <w:marRight w:val="0"/>
      <w:marTop w:val="0"/>
      <w:marBottom w:val="0"/>
      <w:divBdr>
        <w:top w:val="none" w:sz="0" w:space="0" w:color="auto"/>
        <w:left w:val="none" w:sz="0" w:space="0" w:color="auto"/>
        <w:bottom w:val="none" w:sz="0" w:space="0" w:color="auto"/>
        <w:right w:val="none" w:sz="0" w:space="0" w:color="auto"/>
      </w:divBdr>
    </w:div>
    <w:div w:id="1615167332">
      <w:bodyDiv w:val="1"/>
      <w:marLeft w:val="0"/>
      <w:marRight w:val="0"/>
      <w:marTop w:val="0"/>
      <w:marBottom w:val="0"/>
      <w:divBdr>
        <w:top w:val="none" w:sz="0" w:space="0" w:color="auto"/>
        <w:left w:val="none" w:sz="0" w:space="0" w:color="auto"/>
        <w:bottom w:val="none" w:sz="0" w:space="0" w:color="auto"/>
        <w:right w:val="none" w:sz="0" w:space="0" w:color="auto"/>
      </w:divBdr>
    </w:div>
    <w:div w:id="1663658573">
      <w:bodyDiv w:val="1"/>
      <w:marLeft w:val="0"/>
      <w:marRight w:val="0"/>
      <w:marTop w:val="0"/>
      <w:marBottom w:val="0"/>
      <w:divBdr>
        <w:top w:val="none" w:sz="0" w:space="0" w:color="auto"/>
        <w:left w:val="none" w:sz="0" w:space="0" w:color="auto"/>
        <w:bottom w:val="none" w:sz="0" w:space="0" w:color="auto"/>
        <w:right w:val="none" w:sz="0" w:space="0" w:color="auto"/>
      </w:divBdr>
    </w:div>
    <w:div w:id="1711106934">
      <w:bodyDiv w:val="1"/>
      <w:marLeft w:val="0"/>
      <w:marRight w:val="0"/>
      <w:marTop w:val="0"/>
      <w:marBottom w:val="0"/>
      <w:divBdr>
        <w:top w:val="none" w:sz="0" w:space="0" w:color="auto"/>
        <w:left w:val="none" w:sz="0" w:space="0" w:color="auto"/>
        <w:bottom w:val="none" w:sz="0" w:space="0" w:color="auto"/>
        <w:right w:val="none" w:sz="0" w:space="0" w:color="auto"/>
      </w:divBdr>
    </w:div>
    <w:div w:id="1718771304">
      <w:bodyDiv w:val="1"/>
      <w:marLeft w:val="0"/>
      <w:marRight w:val="0"/>
      <w:marTop w:val="0"/>
      <w:marBottom w:val="0"/>
      <w:divBdr>
        <w:top w:val="none" w:sz="0" w:space="0" w:color="auto"/>
        <w:left w:val="none" w:sz="0" w:space="0" w:color="auto"/>
        <w:bottom w:val="none" w:sz="0" w:space="0" w:color="auto"/>
        <w:right w:val="none" w:sz="0" w:space="0" w:color="auto"/>
      </w:divBdr>
    </w:div>
    <w:div w:id="1758744856">
      <w:bodyDiv w:val="1"/>
      <w:marLeft w:val="0"/>
      <w:marRight w:val="0"/>
      <w:marTop w:val="0"/>
      <w:marBottom w:val="0"/>
      <w:divBdr>
        <w:top w:val="none" w:sz="0" w:space="0" w:color="auto"/>
        <w:left w:val="none" w:sz="0" w:space="0" w:color="auto"/>
        <w:bottom w:val="none" w:sz="0" w:space="0" w:color="auto"/>
        <w:right w:val="none" w:sz="0" w:space="0" w:color="auto"/>
      </w:divBdr>
    </w:div>
    <w:div w:id="1814105124">
      <w:bodyDiv w:val="1"/>
      <w:marLeft w:val="0"/>
      <w:marRight w:val="0"/>
      <w:marTop w:val="0"/>
      <w:marBottom w:val="0"/>
      <w:divBdr>
        <w:top w:val="none" w:sz="0" w:space="0" w:color="auto"/>
        <w:left w:val="none" w:sz="0" w:space="0" w:color="auto"/>
        <w:bottom w:val="none" w:sz="0" w:space="0" w:color="auto"/>
        <w:right w:val="none" w:sz="0" w:space="0" w:color="auto"/>
      </w:divBdr>
    </w:div>
    <w:div w:id="1855217850">
      <w:bodyDiv w:val="1"/>
      <w:marLeft w:val="0"/>
      <w:marRight w:val="0"/>
      <w:marTop w:val="0"/>
      <w:marBottom w:val="0"/>
      <w:divBdr>
        <w:top w:val="none" w:sz="0" w:space="0" w:color="auto"/>
        <w:left w:val="none" w:sz="0" w:space="0" w:color="auto"/>
        <w:bottom w:val="none" w:sz="0" w:space="0" w:color="auto"/>
        <w:right w:val="none" w:sz="0" w:space="0" w:color="auto"/>
      </w:divBdr>
    </w:div>
    <w:div w:id="19225231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brighte.com.au/act-sustainable-household-scheme/households" TargetMode="External"/><Relationship Id="rId18" Type="http://schemas.openxmlformats.org/officeDocument/2006/relationships/hyperlink" Target="https://web.archive.org/web/20231109225354/https:/www.acoss.org.au/wp-content/uploads/2023/02/ACOSS-submission-to-NEO-consulation-15022023.pdf" TargetMode="External"/><Relationship Id="rId26" Type="http://schemas.openxmlformats.org/officeDocument/2006/relationships/hyperlink" Target="https://www.acoss.org.au/wp-content/uploads/2023/11/ACOSS-Submission-Future-Gas-Strategy-Final-27112023-.pdf" TargetMode="External"/><Relationship Id="rId21" Type="http://schemas.openxmlformats.org/officeDocument/2006/relationships/hyperlink" Target="https://web.archive.org/web/20231109225354/https:/www.acoss.org.au/wp-content/uploads/2023/02/ACOSS-submission-to-NEO-consulation-15022023.pdf" TargetMode="External"/><Relationship Id="rId34"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https://www.healthyhomes.org.au/news/community-sector-blueprint" TargetMode="External"/><Relationship Id="rId17" Type="http://schemas.openxmlformats.org/officeDocument/2006/relationships/hyperlink" Target="https://www.acoss.org.au/wp-content/uploads/2024/03/ACOSS-Sub-First-Nations-Clean-Energy-Strategy-14022024.pdf" TargetMode="External"/><Relationship Id="rId25" Type="http://schemas.openxmlformats.org/officeDocument/2006/relationships/hyperlink" Target="https://brighte.com.au/act-sustainable-household-scheme/households" TargetMode="External"/><Relationship Id="rId33" Type="http://schemas.openxmlformats.org/officeDocument/2006/relationships/header" Target="head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ourpower.org.au/the-solution/" TargetMode="External"/><Relationship Id="rId20" Type="http://schemas.openxmlformats.org/officeDocument/2006/relationships/hyperlink" Target="https://www.acoss.org.au/wp-content/uploads/2023/11/ACOSS-Submission-Future-Gas-Strategy-Final-27112023-.pdf" TargetMode="External"/><Relationship Id="rId29" Type="http://schemas.openxmlformats.org/officeDocument/2006/relationships/hyperlink" Target="https://ourpower.org.au/the-solut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s://www.healthyhomes.org.au/news/community-sector-blueprint" TargetMode="External"/><Relationship Id="rId32" Type="http://schemas.openxmlformats.org/officeDocument/2006/relationships/hyperlink" Target="https://www.theenergycharter.com.au/covid-19-consumer-research/"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aus01.safelinks.protection.outlook.com/?url=https%3A%2F%2Fwww.pmc.gov.au%2Fresources%2F10-year-plan%2Fabout&amp;data=05%7C02%7Crochelle%40acoss.org.au%7Cdac5fc240df24b56edea08dc629db9c1%7C024e32c4ad4b4be2866eebf5b9989332%7C0%7C0%7C638493677556844036%7CUnknown%7CTWFpbGZsb3d8eyJWIjoiMC4wLjAwMDAiLCJQIjoiV2luMzIiLCJBTiI6Ik1haWwiLCJXVCI6Mn0%3D%7C0%7C%7C%7C&amp;sdata=6Ow0u9GsjK83dhPvdDLA1eLgP8Rce7qyGmi6URCwgU8%3D&amp;reserved=0" TargetMode="External"/><Relationship Id="rId23" Type="http://schemas.openxmlformats.org/officeDocument/2006/relationships/hyperlink" Target="https://www.acoss.org.au/wp-content/uploads/2023/10/ACOSS-Submission-on-Senate-Inquiry-on-Electrification-12102023-Final.pdf" TargetMode="External"/><Relationship Id="rId28" Type="http://schemas.openxmlformats.org/officeDocument/2006/relationships/hyperlink" Target="https://aus01.safelinks.protection.outlook.com/?url=https%3A%2F%2Fwww.pmc.gov.au%2Fresources%2F10-year-plan%2Fabout&amp;data=05%7C02%7Crochelle%40acoss.org.au%7Cdac5fc240df24b56edea08dc629db9c1%7C024e32c4ad4b4be2866eebf5b9989332%7C0%7C0%7C638493677556844036%7CUnknown%7CTWFpbGZsb3d8eyJWIjoiMC4wLjAwMDAiLCJQIjoiV2luMzIiLCJBTiI6Ik1haWwiLCJXVCI6Mn0%3D%7C0%7C%7C%7C&amp;sdata=6Ow0u9GsjK83dhPvdDLA1eLgP8Rce7qyGmi6URCwgU8%3D&amp;reserved=0" TargetMode="External"/><Relationship Id="rId36"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web.archive.org/web/20231109225354/https:/www.acoss.org.au/wp-content/uploads/2023/02/ACOSS-Plus-Submission-to-National-Energy-Performance-Strategy-Consultation-paper-07022023.pdf" TargetMode="External"/><Relationship Id="rId31"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aus01.safelinks.protection.outlook.com/?url=https%3A%2F%2Fgenderequality.gov.au%2Fsites%2Fdefault%2Ffiles%2F2024-03%2Fworking-for-women-a-strategy-for-gender-equality.pdf&amp;data=05%7C02%7Crochelle%40acoss.org.au%7Cdac5fc240df24b56edea08dc629db9c1%7C024e32c4ad4b4be2866eebf5b9989332%7C0%7C0%7C638493677556832119%7CUnknown%7CTWFpbGZsb3d8eyJWIjoiMC4wLjAwMDAiLCJQIjoiV2luMzIiLCJBTiI6Ik1haWwiLCJXVCI6Mn0%3D%7C0%7C%7C%7C&amp;sdata=uFIFJTCN9PaLWfCp%2FWJnMTSeBL5DFfB7ie8dmv7nq6c%3D&amp;reserved=0" TargetMode="External"/><Relationship Id="rId22" Type="http://schemas.openxmlformats.org/officeDocument/2006/relationships/hyperlink" Target="https://web.archive.org/web/20231109225354/https:/www.acoss.org.au/wp-content/uploads/2023/02/ACOSS-Plus-Submission-to-National-Energy-Performance-Strategy-Consultation-paper-07022023.pdf" TargetMode="External"/><Relationship Id="rId27" Type="http://schemas.openxmlformats.org/officeDocument/2006/relationships/hyperlink" Target="https://aus01.safelinks.protection.outlook.com/?url=https%3A%2F%2Fgenderequality.gov.au%2Fsites%2Fdefault%2Ffiles%2F2024-03%2Fworking-for-women-a-strategy-for-gender-equality.pdf&amp;data=05%7C02%7Crochelle%40acoss.org.au%7Cdac5fc240df24b56edea08dc629db9c1%7C024e32c4ad4b4be2866eebf5b9989332%7C0%7C0%7C638493677556832119%7CUnknown%7CTWFpbGZsb3d8eyJWIjoiMC4wLjAwMDAiLCJQIjoiV2luMzIiLCJBTiI6Ik1haWwiLCJXVCI6Mn0%3D%7C0%7C%7C%7C&amp;sdata=uFIFJTCN9PaLWfCp%2FWJnMTSeBL5DFfB7ie8dmv7nq6c%3D&amp;reserved=0" TargetMode="External"/><Relationship Id="rId30" Type="http://schemas.openxmlformats.org/officeDocument/2006/relationships/hyperlink" Target="https://ourpower.org.au/the-solution/" TargetMode="External"/><Relationship Id="rId35" Type="http://schemas.openxmlformats.org/officeDocument/2006/relationships/header" Target="header2.xml"/><Relationship Id="rId8" Type="http://schemas.openxmlformats.org/officeDocument/2006/relationships/settings" Target="settings.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2" Type="http://schemas.openxmlformats.org/officeDocument/2006/relationships/hyperlink" Target="http://www.acoss.org.au" TargetMode="External"/><Relationship Id="rId1" Type="http://schemas.openxmlformats.org/officeDocument/2006/relationships/hyperlink" Target="mailto:info@acoss.org.au"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https://www.lse.ac.uk/granthaminstitute/news/researchers-warn-of-big-increase-in-economic-costs-if-cuts-in-greenhouse-gas-emissions-are-delayed/" TargetMode="External"/><Relationship Id="rId18" Type="http://schemas.openxmlformats.org/officeDocument/2006/relationships/hyperlink" Target="https://www.climateworkscentre.org/resource/decarbonisation-futures-solutions-actions-and-benchmarks-for-a-net-zero-emissions-australia/" TargetMode="External"/><Relationship Id="rId26" Type="http://schemas.openxmlformats.org/officeDocument/2006/relationships/hyperlink" Target="https://www.acoss.org.au/wp-content/uploads/2024/02/ACOSS-Report-Funding-and-Financing-Low-income-retrofits-January-2024-.pdf" TargetMode="External"/><Relationship Id="rId21" Type="http://schemas.openxmlformats.org/officeDocument/2006/relationships/hyperlink" Target="https://www.irena.org/Digital-Report/World-Energy-Transitions-Outlook-2022" TargetMode="External"/><Relationship Id="rId34" Type="http://schemas.openxmlformats.org/officeDocument/2006/relationships/hyperlink" Target="https://www.aer.gov.au/system/files/State%20of%20the%20energy%20market%202023%20-%20Full%20report.pdf" TargetMode="External"/><Relationship Id="rId7" Type="http://schemas.openxmlformats.org/officeDocument/2006/relationships/hyperlink" Target="https://www.acoss.org.au/wp-content/uploads/2018/10/Energy-Stressed-in-Australia.pdf" TargetMode="External"/><Relationship Id="rId12" Type="http://schemas.openxmlformats.org/officeDocument/2006/relationships/hyperlink" Target="https://www.airclim.org/acidnews/ipcc-warns-delaying-action-implies-higher-costs" TargetMode="External"/><Relationship Id="rId17" Type="http://schemas.openxmlformats.org/officeDocument/2006/relationships/hyperlink" Target="https://www.carbonbrief.org/iea-renewables-should-overtake-coal-within-five-years-to-secure-1-5c-goal/" TargetMode="External"/><Relationship Id="rId25" Type="http://schemas.openxmlformats.org/officeDocument/2006/relationships/hyperlink" Target="https://www.climateworkscentre.org/project/renovation-pathways/" TargetMode="External"/><Relationship Id="rId33" Type="http://schemas.openxmlformats.org/officeDocument/2006/relationships/hyperlink" Target="https://piac.asn.au/wp-content/uploads/2022/11/22-30-11-Submission-to-AER-DMO-issues-paper-2023-24.pdf" TargetMode="External"/><Relationship Id="rId2" Type="http://schemas.openxmlformats.org/officeDocument/2006/relationships/hyperlink" Target="https://www.healthyhomes.org.au/news/community-sector-blueprint" TargetMode="External"/><Relationship Id="rId16" Type="http://schemas.openxmlformats.org/officeDocument/2006/relationships/hyperlink" Target="https://www.climatecouncil.org.au/wp-content/uploads/2021/04/aim-high-go-fast-why-emissions-must-plummet-climate-council-report-210421.pdf" TargetMode="External"/><Relationship Id="rId20" Type="http://schemas.openxmlformats.org/officeDocument/2006/relationships/hyperlink" Target="https://www.fairfastclimateaction.org.au/climate_change_act" TargetMode="External"/><Relationship Id="rId29" Type="http://schemas.openxmlformats.org/officeDocument/2006/relationships/hyperlink" Target="https://energyconsumersaustralia.com.au/wp-content/uploads/Stepping-Up-Report-Final.pdf" TargetMode="External"/><Relationship Id="rId1" Type="http://schemas.openxmlformats.org/officeDocument/2006/relationships/hyperlink" Target="https://www.aer.gov.au/system/files/State%20of%20the%20energy%20market%202023%20-%20Full%20report.pdf" TargetMode="External"/><Relationship Id="rId6" Type="http://schemas.openxmlformats.org/officeDocument/2006/relationships/hyperlink" Target="https://www.acoss.org.au/wp-content/uploads/2023/02/ACOSS-Plus-Submission-to-National-Energy-Performance-Strategy-Consultation-paper-07022023.pdf" TargetMode="External"/><Relationship Id="rId11" Type="http://schemas.openxmlformats.org/officeDocument/2006/relationships/hyperlink" Target="https://www.climatecouncil.org.au/resources/hitting-home-compounding-costs-climate-inaction/" TargetMode="External"/><Relationship Id="rId24" Type="http://schemas.openxmlformats.org/officeDocument/2006/relationships/hyperlink" Target="https://www.climatecouncil.org.au/wp-content/uploads/2021/05/Kicking-the-Gas-Habit-How-Gas-is-Harming-our-Health.pdf" TargetMode="External"/><Relationship Id="rId32" Type="http://schemas.openxmlformats.org/officeDocument/2006/relationships/hyperlink" Target="https://cprc.org.au/wp-content/uploads/2022/11/Mind-the-Gap_Report_Update-1111.pdf" TargetMode="External"/><Relationship Id="rId37" Type="http://schemas.openxmlformats.org/officeDocument/2006/relationships/hyperlink" Target="https://www.raisetherate.org.au/" TargetMode="External"/><Relationship Id="rId5" Type="http://schemas.openxmlformats.org/officeDocument/2006/relationships/hyperlink" Target="https://ican.org.au/wp-content/uploads/2019/11/Payday-Lending-Report_FINAL_UPDATED_WEB-1.pdf" TargetMode="External"/><Relationship Id="rId15" Type="http://schemas.openxmlformats.org/officeDocument/2006/relationships/hyperlink" Target="https://www.climatecollege.unimelb.edu.au/files/site1/docs/%5Bmi7%3Ami7uid%5D/ClimateTargetsPanelReport.pdf" TargetMode="External"/><Relationship Id="rId23" Type="http://schemas.openxmlformats.org/officeDocument/2006/relationships/hyperlink" Target="https://www.climatecouncil.org.au/wp-content/uploads/2023/04/CC_MVSA0353-CC-Report-Two-for-One-Home-Energy-Efficiency_V5.2-FA-Screen-Single.pdf" TargetMode="External"/><Relationship Id="rId28" Type="http://schemas.openxmlformats.org/officeDocument/2006/relationships/hyperlink" Target="https://www.monash.edu/__data/assets/pdf_file/0005/3433550/Switching-On_Benefits-of-household-electrification-in-Australia_report.pdf" TargetMode="External"/><Relationship Id="rId36" Type="http://schemas.openxmlformats.org/officeDocument/2006/relationships/hyperlink" Target="https://www.theenergycharter.com.au/covid-19-consumer-research/" TargetMode="External"/><Relationship Id="rId10" Type="http://schemas.openxmlformats.org/officeDocument/2006/relationships/hyperlink" Target="https://www.ipcc.ch/sr15/chapter/spm/" TargetMode="External"/><Relationship Id="rId19" Type="http://schemas.openxmlformats.org/officeDocument/2006/relationships/hyperlink" Target="https://www.carbonbrief.org/iea-renewables-should-overtake-coal-within-five-years-to-secure-1-5c-goal/" TargetMode="External"/><Relationship Id="rId31" Type="http://schemas.openxmlformats.org/officeDocument/2006/relationships/hyperlink" Target="https://www.acoss.org.au/wp-content/uploads/2023/09/Reforming-electricity-concessions-to-better-meet-need-Summary-Report-Final.pdf" TargetMode="External"/><Relationship Id="rId4" Type="http://schemas.openxmlformats.org/officeDocument/2006/relationships/hyperlink" Target="https://www.financialcounsellingaustralia.org.au/docs/its-credit-its-causing-harm-and-it-needs-better-safeguards-what-financial-counsellors-say-about-buy-now-pay-later/" TargetMode="External"/><Relationship Id="rId9" Type="http://schemas.openxmlformats.org/officeDocument/2006/relationships/hyperlink" Target="https://www.smh.com.au/politics/federal/cost-of-living-crisis-drives-slump-in-support-for-urgent-climate-action-20230816-p5dwx7.html" TargetMode="External"/><Relationship Id="rId14" Type="http://schemas.openxmlformats.org/officeDocument/2006/relationships/hyperlink" Target="https://www.wwf.org.au/ArticleDocuments/353/pub-delaying-climate-action-would-be-costly-for-australia-and-the-world-25may15.pdf.aspx?Embed=Y" TargetMode="External"/><Relationship Id="rId22" Type="http://schemas.openxmlformats.org/officeDocument/2006/relationships/hyperlink" Target="https://northmoregordon.com/articles/eec-energy-efficiency-scenario-modelling/" TargetMode="External"/><Relationship Id="rId27" Type="http://schemas.openxmlformats.org/officeDocument/2006/relationships/hyperlink" Target="https://www.healthyhomes.org.au/news/community-sector-blueprint" TargetMode="External"/><Relationship Id="rId30" Type="http://schemas.openxmlformats.org/officeDocument/2006/relationships/hyperlink" Target="https://www.aemc.gov.au/sites/default/files/content/006ad951-7c42-4058-9724-51fe114cabb6/2017-AEMC-Retail-Energy-Competition-Review-FINAL.pdf" TargetMode="External"/><Relationship Id="rId35" Type="http://schemas.openxmlformats.org/officeDocument/2006/relationships/hyperlink" Target="http://tinyurl.com/29udfa7e" TargetMode="External"/><Relationship Id="rId8" Type="http://schemas.openxmlformats.org/officeDocument/2006/relationships/hyperlink" Target="https://www.aer.gov.au/system/files/State%20of%20the%20energy%20market%202023%20-%20Full%20report.pdf" TargetMode="External"/><Relationship Id="rId3" Type="http://schemas.openxmlformats.org/officeDocument/2006/relationships/hyperlink" Target="https://www.acoss.org.au/wp-content/uploads/2023/10/ACOSS-Energy-Cost-of-Living-Snapshot-October-2023.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6BA480F33FDB44FB9056B0E33E6E6D6" ma:contentTypeVersion="18" ma:contentTypeDescription="Create a new document." ma:contentTypeScope="" ma:versionID="9988de9e3d43ea22bfa004272bbb0e69">
  <xsd:schema xmlns:xsd="http://www.w3.org/2001/XMLSchema" xmlns:xs="http://www.w3.org/2001/XMLSchema" xmlns:p="http://schemas.microsoft.com/office/2006/metadata/properties" xmlns:ns3="961f83a3-457f-469a-9233-d2c86ddd03bd" xmlns:ns4="1c267587-aeaf-440a-8efc-07c4348400b5" targetNamespace="http://schemas.microsoft.com/office/2006/metadata/properties" ma:root="true" ma:fieldsID="db41e56b36cc763d3fc89c83b8a8b922" ns3:_="" ns4:_="">
    <xsd:import namespace="961f83a3-457f-469a-9233-d2c86ddd03bd"/>
    <xsd:import namespace="1c267587-aeaf-440a-8efc-07c4348400b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element ref="ns3:MediaServiceObjectDetectorVersions" minOccurs="0"/>
                <xsd:element ref="ns3:MediaServiceSystemTags" minOccurs="0"/>
                <xsd:element ref="ns3:MediaLengthInSecond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1f83a3-457f-469a-9233-d2c86ddd03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267587-aeaf-440a-8efc-07c4348400b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961f83a3-457f-469a-9233-d2c86ddd03bd" xsi:nil="true"/>
  </documentManagement>
</p:properties>
</file>

<file path=customXml/itemProps1.xml><?xml version="1.0" encoding="utf-8"?>
<ds:datastoreItem xmlns:ds="http://schemas.openxmlformats.org/officeDocument/2006/customXml" ds:itemID="{00CEC1D7-9AC8-4534-B734-8E733F6B602D}">
  <ds:schemaRefs>
    <ds:schemaRef ds:uri="http://schemas.openxmlformats.org/officeDocument/2006/bibliography"/>
  </ds:schemaRefs>
</ds:datastoreItem>
</file>

<file path=customXml/itemProps2.xml><?xml version="1.0" encoding="utf-8"?>
<ds:datastoreItem xmlns:ds="http://schemas.openxmlformats.org/officeDocument/2006/customXml" ds:itemID="{36ADA947-524F-4CCA-B040-2499EB708F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1f83a3-457f-469a-9233-d2c86ddd03bd"/>
    <ds:schemaRef ds:uri="1c267587-aeaf-440a-8efc-07c4348400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3A16D7-27A0-4107-819E-107DB69F8A16}">
  <ds:schemaRefs>
    <ds:schemaRef ds:uri="http://schemas.microsoft.com/sharepoint/v3/contenttype/forms"/>
  </ds:schemaRefs>
</ds:datastoreItem>
</file>

<file path=customXml/itemProps4.xml><?xml version="1.0" encoding="utf-8"?>
<ds:datastoreItem xmlns:ds="http://schemas.openxmlformats.org/officeDocument/2006/customXml" ds:itemID="{F4BCC31B-8EF4-48B3-803C-D10F2A2811CE}">
  <ds:schemaRefs>
    <ds:schemaRef ds:uri="http://purl.org/dc/terms/"/>
    <ds:schemaRef ds:uri="http://purl.org/dc/dcmitype/"/>
    <ds:schemaRef ds:uri="http://schemas.microsoft.com/office/2006/documentManagement/types"/>
    <ds:schemaRef ds:uri="1c267587-aeaf-440a-8efc-07c4348400b5"/>
    <ds:schemaRef ds:uri="http://schemas.openxmlformats.org/package/2006/metadata/core-properties"/>
    <ds:schemaRef ds:uri="http://schemas.microsoft.com/office/2006/metadata/properties"/>
    <ds:schemaRef ds:uri="http://purl.org/dc/elements/1.1/"/>
    <ds:schemaRef ds:uri="http://schemas.microsoft.com/office/infopath/2007/PartnerControls"/>
    <ds:schemaRef ds:uri="961f83a3-457f-469a-9233-d2c86ddd03bd"/>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10078</Words>
  <Characters>57449</Characters>
  <Application>Microsoft Office Word</Application>
  <DocSecurity>0</DocSecurity>
  <Lines>478</Lines>
  <Paragraphs>134</Paragraphs>
  <ScaleCrop>false</ScaleCrop>
  <HeadingPairs>
    <vt:vector size="2" baseType="variant">
      <vt:variant>
        <vt:lpstr>Title</vt:lpstr>
      </vt:variant>
      <vt:variant>
        <vt:i4>1</vt:i4>
      </vt:variant>
    </vt:vector>
  </HeadingPairs>
  <TitlesOfParts>
    <vt:vector size="1" baseType="lpstr">
      <vt:lpstr/>
    </vt:vector>
  </TitlesOfParts>
  <Company>Company</Company>
  <LinksUpToDate>false</LinksUpToDate>
  <CharactersWithSpaces>67393</CharactersWithSpaces>
  <SharedDoc>false</SharedDoc>
  <HLinks>
    <vt:vector size="366" baseType="variant">
      <vt:variant>
        <vt:i4>3866684</vt:i4>
      </vt:variant>
      <vt:variant>
        <vt:i4>63</vt:i4>
      </vt:variant>
      <vt:variant>
        <vt:i4>0</vt:i4>
      </vt:variant>
      <vt:variant>
        <vt:i4>5</vt:i4>
      </vt:variant>
      <vt:variant>
        <vt:lpwstr>https://www.theenergycharter.com.au/covid-19-consumer-research/</vt:lpwstr>
      </vt:variant>
      <vt:variant>
        <vt:lpwstr/>
      </vt:variant>
      <vt:variant>
        <vt:i4>983109</vt:i4>
      </vt:variant>
      <vt:variant>
        <vt:i4>60</vt:i4>
      </vt:variant>
      <vt:variant>
        <vt:i4>0</vt:i4>
      </vt:variant>
      <vt:variant>
        <vt:i4>5</vt:i4>
      </vt:variant>
      <vt:variant>
        <vt:lpwstr>https://ourpower.org.au/the-solution/</vt:lpwstr>
      </vt:variant>
      <vt:variant>
        <vt:lpwstr/>
      </vt:variant>
      <vt:variant>
        <vt:i4>983109</vt:i4>
      </vt:variant>
      <vt:variant>
        <vt:i4>57</vt:i4>
      </vt:variant>
      <vt:variant>
        <vt:i4>0</vt:i4>
      </vt:variant>
      <vt:variant>
        <vt:i4>5</vt:i4>
      </vt:variant>
      <vt:variant>
        <vt:lpwstr>https://ourpower.org.au/the-solution/</vt:lpwstr>
      </vt:variant>
      <vt:variant>
        <vt:lpwstr/>
      </vt:variant>
      <vt:variant>
        <vt:i4>2687018</vt:i4>
      </vt:variant>
      <vt:variant>
        <vt:i4>54</vt:i4>
      </vt:variant>
      <vt:variant>
        <vt:i4>0</vt:i4>
      </vt:variant>
      <vt:variant>
        <vt:i4>5</vt:i4>
      </vt:variant>
      <vt:variant>
        <vt:lpwstr>https://aus01.safelinks.protection.outlook.com/?url=https%3A%2F%2Fwww.pmc.gov.au%2Fresources%2F10-year-plan%2Fabout&amp;data=05%7C02%7Crochelle%40acoss.org.au%7Cdac5fc240df24b56edea08dc629db9c1%7C024e32c4ad4b4be2866eebf5b9989332%7C0%7C0%7C638493677556844036%7CUnknown%7CTWFpbGZsb3d8eyJWIjoiMC4wLjAwMDAiLCJQIjoiV2luMzIiLCJBTiI6Ik1haWwiLCJXVCI6Mn0%3D%7C0%7C%7C%7C&amp;sdata=6Ow0u9GsjK83dhPvdDLA1eLgP8Rce7qyGmi6URCwgU8%3D&amp;reserved=0</vt:lpwstr>
      </vt:variant>
      <vt:variant>
        <vt:lpwstr/>
      </vt:variant>
      <vt:variant>
        <vt:i4>4063357</vt:i4>
      </vt:variant>
      <vt:variant>
        <vt:i4>51</vt:i4>
      </vt:variant>
      <vt:variant>
        <vt:i4>0</vt:i4>
      </vt:variant>
      <vt:variant>
        <vt:i4>5</vt:i4>
      </vt:variant>
      <vt:variant>
        <vt:lpwstr>https://aus01.safelinks.protection.outlook.com/?url=https%3A%2F%2Fgenderequality.gov.au%2Fsites%2Fdefault%2Ffiles%2F2024-03%2Fworking-for-women-a-strategy-for-gender-equality.pdf&amp;data=05%7C02%7Crochelle%40acoss.org.au%7Cdac5fc240df24b56edea08dc629db9c1%7C024e32c4ad4b4be2866eebf5b9989332%7C0%7C0%7C638493677556832119%7CUnknown%7CTWFpbGZsb3d8eyJWIjoiMC4wLjAwMDAiLCJQIjoiV2luMzIiLCJBTiI6Ik1haWwiLCJXVCI6Mn0%3D%7C0%7C%7C%7C&amp;sdata=uFIFJTCN9PaLWfCp%2FWJnMTSeBL5DFfB7ie8dmv7nq6c%3D&amp;reserved=0</vt:lpwstr>
      </vt:variant>
      <vt:variant>
        <vt:lpwstr/>
      </vt:variant>
      <vt:variant>
        <vt:i4>1245202</vt:i4>
      </vt:variant>
      <vt:variant>
        <vt:i4>48</vt:i4>
      </vt:variant>
      <vt:variant>
        <vt:i4>0</vt:i4>
      </vt:variant>
      <vt:variant>
        <vt:i4>5</vt:i4>
      </vt:variant>
      <vt:variant>
        <vt:lpwstr>https://www.acoss.org.au/wp-content/uploads/2023/11/ACOSS-Submission-Future-Gas-Strategy-Final-27112023-.pdf</vt:lpwstr>
      </vt:variant>
      <vt:variant>
        <vt:lpwstr/>
      </vt:variant>
      <vt:variant>
        <vt:i4>3538981</vt:i4>
      </vt:variant>
      <vt:variant>
        <vt:i4>45</vt:i4>
      </vt:variant>
      <vt:variant>
        <vt:i4>0</vt:i4>
      </vt:variant>
      <vt:variant>
        <vt:i4>5</vt:i4>
      </vt:variant>
      <vt:variant>
        <vt:lpwstr>https://brighte.com.au/act-sustainable-household-scheme/households</vt:lpwstr>
      </vt:variant>
      <vt:variant>
        <vt:lpwstr/>
      </vt:variant>
      <vt:variant>
        <vt:i4>2293799</vt:i4>
      </vt:variant>
      <vt:variant>
        <vt:i4>42</vt:i4>
      </vt:variant>
      <vt:variant>
        <vt:i4>0</vt:i4>
      </vt:variant>
      <vt:variant>
        <vt:i4>5</vt:i4>
      </vt:variant>
      <vt:variant>
        <vt:lpwstr>https://www.healthyhomes.org.au/news/community-sector-blueprint</vt:lpwstr>
      </vt:variant>
      <vt:variant>
        <vt:lpwstr/>
      </vt:variant>
      <vt:variant>
        <vt:i4>1245258</vt:i4>
      </vt:variant>
      <vt:variant>
        <vt:i4>39</vt:i4>
      </vt:variant>
      <vt:variant>
        <vt:i4>0</vt:i4>
      </vt:variant>
      <vt:variant>
        <vt:i4>5</vt:i4>
      </vt:variant>
      <vt:variant>
        <vt:lpwstr>https://www.acoss.org.au/wp-content/uploads/2023/10/ACOSS-Submission-on-Senate-Inquiry-on-Electrification-12102023-Final.pdf</vt:lpwstr>
      </vt:variant>
      <vt:variant>
        <vt:lpwstr/>
      </vt:variant>
      <vt:variant>
        <vt:i4>3473463</vt:i4>
      </vt:variant>
      <vt:variant>
        <vt:i4>36</vt:i4>
      </vt:variant>
      <vt:variant>
        <vt:i4>0</vt:i4>
      </vt:variant>
      <vt:variant>
        <vt:i4>5</vt:i4>
      </vt:variant>
      <vt:variant>
        <vt:lpwstr>https://web.archive.org/web/20231109225354/https:/www.acoss.org.au/wp-content/uploads/2023/02/ACOSS-Plus-Submission-to-National-Energy-Performance-Strategy-Consultation-paper-07022023.pdf</vt:lpwstr>
      </vt:variant>
      <vt:variant>
        <vt:lpwstr/>
      </vt:variant>
      <vt:variant>
        <vt:i4>6488106</vt:i4>
      </vt:variant>
      <vt:variant>
        <vt:i4>33</vt:i4>
      </vt:variant>
      <vt:variant>
        <vt:i4>0</vt:i4>
      </vt:variant>
      <vt:variant>
        <vt:i4>5</vt:i4>
      </vt:variant>
      <vt:variant>
        <vt:lpwstr>https://web.archive.org/web/20231109225354/https:/www.acoss.org.au/wp-content/uploads/2023/02/ACOSS-submission-to-NEO-consulation-15022023.pdf</vt:lpwstr>
      </vt:variant>
      <vt:variant>
        <vt:lpwstr/>
      </vt:variant>
      <vt:variant>
        <vt:i4>1245202</vt:i4>
      </vt:variant>
      <vt:variant>
        <vt:i4>30</vt:i4>
      </vt:variant>
      <vt:variant>
        <vt:i4>0</vt:i4>
      </vt:variant>
      <vt:variant>
        <vt:i4>5</vt:i4>
      </vt:variant>
      <vt:variant>
        <vt:lpwstr>https://www.acoss.org.au/wp-content/uploads/2023/11/ACOSS-Submission-Future-Gas-Strategy-Final-27112023-.pdf</vt:lpwstr>
      </vt:variant>
      <vt:variant>
        <vt:lpwstr/>
      </vt:variant>
      <vt:variant>
        <vt:i4>3473463</vt:i4>
      </vt:variant>
      <vt:variant>
        <vt:i4>27</vt:i4>
      </vt:variant>
      <vt:variant>
        <vt:i4>0</vt:i4>
      </vt:variant>
      <vt:variant>
        <vt:i4>5</vt:i4>
      </vt:variant>
      <vt:variant>
        <vt:lpwstr>https://web.archive.org/web/20231109225354/https:/www.acoss.org.au/wp-content/uploads/2023/02/ACOSS-Plus-Submission-to-National-Energy-Performance-Strategy-Consultation-paper-07022023.pdf</vt:lpwstr>
      </vt:variant>
      <vt:variant>
        <vt:lpwstr/>
      </vt:variant>
      <vt:variant>
        <vt:i4>6488106</vt:i4>
      </vt:variant>
      <vt:variant>
        <vt:i4>24</vt:i4>
      </vt:variant>
      <vt:variant>
        <vt:i4>0</vt:i4>
      </vt:variant>
      <vt:variant>
        <vt:i4>5</vt:i4>
      </vt:variant>
      <vt:variant>
        <vt:lpwstr>https://web.archive.org/web/20231109225354/https:/www.acoss.org.au/wp-content/uploads/2023/02/ACOSS-submission-to-NEO-consulation-15022023.pdf</vt:lpwstr>
      </vt:variant>
      <vt:variant>
        <vt:lpwstr/>
      </vt:variant>
      <vt:variant>
        <vt:i4>7012408</vt:i4>
      </vt:variant>
      <vt:variant>
        <vt:i4>21</vt:i4>
      </vt:variant>
      <vt:variant>
        <vt:i4>0</vt:i4>
      </vt:variant>
      <vt:variant>
        <vt:i4>5</vt:i4>
      </vt:variant>
      <vt:variant>
        <vt:lpwstr>https://www.acoss.org.au/wp-content/uploads/2021/08/230714-ACOSS-Submission-CCA-Targets-Issues-Paper-2023-Final-2.0.pdf</vt:lpwstr>
      </vt:variant>
      <vt:variant>
        <vt:lpwstr/>
      </vt:variant>
      <vt:variant>
        <vt:i4>1245258</vt:i4>
      </vt:variant>
      <vt:variant>
        <vt:i4>18</vt:i4>
      </vt:variant>
      <vt:variant>
        <vt:i4>0</vt:i4>
      </vt:variant>
      <vt:variant>
        <vt:i4>5</vt:i4>
      </vt:variant>
      <vt:variant>
        <vt:lpwstr>https://www.acoss.org.au/wp-content/uploads/2023/10/ACOSS-Submission-on-Senate-Inquiry-on-Electrification-12102023-Final.pdf</vt:lpwstr>
      </vt:variant>
      <vt:variant>
        <vt:lpwstr/>
      </vt:variant>
      <vt:variant>
        <vt:i4>6750314</vt:i4>
      </vt:variant>
      <vt:variant>
        <vt:i4>15</vt:i4>
      </vt:variant>
      <vt:variant>
        <vt:i4>0</vt:i4>
      </vt:variant>
      <vt:variant>
        <vt:i4>5</vt:i4>
      </vt:variant>
      <vt:variant>
        <vt:lpwstr>https://www.acoss.org.au/wp-content/uploads/2024/03/ACOSS-Sub-First-Nations-Clean-Energy-Strategy-14022024.pdf</vt:lpwstr>
      </vt:variant>
      <vt:variant>
        <vt:lpwstr/>
      </vt:variant>
      <vt:variant>
        <vt:i4>983109</vt:i4>
      </vt:variant>
      <vt:variant>
        <vt:i4>12</vt:i4>
      </vt:variant>
      <vt:variant>
        <vt:i4>0</vt:i4>
      </vt:variant>
      <vt:variant>
        <vt:i4>5</vt:i4>
      </vt:variant>
      <vt:variant>
        <vt:lpwstr>https://ourpower.org.au/the-solution/</vt:lpwstr>
      </vt:variant>
      <vt:variant>
        <vt:lpwstr/>
      </vt:variant>
      <vt:variant>
        <vt:i4>2687018</vt:i4>
      </vt:variant>
      <vt:variant>
        <vt:i4>9</vt:i4>
      </vt:variant>
      <vt:variant>
        <vt:i4>0</vt:i4>
      </vt:variant>
      <vt:variant>
        <vt:i4>5</vt:i4>
      </vt:variant>
      <vt:variant>
        <vt:lpwstr>https://aus01.safelinks.protection.outlook.com/?url=https%3A%2F%2Fwww.pmc.gov.au%2Fresources%2F10-year-plan%2Fabout&amp;data=05%7C02%7Crochelle%40acoss.org.au%7Cdac5fc240df24b56edea08dc629db9c1%7C024e32c4ad4b4be2866eebf5b9989332%7C0%7C0%7C638493677556844036%7CUnknown%7CTWFpbGZsb3d8eyJWIjoiMC4wLjAwMDAiLCJQIjoiV2luMzIiLCJBTiI6Ik1haWwiLCJXVCI6Mn0%3D%7C0%7C%7C%7C&amp;sdata=6Ow0u9GsjK83dhPvdDLA1eLgP8Rce7qyGmi6URCwgU8%3D&amp;reserved=0</vt:lpwstr>
      </vt:variant>
      <vt:variant>
        <vt:lpwstr/>
      </vt:variant>
      <vt:variant>
        <vt:i4>4063357</vt:i4>
      </vt:variant>
      <vt:variant>
        <vt:i4>6</vt:i4>
      </vt:variant>
      <vt:variant>
        <vt:i4>0</vt:i4>
      </vt:variant>
      <vt:variant>
        <vt:i4>5</vt:i4>
      </vt:variant>
      <vt:variant>
        <vt:lpwstr>https://aus01.safelinks.protection.outlook.com/?url=https%3A%2F%2Fgenderequality.gov.au%2Fsites%2Fdefault%2Ffiles%2F2024-03%2Fworking-for-women-a-strategy-for-gender-equality.pdf&amp;data=05%7C02%7Crochelle%40acoss.org.au%7Cdac5fc240df24b56edea08dc629db9c1%7C024e32c4ad4b4be2866eebf5b9989332%7C0%7C0%7C638493677556832119%7CUnknown%7CTWFpbGZsb3d8eyJWIjoiMC4wLjAwMDAiLCJQIjoiV2luMzIiLCJBTiI6Ik1haWwiLCJXVCI6Mn0%3D%7C0%7C%7C%7C&amp;sdata=uFIFJTCN9PaLWfCp%2FWJnMTSeBL5DFfB7ie8dmv7nq6c%3D&amp;reserved=0</vt:lpwstr>
      </vt:variant>
      <vt:variant>
        <vt:lpwstr/>
      </vt:variant>
      <vt:variant>
        <vt:i4>3538981</vt:i4>
      </vt:variant>
      <vt:variant>
        <vt:i4>3</vt:i4>
      </vt:variant>
      <vt:variant>
        <vt:i4>0</vt:i4>
      </vt:variant>
      <vt:variant>
        <vt:i4>5</vt:i4>
      </vt:variant>
      <vt:variant>
        <vt:lpwstr>https://brighte.com.au/act-sustainable-household-scheme/households</vt:lpwstr>
      </vt:variant>
      <vt:variant>
        <vt:lpwstr/>
      </vt:variant>
      <vt:variant>
        <vt:i4>2293799</vt:i4>
      </vt:variant>
      <vt:variant>
        <vt:i4>0</vt:i4>
      </vt:variant>
      <vt:variant>
        <vt:i4>0</vt:i4>
      </vt:variant>
      <vt:variant>
        <vt:i4>5</vt:i4>
      </vt:variant>
      <vt:variant>
        <vt:lpwstr>https://www.healthyhomes.org.au/news/community-sector-blueprint</vt:lpwstr>
      </vt:variant>
      <vt:variant>
        <vt:lpwstr/>
      </vt:variant>
      <vt:variant>
        <vt:i4>589911</vt:i4>
      </vt:variant>
      <vt:variant>
        <vt:i4>108</vt:i4>
      </vt:variant>
      <vt:variant>
        <vt:i4>0</vt:i4>
      </vt:variant>
      <vt:variant>
        <vt:i4>5</vt:i4>
      </vt:variant>
      <vt:variant>
        <vt:lpwstr>https://www.raisetherate.org.au/</vt:lpwstr>
      </vt:variant>
      <vt:variant>
        <vt:lpwstr/>
      </vt:variant>
      <vt:variant>
        <vt:i4>3866684</vt:i4>
      </vt:variant>
      <vt:variant>
        <vt:i4>105</vt:i4>
      </vt:variant>
      <vt:variant>
        <vt:i4>0</vt:i4>
      </vt:variant>
      <vt:variant>
        <vt:i4>5</vt:i4>
      </vt:variant>
      <vt:variant>
        <vt:lpwstr>https://www.theenergycharter.com.au/covid-19-consumer-research/</vt:lpwstr>
      </vt:variant>
      <vt:variant>
        <vt:lpwstr/>
      </vt:variant>
      <vt:variant>
        <vt:i4>3145785</vt:i4>
      </vt:variant>
      <vt:variant>
        <vt:i4>102</vt:i4>
      </vt:variant>
      <vt:variant>
        <vt:i4>0</vt:i4>
      </vt:variant>
      <vt:variant>
        <vt:i4>5</vt:i4>
      </vt:variant>
      <vt:variant>
        <vt:lpwstr>http://tinyurl.com/29udfa7e</vt:lpwstr>
      </vt:variant>
      <vt:variant>
        <vt:lpwstr/>
      </vt:variant>
      <vt:variant>
        <vt:i4>1245264</vt:i4>
      </vt:variant>
      <vt:variant>
        <vt:i4>99</vt:i4>
      </vt:variant>
      <vt:variant>
        <vt:i4>0</vt:i4>
      </vt:variant>
      <vt:variant>
        <vt:i4>5</vt:i4>
      </vt:variant>
      <vt:variant>
        <vt:lpwstr>https://www.aer.gov.au/system/files/State of the energy market 2023 - Full report.pdf</vt:lpwstr>
      </vt:variant>
      <vt:variant>
        <vt:lpwstr/>
      </vt:variant>
      <vt:variant>
        <vt:i4>2424892</vt:i4>
      </vt:variant>
      <vt:variant>
        <vt:i4>96</vt:i4>
      </vt:variant>
      <vt:variant>
        <vt:i4>0</vt:i4>
      </vt:variant>
      <vt:variant>
        <vt:i4>5</vt:i4>
      </vt:variant>
      <vt:variant>
        <vt:lpwstr>https://piac.asn.au/wp-content/uploads/2022/11/22-30-11-Submission-to-AER-DMO-issues-paper-2023-24.pdf</vt:lpwstr>
      </vt:variant>
      <vt:variant>
        <vt:lpwstr/>
      </vt:variant>
      <vt:variant>
        <vt:i4>4718596</vt:i4>
      </vt:variant>
      <vt:variant>
        <vt:i4>93</vt:i4>
      </vt:variant>
      <vt:variant>
        <vt:i4>0</vt:i4>
      </vt:variant>
      <vt:variant>
        <vt:i4>5</vt:i4>
      </vt:variant>
      <vt:variant>
        <vt:lpwstr>https://cprc.org.au/wp-content/uploads/2022/11/Mind-the-Gap_Report_Update-1111.pdf</vt:lpwstr>
      </vt:variant>
      <vt:variant>
        <vt:lpwstr/>
      </vt:variant>
      <vt:variant>
        <vt:i4>7077999</vt:i4>
      </vt:variant>
      <vt:variant>
        <vt:i4>90</vt:i4>
      </vt:variant>
      <vt:variant>
        <vt:i4>0</vt:i4>
      </vt:variant>
      <vt:variant>
        <vt:i4>5</vt:i4>
      </vt:variant>
      <vt:variant>
        <vt:lpwstr>https://www.acoss.org.au/wp-content/uploads/2023/09/Reforming-electricity-concessions-to-better-meet-need-Summary-Report-Final.pdf</vt:lpwstr>
      </vt:variant>
      <vt:variant>
        <vt:lpwstr/>
      </vt:variant>
      <vt:variant>
        <vt:i4>196620</vt:i4>
      </vt:variant>
      <vt:variant>
        <vt:i4>87</vt:i4>
      </vt:variant>
      <vt:variant>
        <vt:i4>0</vt:i4>
      </vt:variant>
      <vt:variant>
        <vt:i4>5</vt:i4>
      </vt:variant>
      <vt:variant>
        <vt:lpwstr>https://www.aemc.gov.au/sites/default/files/content/006ad951-7c42-4058-9724-51fe114cabb6/2017-AEMC-Retail-Energy-Competition-Review-FINAL.pdf</vt:lpwstr>
      </vt:variant>
      <vt:variant>
        <vt:lpwstr/>
      </vt:variant>
      <vt:variant>
        <vt:i4>7798838</vt:i4>
      </vt:variant>
      <vt:variant>
        <vt:i4>84</vt:i4>
      </vt:variant>
      <vt:variant>
        <vt:i4>0</vt:i4>
      </vt:variant>
      <vt:variant>
        <vt:i4>5</vt:i4>
      </vt:variant>
      <vt:variant>
        <vt:lpwstr>https://energyconsumersaustralia.com.au/wp-content/uploads/Stepping-Up-Report-Final.pdf</vt:lpwstr>
      </vt:variant>
      <vt:variant>
        <vt:lpwstr/>
      </vt:variant>
      <vt:variant>
        <vt:i4>5570600</vt:i4>
      </vt:variant>
      <vt:variant>
        <vt:i4>81</vt:i4>
      </vt:variant>
      <vt:variant>
        <vt:i4>0</vt:i4>
      </vt:variant>
      <vt:variant>
        <vt:i4>5</vt:i4>
      </vt:variant>
      <vt:variant>
        <vt:lpwstr>https://www.monash.edu/__data/assets/pdf_file/0005/3433550/Switching-On_Benefits-of-household-electrification-in-Australia_report.pdf</vt:lpwstr>
      </vt:variant>
      <vt:variant>
        <vt:lpwstr/>
      </vt:variant>
      <vt:variant>
        <vt:i4>2293799</vt:i4>
      </vt:variant>
      <vt:variant>
        <vt:i4>78</vt:i4>
      </vt:variant>
      <vt:variant>
        <vt:i4>0</vt:i4>
      </vt:variant>
      <vt:variant>
        <vt:i4>5</vt:i4>
      </vt:variant>
      <vt:variant>
        <vt:lpwstr>https://www.healthyhomes.org.au/news/community-sector-blueprint</vt:lpwstr>
      </vt:variant>
      <vt:variant>
        <vt:lpwstr/>
      </vt:variant>
      <vt:variant>
        <vt:i4>4456460</vt:i4>
      </vt:variant>
      <vt:variant>
        <vt:i4>75</vt:i4>
      </vt:variant>
      <vt:variant>
        <vt:i4>0</vt:i4>
      </vt:variant>
      <vt:variant>
        <vt:i4>5</vt:i4>
      </vt:variant>
      <vt:variant>
        <vt:lpwstr>https://www.acoss.org.au/wp-content/uploads/2024/02/ACOSS-Report-Funding-and-Financing-Low-income-retrofits-January-2024-.pdf</vt:lpwstr>
      </vt:variant>
      <vt:variant>
        <vt:lpwstr/>
      </vt:variant>
      <vt:variant>
        <vt:i4>8257652</vt:i4>
      </vt:variant>
      <vt:variant>
        <vt:i4>72</vt:i4>
      </vt:variant>
      <vt:variant>
        <vt:i4>0</vt:i4>
      </vt:variant>
      <vt:variant>
        <vt:i4>5</vt:i4>
      </vt:variant>
      <vt:variant>
        <vt:lpwstr>https://www.climateworkscentre.org/project/renovation-pathways/</vt:lpwstr>
      </vt:variant>
      <vt:variant>
        <vt:lpwstr/>
      </vt:variant>
      <vt:variant>
        <vt:i4>5046341</vt:i4>
      </vt:variant>
      <vt:variant>
        <vt:i4>69</vt:i4>
      </vt:variant>
      <vt:variant>
        <vt:i4>0</vt:i4>
      </vt:variant>
      <vt:variant>
        <vt:i4>5</vt:i4>
      </vt:variant>
      <vt:variant>
        <vt:lpwstr>https://www.climatecouncil.org.au/wp-content/uploads/2021/05/Kicking-the-Gas-Habit-How-Gas-is-Harming-our-Health.pdf</vt:lpwstr>
      </vt:variant>
      <vt:variant>
        <vt:lpwstr/>
      </vt:variant>
      <vt:variant>
        <vt:i4>7012398</vt:i4>
      </vt:variant>
      <vt:variant>
        <vt:i4>66</vt:i4>
      </vt:variant>
      <vt:variant>
        <vt:i4>0</vt:i4>
      </vt:variant>
      <vt:variant>
        <vt:i4>5</vt:i4>
      </vt:variant>
      <vt:variant>
        <vt:lpwstr>https://www.climatecouncil.org.au/wp-content/uploads/2023/04/CC_MVSA0353-CC-Report-Two-for-One-Home-Energy-Efficiency_V5.2-FA-Screen-Single.pdf</vt:lpwstr>
      </vt:variant>
      <vt:variant>
        <vt:lpwstr/>
      </vt:variant>
      <vt:variant>
        <vt:i4>2883700</vt:i4>
      </vt:variant>
      <vt:variant>
        <vt:i4>63</vt:i4>
      </vt:variant>
      <vt:variant>
        <vt:i4>0</vt:i4>
      </vt:variant>
      <vt:variant>
        <vt:i4>5</vt:i4>
      </vt:variant>
      <vt:variant>
        <vt:lpwstr>https://northmoregordon.com/articles/eec-energy-efficiency-scenario-modelling/</vt:lpwstr>
      </vt:variant>
      <vt:variant>
        <vt:lpwstr/>
      </vt:variant>
      <vt:variant>
        <vt:i4>3670075</vt:i4>
      </vt:variant>
      <vt:variant>
        <vt:i4>60</vt:i4>
      </vt:variant>
      <vt:variant>
        <vt:i4>0</vt:i4>
      </vt:variant>
      <vt:variant>
        <vt:i4>5</vt:i4>
      </vt:variant>
      <vt:variant>
        <vt:lpwstr>https://www.irena.org/Digital-Report/World-Energy-Transitions-Outlook-2022</vt:lpwstr>
      </vt:variant>
      <vt:variant>
        <vt:lpwstr/>
      </vt:variant>
      <vt:variant>
        <vt:i4>1114206</vt:i4>
      </vt:variant>
      <vt:variant>
        <vt:i4>57</vt:i4>
      </vt:variant>
      <vt:variant>
        <vt:i4>0</vt:i4>
      </vt:variant>
      <vt:variant>
        <vt:i4>5</vt:i4>
      </vt:variant>
      <vt:variant>
        <vt:lpwstr>https://www.fairfastclimateaction.org.au/climate_change_act</vt:lpwstr>
      </vt:variant>
      <vt:variant>
        <vt:lpwstr/>
      </vt:variant>
      <vt:variant>
        <vt:i4>2752630</vt:i4>
      </vt:variant>
      <vt:variant>
        <vt:i4>54</vt:i4>
      </vt:variant>
      <vt:variant>
        <vt:i4>0</vt:i4>
      </vt:variant>
      <vt:variant>
        <vt:i4>5</vt:i4>
      </vt:variant>
      <vt:variant>
        <vt:lpwstr>https://www.carbonbrief.org/iea-renewables-should-overtake-coal-within-five-years-to-secure-1-5c-goal/</vt:lpwstr>
      </vt:variant>
      <vt:variant>
        <vt:lpwstr/>
      </vt:variant>
      <vt:variant>
        <vt:i4>131142</vt:i4>
      </vt:variant>
      <vt:variant>
        <vt:i4>51</vt:i4>
      </vt:variant>
      <vt:variant>
        <vt:i4>0</vt:i4>
      </vt:variant>
      <vt:variant>
        <vt:i4>5</vt:i4>
      </vt:variant>
      <vt:variant>
        <vt:lpwstr>https://www.climateworkscentre.org/resource/decarbonisation-futures-solutions-actions-and-benchmarks-for-a-net-zero-emissions-australia/</vt:lpwstr>
      </vt:variant>
      <vt:variant>
        <vt:lpwstr/>
      </vt:variant>
      <vt:variant>
        <vt:i4>2752630</vt:i4>
      </vt:variant>
      <vt:variant>
        <vt:i4>48</vt:i4>
      </vt:variant>
      <vt:variant>
        <vt:i4>0</vt:i4>
      </vt:variant>
      <vt:variant>
        <vt:i4>5</vt:i4>
      </vt:variant>
      <vt:variant>
        <vt:lpwstr>https://www.carbonbrief.org/iea-renewables-should-overtake-coal-within-five-years-to-secure-1-5c-goal/</vt:lpwstr>
      </vt:variant>
      <vt:variant>
        <vt:lpwstr/>
      </vt:variant>
      <vt:variant>
        <vt:i4>6488191</vt:i4>
      </vt:variant>
      <vt:variant>
        <vt:i4>45</vt:i4>
      </vt:variant>
      <vt:variant>
        <vt:i4>0</vt:i4>
      </vt:variant>
      <vt:variant>
        <vt:i4>5</vt:i4>
      </vt:variant>
      <vt:variant>
        <vt:lpwstr>https://www.climatecouncil.org.au/wp-content/uploads/2021/04/aim-high-go-fast-why-emissions-must-plummet-climate-council-report-210421.pdf</vt:lpwstr>
      </vt:variant>
      <vt:variant>
        <vt:lpwstr/>
      </vt:variant>
      <vt:variant>
        <vt:i4>3670067</vt:i4>
      </vt:variant>
      <vt:variant>
        <vt:i4>42</vt:i4>
      </vt:variant>
      <vt:variant>
        <vt:i4>0</vt:i4>
      </vt:variant>
      <vt:variant>
        <vt:i4>5</vt:i4>
      </vt:variant>
      <vt:variant>
        <vt:lpwstr>https://www.climatecollege.unimelb.edu.au/files/site1/docs/%5Bmi7%3Ami7uid%5D/ClimateTargetsPanelReport.pdf</vt:lpwstr>
      </vt:variant>
      <vt:variant>
        <vt:lpwstr/>
      </vt:variant>
      <vt:variant>
        <vt:i4>5898322</vt:i4>
      </vt:variant>
      <vt:variant>
        <vt:i4>39</vt:i4>
      </vt:variant>
      <vt:variant>
        <vt:i4>0</vt:i4>
      </vt:variant>
      <vt:variant>
        <vt:i4>5</vt:i4>
      </vt:variant>
      <vt:variant>
        <vt:lpwstr>https://www.wwf.org.au/ArticleDocuments/353/pub-delaying-climate-action-would-be-costly-for-australia-and-the-world-25may15.pdf.aspx?Embed=Y</vt:lpwstr>
      </vt:variant>
      <vt:variant>
        <vt:lpwstr/>
      </vt:variant>
      <vt:variant>
        <vt:i4>393300</vt:i4>
      </vt:variant>
      <vt:variant>
        <vt:i4>36</vt:i4>
      </vt:variant>
      <vt:variant>
        <vt:i4>0</vt:i4>
      </vt:variant>
      <vt:variant>
        <vt:i4>5</vt:i4>
      </vt:variant>
      <vt:variant>
        <vt:lpwstr>https://www.lse.ac.uk/granthaminstitute/news/researchers-warn-of-big-increase-in-economic-costs-if-cuts-in-greenhouse-gas-emissions-are-delayed/</vt:lpwstr>
      </vt:variant>
      <vt:variant>
        <vt:lpwstr/>
      </vt:variant>
      <vt:variant>
        <vt:i4>4718600</vt:i4>
      </vt:variant>
      <vt:variant>
        <vt:i4>33</vt:i4>
      </vt:variant>
      <vt:variant>
        <vt:i4>0</vt:i4>
      </vt:variant>
      <vt:variant>
        <vt:i4>5</vt:i4>
      </vt:variant>
      <vt:variant>
        <vt:lpwstr>https://www.airclim.org/acidnews/ipcc-warns-delaying-action-implies-higher-costs</vt:lpwstr>
      </vt:variant>
      <vt:variant>
        <vt:lpwstr/>
      </vt:variant>
      <vt:variant>
        <vt:i4>5505110</vt:i4>
      </vt:variant>
      <vt:variant>
        <vt:i4>30</vt:i4>
      </vt:variant>
      <vt:variant>
        <vt:i4>0</vt:i4>
      </vt:variant>
      <vt:variant>
        <vt:i4>5</vt:i4>
      </vt:variant>
      <vt:variant>
        <vt:lpwstr>https://www.climatecouncil.org.au/resources/hitting-home-compounding-costs-climate-inaction/</vt:lpwstr>
      </vt:variant>
      <vt:variant>
        <vt:lpwstr/>
      </vt:variant>
      <vt:variant>
        <vt:i4>4849731</vt:i4>
      </vt:variant>
      <vt:variant>
        <vt:i4>27</vt:i4>
      </vt:variant>
      <vt:variant>
        <vt:i4>0</vt:i4>
      </vt:variant>
      <vt:variant>
        <vt:i4>5</vt:i4>
      </vt:variant>
      <vt:variant>
        <vt:lpwstr>https://www.ipcc.ch/sr15/chapter/spm/</vt:lpwstr>
      </vt:variant>
      <vt:variant>
        <vt:lpwstr/>
      </vt:variant>
      <vt:variant>
        <vt:i4>1376337</vt:i4>
      </vt:variant>
      <vt:variant>
        <vt:i4>24</vt:i4>
      </vt:variant>
      <vt:variant>
        <vt:i4>0</vt:i4>
      </vt:variant>
      <vt:variant>
        <vt:i4>5</vt:i4>
      </vt:variant>
      <vt:variant>
        <vt:lpwstr>https://www.smh.com.au/politics/federal/cost-of-living-crisis-drives-slump-in-support-for-urgent-climate-action-20230816-p5dwx7.html</vt:lpwstr>
      </vt:variant>
      <vt:variant>
        <vt:lpwstr/>
      </vt:variant>
      <vt:variant>
        <vt:i4>1245264</vt:i4>
      </vt:variant>
      <vt:variant>
        <vt:i4>21</vt:i4>
      </vt:variant>
      <vt:variant>
        <vt:i4>0</vt:i4>
      </vt:variant>
      <vt:variant>
        <vt:i4>5</vt:i4>
      </vt:variant>
      <vt:variant>
        <vt:lpwstr>https://www.aer.gov.au/system/files/State of the energy market 2023 - Full report.pdf</vt:lpwstr>
      </vt:variant>
      <vt:variant>
        <vt:lpwstr/>
      </vt:variant>
      <vt:variant>
        <vt:i4>5701707</vt:i4>
      </vt:variant>
      <vt:variant>
        <vt:i4>18</vt:i4>
      </vt:variant>
      <vt:variant>
        <vt:i4>0</vt:i4>
      </vt:variant>
      <vt:variant>
        <vt:i4>5</vt:i4>
      </vt:variant>
      <vt:variant>
        <vt:lpwstr>https://www.acoss.org.au/wp-content/uploads/2018/10/Energy-Stressed-in-Australia.pdf</vt:lpwstr>
      </vt:variant>
      <vt:variant>
        <vt:lpwstr/>
      </vt:variant>
      <vt:variant>
        <vt:i4>5570579</vt:i4>
      </vt:variant>
      <vt:variant>
        <vt:i4>15</vt:i4>
      </vt:variant>
      <vt:variant>
        <vt:i4>0</vt:i4>
      </vt:variant>
      <vt:variant>
        <vt:i4>5</vt:i4>
      </vt:variant>
      <vt:variant>
        <vt:lpwstr>https://www.acoss.org.au/wp-content/uploads/2023/02/ACOSS-Plus-Submission-to-National-Energy-Performance-Strategy-Consultation-paper-07022023.pdf</vt:lpwstr>
      </vt:variant>
      <vt:variant>
        <vt:lpwstr/>
      </vt:variant>
      <vt:variant>
        <vt:i4>917549</vt:i4>
      </vt:variant>
      <vt:variant>
        <vt:i4>12</vt:i4>
      </vt:variant>
      <vt:variant>
        <vt:i4>0</vt:i4>
      </vt:variant>
      <vt:variant>
        <vt:i4>5</vt:i4>
      </vt:variant>
      <vt:variant>
        <vt:lpwstr>https://ican.org.au/wp-content/uploads/2019/11/Payday-Lending-Report_FINAL_UPDATED_WEB-1.pdf</vt:lpwstr>
      </vt:variant>
      <vt:variant>
        <vt:lpwstr/>
      </vt:variant>
      <vt:variant>
        <vt:i4>4980737</vt:i4>
      </vt:variant>
      <vt:variant>
        <vt:i4>9</vt:i4>
      </vt:variant>
      <vt:variant>
        <vt:i4>0</vt:i4>
      </vt:variant>
      <vt:variant>
        <vt:i4>5</vt:i4>
      </vt:variant>
      <vt:variant>
        <vt:lpwstr>https://www.financialcounsellingaustralia.org.au/docs/its-credit-its-causing-harm-and-it-needs-better-safeguards-what-financial-counsellors-say-about-buy-now-pay-later/</vt:lpwstr>
      </vt:variant>
      <vt:variant>
        <vt:lpwstr/>
      </vt:variant>
      <vt:variant>
        <vt:i4>983070</vt:i4>
      </vt:variant>
      <vt:variant>
        <vt:i4>6</vt:i4>
      </vt:variant>
      <vt:variant>
        <vt:i4>0</vt:i4>
      </vt:variant>
      <vt:variant>
        <vt:i4>5</vt:i4>
      </vt:variant>
      <vt:variant>
        <vt:lpwstr>https://www.acoss.org.au/wp-content/uploads/2023/10/ACOSS-Energy-Cost-of-Living-Snapshot-October-2023.pdf</vt:lpwstr>
      </vt:variant>
      <vt:variant>
        <vt:lpwstr/>
      </vt:variant>
      <vt:variant>
        <vt:i4>2293799</vt:i4>
      </vt:variant>
      <vt:variant>
        <vt:i4>3</vt:i4>
      </vt:variant>
      <vt:variant>
        <vt:i4>0</vt:i4>
      </vt:variant>
      <vt:variant>
        <vt:i4>5</vt:i4>
      </vt:variant>
      <vt:variant>
        <vt:lpwstr>https://www.healthyhomes.org.au/news/community-sector-blueprint</vt:lpwstr>
      </vt:variant>
      <vt:variant>
        <vt:lpwstr/>
      </vt:variant>
      <vt:variant>
        <vt:i4>1245264</vt:i4>
      </vt:variant>
      <vt:variant>
        <vt:i4>0</vt:i4>
      </vt:variant>
      <vt:variant>
        <vt:i4>0</vt:i4>
      </vt:variant>
      <vt:variant>
        <vt:i4>5</vt:i4>
      </vt:variant>
      <vt:variant>
        <vt:lpwstr>https://www.aer.gov.au/system/files/State of the energy market 2023 - Full report.pdf</vt:lpwstr>
      </vt:variant>
      <vt:variant>
        <vt:lpwstr/>
      </vt:variant>
      <vt:variant>
        <vt:i4>1048647</vt:i4>
      </vt:variant>
      <vt:variant>
        <vt:i4>6</vt:i4>
      </vt:variant>
      <vt:variant>
        <vt:i4>0</vt:i4>
      </vt:variant>
      <vt:variant>
        <vt:i4>5</vt:i4>
      </vt:variant>
      <vt:variant>
        <vt:lpwstr>http://www.acoss.org.au/</vt:lpwstr>
      </vt:variant>
      <vt:variant>
        <vt:lpwstr/>
      </vt:variant>
      <vt:variant>
        <vt:i4>3801183</vt:i4>
      </vt:variant>
      <vt:variant>
        <vt:i4>3</vt:i4>
      </vt:variant>
      <vt:variant>
        <vt:i4>0</vt:i4>
      </vt:variant>
      <vt:variant>
        <vt:i4>5</vt:i4>
      </vt:variant>
      <vt:variant>
        <vt:lpwstr>mailto:info@acoss.org.au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Kellie Caught</dc:creator>
  <cp:keywords/>
  <dc:description/>
  <cp:lastModifiedBy>Kellie Caught</cp:lastModifiedBy>
  <cp:revision>2</cp:revision>
  <cp:lastPrinted>2024-05-02T07:47:00Z</cp:lastPrinted>
  <dcterms:created xsi:type="dcterms:W3CDTF">2024-05-02T07:54:00Z</dcterms:created>
  <dcterms:modified xsi:type="dcterms:W3CDTF">2024-05-02T07:54:00Z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0x01010096BA480F33FDB44FB9056B0E33E6E6D6</vt:lpwstr>
  </property>
</Properties>
</file>